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193"/>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001-39252</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4"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55"/>
        </w:trPr>
        <w:tc>
          <w:tcPr>
            <w:tcW w:w="5840" w:type="dxa"/>
            <w:vAlign w:val="bottom"/>
          </w:tcPr>
          <w:p>
            <w:pPr>
              <w:jc w:val="center"/>
              <w:ind w:right="3705"/>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74"/>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7"/>
              </w:rPr>
              <w:t>Not Applicable</w:t>
            </w:r>
            <w:r>
              <w:rPr>
                <w:rFonts w:ascii="Times New Roman" w:cs="Times New Roman" w:eastAsia="Times New Roman" w:hAnsi="Times New Roman"/>
                <w:sz w:val="23"/>
                <w:szCs w:val="23"/>
                <w:b w:val="1"/>
                <w:bCs w:val="1"/>
                <w:color w:val="auto"/>
                <w:w w:val="97"/>
                <w:vertAlign w:val="superscript"/>
              </w:rPr>
              <w:t>(1)</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503"/>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spacing w:after="0"/>
              <w:rPr>
                <w:sz w:val="24"/>
                <w:szCs w:val="24"/>
                <w:color w:val="auto"/>
              </w:rPr>
            </w:pPr>
          </w:p>
        </w:tc>
      </w:tr>
      <w:tr>
        <w:trPr>
          <w:trHeight w:val="255"/>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60" w:type="dxa"/>
            <w:vAlign w:val="bottom"/>
          </w:tcPr>
          <w:p>
            <w:pPr>
              <w:spacing w:after="0"/>
              <w:rPr>
                <w:sz w:val="22"/>
                <w:szCs w:val="22"/>
                <w:color w:val="auto"/>
              </w:rPr>
            </w:pPr>
          </w:p>
        </w:tc>
      </w:tr>
      <w:tr>
        <w:trPr>
          <w:trHeight w:val="237"/>
        </w:trPr>
        <w:tc>
          <w:tcPr>
            <w:tcW w:w="5840" w:type="dxa"/>
            <w:vAlign w:val="bottom"/>
          </w:tcPr>
          <w:p>
            <w:pPr>
              <w:jc w:val="center"/>
              <w:ind w:left="1765"/>
              <w:spacing w:after="0"/>
              <w:rPr>
                <w:sz w:val="20"/>
                <w:szCs w:val="20"/>
                <w:color w:val="auto"/>
              </w:rPr>
            </w:pPr>
            <w:r>
              <w:rPr>
                <w:rFonts w:ascii="Arial" w:cs="Arial" w:eastAsia="Arial" w:hAnsi="Arial"/>
                <w:sz w:val="11"/>
                <w:szCs w:val="11"/>
                <w:color w:val="auto"/>
                <w:w w:val="98"/>
              </w:rPr>
              <w:t>________________________________________</w:t>
            </w:r>
          </w:p>
        </w:tc>
        <w:tc>
          <w:tcPr>
            <w:tcW w:w="1460" w:type="dxa"/>
            <w:vAlign w:val="bottom"/>
          </w:tcPr>
          <w:p>
            <w:pPr>
              <w:spacing w:after="0"/>
              <w:rPr>
                <w:sz w:val="20"/>
                <w:szCs w:val="20"/>
                <w:color w:val="auto"/>
              </w:rPr>
            </w:pPr>
          </w:p>
        </w:tc>
      </w:tr>
    </w:tbl>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5"/>
                <w:szCs w:val="15"/>
                <w:color w:val="auto"/>
              </w:rPr>
            </w:pPr>
          </w:p>
        </w:tc>
      </w:tr>
      <w:tr>
        <w:trPr>
          <w:trHeight w:val="204"/>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06"/>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vMerge w:val="restart"/>
          </w:tcPr>
          <w:p>
            <w:pPr>
              <w:jc w:val="right"/>
              <w:spacing w:after="0"/>
              <w:rPr>
                <w:sz w:val="20"/>
                <w:szCs w:val="20"/>
                <w:color w:val="auto"/>
              </w:rPr>
            </w:pP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left="660"/>
        <w:spacing w:after="0"/>
        <w:tabs>
          <w:tab w:leader="none" w:pos="8200" w:val="left"/>
          <w:tab w:leader="none" w:pos="8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13" w:lineRule="exact"/>
        <w:rPr>
          <w:sz w:val="24"/>
          <w:szCs w:val="24"/>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At August 1, 2025, the registrant had 420,139,394 shares of Class A Common Stock, $0.0001 par value per share, and 92,373,157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226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60" w:firstLine="8"/>
        <w:spacing w:after="0" w:line="239" w:lineRule="auto"/>
        <w:tabs>
          <w:tab w:leader="none" w:pos="169"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ectPr>
          <w:pgSz w:w="11900" w:h="16838" w:orient="portrait"/>
          <w:cols w:equalWidth="0" w:num="1">
            <w:col w:w="11240"/>
          </w:cols>
          <w:pgMar w:left="320" w:top="1172" w:right="339" w:bottom="551" w:gutter="0" w:footer="0" w:header="0"/>
        </w:sect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5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40" w:type="dxa"/>
            <w:vAlign w:val="bottom"/>
            <w:gridSpan w:val="3"/>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gridSpan w:val="3"/>
            <w:vMerge w:val="restart"/>
          </w:tcPr>
          <w:p>
            <w:pPr>
              <w:spacing w:after="0"/>
              <w:rPr>
                <w:sz w:val="2"/>
                <w:szCs w:val="2"/>
                <w:color w:val="auto"/>
              </w:rPr>
            </w:pPr>
          </w:p>
        </w:tc>
        <w:tc>
          <w:tcPr>
            <w:tcW w:w="2420" w:type="dxa"/>
            <w:vAlign w:val="bottom"/>
            <w:gridSpan w:val="11"/>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6680" w:type="dxa"/>
            <w:vAlign w:val="bottom"/>
            <w:gridSpan w:val="8"/>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20" w:type="dxa"/>
            <w:vAlign w:val="bottom"/>
            <w:gridSpan w:val="11"/>
            <w:vMerge w:val="continue"/>
          </w:tcPr>
          <w:p>
            <w:pPr>
              <w:spacing w:after="0"/>
              <w:rPr>
                <w:sz w:val="14"/>
                <w:szCs w:val="14"/>
                <w:color w:val="auto"/>
              </w:rPr>
            </w:pPr>
          </w:p>
        </w:tc>
        <w:tc>
          <w:tcPr>
            <w:tcW w:w="6680" w:type="dxa"/>
            <w:vAlign w:val="bottom"/>
            <w:gridSpan w:val="8"/>
            <w:vMerge w:val="continue"/>
          </w:tcPr>
          <w:p>
            <w:pPr>
              <w:spacing w:after="0"/>
              <w:rPr>
                <w:sz w:val="14"/>
                <w:szCs w:val="14"/>
                <w:color w:val="auto"/>
              </w:rPr>
            </w:pPr>
          </w:p>
        </w:tc>
        <w:tc>
          <w:tcPr>
            <w:tcW w:w="620" w:type="dxa"/>
            <w:vAlign w:val="bottom"/>
            <w:gridSpan w:val="4"/>
          </w:tcPr>
          <w:p>
            <w:pPr>
              <w:jc w:val="center"/>
              <w:ind w:left="371"/>
              <w:spacing w:after="0" w:line="156" w:lineRule="exact"/>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2025 and December 31, 2024</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six months ended</w:t>
            </w:r>
          </w:p>
        </w:tc>
        <w:tc>
          <w:tcPr>
            <w:tcW w:w="20" w:type="dxa"/>
            <w:vAlign w:val="bottom"/>
          </w:tcPr>
          <w:p>
            <w:pPr>
              <w:spacing w:after="0"/>
              <w:rPr>
                <w:sz w:val="18"/>
                <w:szCs w:val="18"/>
                <w:color w:val="auto"/>
              </w:rPr>
            </w:pP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20" w:type="dxa"/>
            <w:vAlign w:val="bottom"/>
            <w:gridSpan w:val="6"/>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June 30, 2025 and 2024</w:t>
            </w:r>
          </w:p>
        </w:tc>
        <w:tc>
          <w:tcPr>
            <w:tcW w:w="7380" w:type="dxa"/>
            <w:vAlign w:val="bottom"/>
            <w:gridSpan w:val="13"/>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Borders>
              <w:bottom w:val="single" w:sz="8" w:color="0000FF"/>
            </w:tcBorders>
            <w:gridSpan w:val="6"/>
            <w:vMerge w:val="continue"/>
          </w:tcPr>
          <w:p>
            <w:pPr>
              <w:spacing w:after="0"/>
              <w:rPr>
                <w:sz w:val="5"/>
                <w:szCs w:val="5"/>
                <w:color w:val="auto"/>
              </w:rPr>
            </w:pPr>
          </w:p>
        </w:tc>
        <w:tc>
          <w:tcPr>
            <w:tcW w:w="7380" w:type="dxa"/>
            <w:vAlign w:val="bottom"/>
            <w:gridSpan w:val="13"/>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2025</w:t>
            </w:r>
          </w:p>
        </w:tc>
        <w:tc>
          <w:tcPr>
            <w:tcW w:w="20" w:type="dxa"/>
            <w:vAlign w:val="bottom"/>
          </w:tcPr>
          <w:p>
            <w:pPr>
              <w:spacing w:after="0"/>
              <w:rPr>
                <w:sz w:val="19"/>
                <w:szCs w:val="19"/>
                <w:color w:val="auto"/>
              </w:rPr>
            </w:pP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and 2024</w:t>
            </w:r>
          </w:p>
        </w:tc>
        <w:tc>
          <w:tcPr>
            <w:tcW w:w="8420" w:type="dxa"/>
            <w:vAlign w:val="bottom"/>
            <w:gridSpan w:val="17"/>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Borders>
              <w:bottom w:val="single" w:sz="8" w:color="0000FF"/>
            </w:tcBorders>
            <w:gridSpan w:val="2"/>
            <w:vMerge w:val="continue"/>
          </w:tcPr>
          <w:p>
            <w:pPr>
              <w:spacing w:after="0"/>
              <w:rPr>
                <w:sz w:val="5"/>
                <w:szCs w:val="5"/>
                <w:color w:val="auto"/>
              </w:rPr>
            </w:pPr>
          </w:p>
        </w:tc>
        <w:tc>
          <w:tcPr>
            <w:tcW w:w="8420" w:type="dxa"/>
            <w:vAlign w:val="bottom"/>
            <w:gridSpan w:val="17"/>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2025 and 2024</w:t>
            </w:r>
          </w:p>
        </w:tc>
        <w:tc>
          <w:tcPr>
            <w:tcW w:w="2020" w:type="dxa"/>
            <w:vAlign w:val="bottom"/>
            <w:gridSpan w:val="2"/>
          </w:tcPr>
          <w:p>
            <w:pPr>
              <w:spacing w:after="0"/>
              <w:rPr>
                <w:sz w:val="19"/>
                <w:szCs w:val="19"/>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080" w:type="dxa"/>
            <w:vAlign w:val="bottom"/>
            <w:gridSpan w:val="5"/>
          </w:tcPr>
          <w:p>
            <w:pPr>
              <w:spacing w:after="0"/>
              <w:rPr>
                <w:sz w:val="19"/>
                <w:szCs w:val="19"/>
                <w:color w:val="auto"/>
              </w:rPr>
            </w:pPr>
          </w:p>
        </w:tc>
        <w:tc>
          <w:tcPr>
            <w:tcW w:w="202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gridSpan w:val="3"/>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26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3"/>
          </w:tcPr>
          <w:p>
            <w:pPr>
              <w:spacing w:after="0"/>
              <w:rPr>
                <w:sz w:val="21"/>
                <w:szCs w:val="21"/>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5"/>
          </w:tcPr>
          <w:p>
            <w:pPr>
              <w:spacing w:after="0"/>
              <w:rPr>
                <w:sz w:val="21"/>
                <w:szCs w:val="21"/>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2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3"/>
          </w:tcPr>
          <w:p>
            <w:pPr>
              <w:spacing w:after="0"/>
              <w:rPr>
                <w:sz w:val="24"/>
                <w:szCs w:val="24"/>
                <w:color w:val="auto"/>
              </w:rPr>
            </w:pPr>
          </w:p>
        </w:tc>
        <w:tc>
          <w:tcPr>
            <w:tcW w:w="708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gridSpan w:val="2"/>
          </w:tcPr>
          <w:p>
            <w:pPr>
              <w:spacing w:after="0"/>
              <w:rPr>
                <w:sz w:val="21"/>
                <w:szCs w:val="21"/>
                <w:color w:val="auto"/>
              </w:rPr>
            </w:pPr>
          </w:p>
        </w:tc>
        <w:tc>
          <w:tcPr>
            <w:tcW w:w="280" w:type="dxa"/>
            <w:vAlign w:val="bottom"/>
          </w:tcPr>
          <w:p>
            <w:pPr>
              <w:spacing w:after="0"/>
              <w:rPr>
                <w:sz w:val="21"/>
                <w:szCs w:val="21"/>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40" w:type="dxa"/>
            <w:vAlign w:val="bottom"/>
            <w:gridSpan w:val="6"/>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28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280" w:type="dxa"/>
            <w:vAlign w:val="bottom"/>
          </w:tcPr>
          <w:p>
            <w:pPr>
              <w:spacing w:after="0"/>
              <w:rPr>
                <w:sz w:val="21"/>
                <w:szCs w:val="21"/>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1"/>
                <w:szCs w:val="21"/>
                <w:color w:val="auto"/>
              </w:rPr>
            </w:pPr>
          </w:p>
        </w:tc>
        <w:tc>
          <w:tcPr>
            <w:tcW w:w="6780" w:type="dxa"/>
            <w:vAlign w:val="bottom"/>
            <w:gridSpan w:val="10"/>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4"/>
          </w:tcPr>
          <w:p>
            <w:pPr>
              <w:spacing w:after="0"/>
              <w:rPr>
                <w:sz w:val="21"/>
                <w:szCs w:val="21"/>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8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4"/>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920" w:type="dxa"/>
            <w:vAlign w:val="bottom"/>
            <w:gridSpan w:val="15"/>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"Company," "Clover," "Clover Health," "we," "us," "our," "our company," and similar terms refer to Clover Health Investments, Corp. and its condensed consolidated subsidiaries, unless otherwise noted or the context otherwise requires.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II, Item 1A, “Risk Factors”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Forward-looking statements contained in this Quarterly Report on Form 10-Q involve a number of judgments, risks and uncertainties, including, without limitation, risks related to:</w:t>
      </w:r>
    </w:p>
    <w:p>
      <w:pPr>
        <w:spacing w:after="0" w:line="14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results of operations, financial condition, and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management of our Insurance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adoption and use of Clover Assistant, including the expansion of Clover Assistant technology for external payors and providers serving the Medicare eligible population under the brand name Counterpart Assistant;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beneficiary base and provider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Clover Assistant, including our ability to utilize the platform to manage our medical loss ratios;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Star Ratings or otherwise continue to improve the financial performance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Class A common stock and our continued compliance with Nasdaq's listing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high inflation and fluctuating interest rates.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Quarterly Report on Form 10-Q or to conform these statements to actual results or revised expectations.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estimates, projections, and other information concerning our industry, our business, and the markets for our products. We obtained the industry, market, and similar data set forth in this Quarterly Report on Form 10-Q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our reports filed with the SEC, including the discussion under "Risk Factors" in this Quarterly Report on Form 10-Q, our actual results or performance may be materially different from those expressed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accounts of our Chief Executive Officer, Andrew Toy, and our Chief Financial Officer, Peter Kuipers.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$11,161; 2024: $27,153)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2025: $1,766; 2024: $15)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Healthcare receivables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343,124</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$174,988; 2024: $203,147)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2025: $12,370; 2024: $13,913)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 non-current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580,742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claims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213,516</w:t>
            </w:r>
          </w:p>
        </w:tc>
        <w:tc>
          <w:tcPr>
            <w:tcW w:w="0" w:type="dxa"/>
            <w:vAlign w:val="bottom"/>
          </w:tcPr>
          <w:p>
            <w:pPr>
              <w:spacing w:after="0"/>
              <w:rPr>
                <w:sz w:val="1"/>
                <w:szCs w:val="1"/>
                <w:color w:val="auto"/>
              </w:rPr>
            </w:pP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June 30, 2025 and December 31,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418,386,775 and 414,493,051 issued and outstanding at June 30, 2025 and December 31, 2024, respectively</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June 30, 2025 and December 31,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92,375,003 and 89,032,305 issued and outstanding at June 30, 2025 and December 31, 2024, respectively</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2,576,471</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(2,202,803)</w:t>
            </w:r>
          </w:p>
        </w:tc>
        <w:tc>
          <w:tcPr>
            <w:tcW w:w="0" w:type="dxa"/>
            <w:vAlign w:val="bottom"/>
          </w:tcPr>
          <w:p>
            <w:pPr>
              <w:spacing w:after="0"/>
              <w:rPr>
                <w:sz w:val="1"/>
                <w:szCs w:val="1"/>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Treasury stock, at cost; 28,132,383 and 18,752,947 shares held at June 30, 2025 and December 31, 2024,</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(71,415)</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341,143</w:t>
            </w:r>
          </w:p>
        </w:tc>
        <w:tc>
          <w:tcPr>
            <w:tcW w:w="0" w:type="dxa"/>
            <w:vAlign w:val="bottom"/>
          </w:tcPr>
          <w:p>
            <w:pPr>
              <w:spacing w:after="0"/>
              <w:rPr>
                <w:sz w:val="1"/>
                <w:szCs w:val="1"/>
                <w:color w:val="auto"/>
              </w:rPr>
            </w:pPr>
          </w:p>
        </w:tc>
      </w:tr>
      <w:tr>
        <w:trPr>
          <w:trHeight w:val="223"/>
        </w:trPr>
        <w:tc>
          <w:tcPr>
            <w:tcW w:w="8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574,987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580,742</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STATEMENTS OF OPERATIONS AND COMPREHENSIVE INCOME (LOSS)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gridSpan w:val="4"/>
          </w:tcPr>
          <w:p>
            <w:pPr>
              <w:ind w:left="3920"/>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58"/>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1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6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25"/>
        </w:trPr>
        <w:tc>
          <w:tcPr>
            <w:tcW w:w="6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$96 and $102 for the three months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 2025 and 2024 respectively, and $192 and $203 for the six months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1"/>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 2025 and 2024, respectively.)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469,826</w:t>
            </w:r>
          </w:p>
        </w:tc>
        <w:tc>
          <w:tcPr>
            <w:tcW w:w="8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926,732</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691,622</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r>
      <w:tr>
        <w:trPr>
          <w:trHeight w:val="223"/>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703,182</w:t>
            </w:r>
          </w:p>
        </w:tc>
      </w:tr>
      <w:tr>
        <w:trPr>
          <w:trHeight w:val="270"/>
        </w:trPr>
        <w:tc>
          <w:tcPr>
            <w:tcW w:w="6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513,509</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114,722</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88,993</w:t>
            </w:r>
          </w:p>
        </w:tc>
      </w:tr>
      <w:tr>
        <w:trPr>
          <w:trHeight w:val="22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3"/>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488,179</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349,073</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951,784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718,698</w:t>
            </w: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r>
      <w:tr>
        <w:trPr>
          <w:trHeight w:val="270"/>
        </w:trPr>
        <w:tc>
          <w:tcPr>
            <w:tcW w:w="6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63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6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r>
      <w:tr>
        <w:trPr>
          <w:trHeight w:val="248"/>
        </w:trPr>
        <w:tc>
          <w:tcPr>
            <w:tcW w:w="63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-3196590</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Basic weighted average number of class A and class B common shares and common share equivalents outstanding</w:t>
      </w:r>
    </w:p>
    <w:p>
      <w:pPr>
        <w:spacing w:after="0" w:line="10" w:lineRule="exact"/>
        <w:rPr>
          <w:sz w:val="20"/>
          <w:szCs w:val="20"/>
          <w:color w:val="auto"/>
        </w:rPr>
      </w:pPr>
    </w:p>
    <w:p>
      <w:pPr>
        <w:ind w:left="140" w:right="540"/>
        <w:spacing w:after="0" w:line="237" w:lineRule="auto"/>
        <w:rPr>
          <w:sz w:val="20"/>
          <w:szCs w:val="20"/>
          <w:color w:val="auto"/>
        </w:rPr>
      </w:pPr>
      <w:r>
        <w:rPr>
          <w:rFonts w:ascii="Times New Roman" w:cs="Times New Roman" w:eastAsia="Times New Roman" w:hAnsi="Times New Roman"/>
          <w:sz w:val="18"/>
          <w:szCs w:val="18"/>
          <w:color w:val="auto"/>
        </w:rPr>
        <w:t>Diluted weighted average number of class A and class B common shares and common share equivalents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 w:leader="none" w:pos="2500" w:val="left"/>
          <w:tab w:leader="none" w:pos="3740" w:val="left"/>
        </w:tabs>
        <w:rPr>
          <w:sz w:val="20"/>
          <w:szCs w:val="20"/>
          <w:color w:val="auto"/>
        </w:rPr>
      </w:pPr>
      <w:r>
        <w:rPr>
          <w:rFonts w:ascii="Times New Roman" w:cs="Times New Roman" w:eastAsia="Times New Roman" w:hAnsi="Times New Roman"/>
          <w:sz w:val="18"/>
          <w:szCs w:val="18"/>
          <w:color w:val="auto"/>
        </w:rPr>
        <w:t>509,043,210</w:t>
      </w:r>
      <w:r>
        <w:rPr>
          <w:sz w:val="20"/>
          <w:szCs w:val="20"/>
          <w:color w:val="auto"/>
        </w:rPr>
        <w:tab/>
      </w:r>
      <w:r>
        <w:rPr>
          <w:rFonts w:ascii="Times New Roman" w:cs="Times New Roman" w:eastAsia="Times New Roman" w:hAnsi="Times New Roman"/>
          <w:sz w:val="18"/>
          <w:szCs w:val="18"/>
          <w:color w:val="auto"/>
        </w:rPr>
        <w:t>487,483,087</w:t>
      </w:r>
      <w:r>
        <w:rPr>
          <w:sz w:val="20"/>
          <w:szCs w:val="20"/>
          <w:color w:val="auto"/>
        </w:rPr>
        <w:tab/>
      </w:r>
      <w:r>
        <w:rPr>
          <w:rFonts w:ascii="Times New Roman" w:cs="Times New Roman" w:eastAsia="Times New Roman" w:hAnsi="Times New Roman"/>
          <w:sz w:val="18"/>
          <w:szCs w:val="18"/>
          <w:color w:val="auto"/>
        </w:rPr>
        <w:t>508,893,753</w:t>
      </w:r>
      <w:r>
        <w:rPr>
          <w:sz w:val="20"/>
          <w:szCs w:val="20"/>
          <w:color w:val="auto"/>
        </w:rPr>
        <w:tab/>
      </w:r>
      <w:r>
        <w:rPr>
          <w:rFonts w:ascii="Times New Roman" w:cs="Times New Roman" w:eastAsia="Times New Roman" w:hAnsi="Times New Roman"/>
          <w:sz w:val="18"/>
          <w:szCs w:val="18"/>
          <w:color w:val="auto"/>
        </w:rPr>
        <w:t>487,575,520</w:t>
      </w:r>
    </w:p>
    <w:p>
      <w:pPr>
        <w:spacing w:after="0" w:line="212" w:lineRule="exact"/>
        <w:rPr>
          <w:sz w:val="20"/>
          <w:szCs w:val="20"/>
          <w:color w:val="auto"/>
        </w:rPr>
      </w:pPr>
    </w:p>
    <w:p>
      <w:pPr>
        <w:spacing w:after="0"/>
        <w:tabs>
          <w:tab w:leader="none" w:pos="1240" w:val="left"/>
          <w:tab w:leader="none" w:pos="2500" w:val="left"/>
          <w:tab w:leader="none" w:pos="3740" w:val="left"/>
        </w:tabs>
        <w:rPr>
          <w:sz w:val="20"/>
          <w:szCs w:val="20"/>
          <w:color w:val="auto"/>
        </w:rPr>
      </w:pPr>
      <w:r>
        <w:rPr>
          <w:rFonts w:ascii="Times New Roman" w:cs="Times New Roman" w:eastAsia="Times New Roman" w:hAnsi="Times New Roman"/>
          <w:sz w:val="18"/>
          <w:szCs w:val="18"/>
          <w:color w:val="auto"/>
        </w:rPr>
        <w:t>509,043,210</w:t>
      </w:r>
      <w:r>
        <w:rPr>
          <w:sz w:val="20"/>
          <w:szCs w:val="20"/>
          <w:color w:val="auto"/>
        </w:rPr>
        <w:tab/>
      </w:r>
      <w:r>
        <w:rPr>
          <w:rFonts w:ascii="Times New Roman" w:cs="Times New Roman" w:eastAsia="Times New Roman" w:hAnsi="Times New Roman"/>
          <w:sz w:val="18"/>
          <w:szCs w:val="18"/>
          <w:color w:val="auto"/>
        </w:rPr>
        <w:t>495,179,955</w:t>
      </w:r>
      <w:r>
        <w:rPr>
          <w:sz w:val="20"/>
          <w:szCs w:val="20"/>
          <w:color w:val="auto"/>
        </w:rPr>
        <w:tab/>
      </w:r>
      <w:r>
        <w:rPr>
          <w:rFonts w:ascii="Times New Roman" w:cs="Times New Roman" w:eastAsia="Times New Roman" w:hAnsi="Times New Roman"/>
          <w:sz w:val="18"/>
          <w:szCs w:val="18"/>
          <w:color w:val="auto"/>
        </w:rPr>
        <w:t>508,893,753</w:t>
      </w:r>
      <w:r>
        <w:rPr>
          <w:sz w:val="20"/>
          <w:szCs w:val="20"/>
          <w:color w:val="auto"/>
        </w:rPr>
        <w:tab/>
      </w:r>
      <w:r>
        <w:rPr>
          <w:rFonts w:ascii="Times New Roman" w:cs="Times New Roman" w:eastAsia="Times New Roman" w:hAnsi="Times New Roman"/>
          <w:sz w:val="18"/>
          <w:szCs w:val="18"/>
          <w:color w:val="auto"/>
        </w:rPr>
        <w:t>487,575,520</w:t>
      </w:r>
    </w:p>
    <w:p>
      <w:pPr>
        <w:spacing w:after="0" w:line="276" w:lineRule="exact"/>
        <w:rPr>
          <w:sz w:val="20"/>
          <w:szCs w:val="20"/>
          <w:color w:val="auto"/>
        </w:rPr>
      </w:pPr>
    </w:p>
    <w:p>
      <w:pPr>
        <w:sectPr>
          <w:pgSz w:w="11900" w:h="16838" w:orient="portrait"/>
          <w:cols w:equalWidth="0" w:num="2">
            <w:col w:w="6220" w:space="280"/>
            <w:col w:w="474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63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 available-for-sale investments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w:t>
            </w:r>
          </w:p>
        </w:tc>
      </w:tr>
      <w:tr>
        <w:trPr>
          <w:trHeight w:val="21"/>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7"/>
                <w:szCs w:val="17"/>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8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7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 B Common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5"/>
                <w:szCs w:val="15"/>
                <w:color w:val="auto"/>
              </w:rPr>
            </w:pPr>
          </w:p>
        </w:tc>
        <w:tc>
          <w:tcPr>
            <w:tcW w:w="10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7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vMerge w:val="restart"/>
          </w:tcPr>
          <w:p>
            <w:pPr>
              <w:spacing w:after="0"/>
              <w:rPr>
                <w:sz w:val="16"/>
                <w:szCs w:val="16"/>
                <w:color w:val="auto"/>
              </w:rPr>
            </w:pPr>
          </w:p>
        </w:tc>
        <w:tc>
          <w:tcPr>
            <w:tcW w:w="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vMerge w:val="continue"/>
          </w:tcPr>
          <w:p>
            <w:pPr>
              <w:spacing w:after="0"/>
              <w:rPr>
                <w:sz w:val="16"/>
                <w:szCs w:val="16"/>
                <w:color w:val="auto"/>
              </w:rPr>
            </w:pPr>
          </w:p>
        </w:tc>
        <w:tc>
          <w:tcPr>
            <w:tcW w:w="1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06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401,183,882</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87,867,732</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7,912,750</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(12,729)</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2,461,238</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(2,159,794)</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286,394</w:t>
            </w:r>
          </w:p>
        </w:tc>
        <w:tc>
          <w:tcPr>
            <w:tcW w:w="0" w:type="dxa"/>
            <w:vAlign w:val="bottom"/>
          </w:tcPr>
          <w:p>
            <w:pPr>
              <w:spacing w:after="0"/>
              <w:rPr>
                <w:sz w:val="1"/>
                <w:szCs w:val="1"/>
                <w:color w:val="auto"/>
              </w:rPr>
            </w:pPr>
          </w:p>
        </w:tc>
      </w:tr>
      <w:tr>
        <w:trPr>
          <w:trHeight w:val="23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26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of early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c>
          <w:tcPr>
            <w:tcW w:w="0" w:type="dxa"/>
            <w:vAlign w:val="bottom"/>
          </w:tcPr>
          <w:p>
            <w:pPr>
              <w:spacing w:after="0"/>
              <w:rPr>
                <w:sz w:val="1"/>
                <w:szCs w:val="1"/>
                <w:color w:val="auto"/>
              </w:rPr>
            </w:pPr>
          </w:p>
        </w:tc>
      </w:tr>
      <w:tr>
        <w:trPr>
          <w:trHeight w:val="176"/>
        </w:trPr>
        <w:tc>
          <w:tcPr>
            <w:tcW w:w="1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8,672,362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75"/>
        </w:trPr>
        <w:tc>
          <w:tcPr>
            <w:tcW w:w="1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withheld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taxes 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(3,700,995)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3,700,995</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29"/>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0" w:type="dxa"/>
            <w:vAlign w:val="bottom"/>
          </w:tcPr>
          <w:p>
            <w:pPr>
              <w:spacing w:after="0"/>
              <w:rPr>
                <w:sz w:val="1"/>
                <w:szCs w:val="1"/>
                <w:color w:val="auto"/>
              </w:rPr>
            </w:pPr>
          </w:p>
        </w:tc>
      </w:tr>
      <w:tr>
        <w:trPr>
          <w:trHeight w:val="155"/>
        </w:trPr>
        <w:tc>
          <w:tcPr>
            <w:tcW w:w="1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89,649,365</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11,613,745</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$(16,088)</w:t>
            </w:r>
          </w:p>
        </w:tc>
        <w:tc>
          <w:tcPr>
            <w:tcW w:w="100" w:type="dxa"/>
            <w:vAlign w:val="bottom"/>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$2,490,036</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(2,178,964)</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292,474</w:t>
            </w:r>
          </w:p>
        </w:tc>
        <w:tc>
          <w:tcPr>
            <w:tcW w:w="0" w:type="dxa"/>
            <w:vAlign w:val="bottom"/>
          </w:tcPr>
          <w:p>
            <w:pPr>
              <w:spacing w:after="0"/>
              <w:rPr>
                <w:sz w:val="1"/>
                <w:szCs w:val="1"/>
                <w:color w:val="auto"/>
              </w:rPr>
            </w:pPr>
          </w:p>
        </w:tc>
      </w:tr>
      <w:tr>
        <w:trPr>
          <w:trHeight w:val="243"/>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406,155,332</w:t>
            </w:r>
          </w:p>
        </w:tc>
        <w:tc>
          <w:tcPr>
            <w:tcW w:w="26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Stock issuance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for exercise</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of 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options, net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of early</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3,003,054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2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Shares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withheld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taxes on</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1,122,347</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Issuance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Common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Stock under</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Employee</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Repurchases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of Common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(1,838,309)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1,838,309</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2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156"/>
        </w:trPr>
        <w:tc>
          <w:tcPr>
            <w:tcW w:w="12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June</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406,486,444</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89,649,365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14,574,401</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$(19,306)</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$2,517,959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(2,171,556)</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324,888</w:t>
            </w: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100"/>
          </w:cols>
          <w:pgMar w:left="400" w:top="661" w:right="399"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61" w:right="3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7"/>
                <w:szCs w:val="17"/>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8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7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 B Common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5"/>
                <w:szCs w:val="15"/>
                <w:color w:val="auto"/>
              </w:rPr>
            </w:pPr>
          </w:p>
        </w:tc>
        <w:tc>
          <w:tcPr>
            <w:tcW w:w="10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7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vMerge w:val="restart"/>
          </w:tcPr>
          <w:p>
            <w:pPr>
              <w:spacing w:after="0"/>
              <w:rPr>
                <w:sz w:val="16"/>
                <w:szCs w:val="16"/>
                <w:color w:val="auto"/>
              </w:rPr>
            </w:pPr>
          </w:p>
        </w:tc>
        <w:tc>
          <w:tcPr>
            <w:tcW w:w="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vMerge w:val="continue"/>
          </w:tcPr>
          <w:p>
            <w:pPr>
              <w:spacing w:after="0"/>
              <w:rPr>
                <w:sz w:val="16"/>
                <w:szCs w:val="16"/>
                <w:color w:val="auto"/>
              </w:rPr>
            </w:pPr>
          </w:p>
        </w:tc>
        <w:tc>
          <w:tcPr>
            <w:tcW w:w="1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06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414,493,051</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89,032,305</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18,752,947</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(30,991)</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2,576,471</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(2,202,803)</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341,143</w:t>
            </w: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26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of early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139,709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0" w:type="dxa"/>
            <w:vAlign w:val="bottom"/>
          </w:tcPr>
          <w:p>
            <w:pPr>
              <w:spacing w:after="0"/>
              <w:rPr>
                <w:sz w:val="1"/>
                <w:szCs w:val="1"/>
                <w:color w:val="auto"/>
              </w:rPr>
            </w:pPr>
          </w:p>
        </w:tc>
      </w:tr>
      <w:tr>
        <w:trPr>
          <w:trHeight w:val="176"/>
        </w:trPr>
        <w:tc>
          <w:tcPr>
            <w:tcW w:w="1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6,431,417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3,342,698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175"/>
        </w:trPr>
        <w:tc>
          <w:tcPr>
            <w:tcW w:w="1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withheld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taxes 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(1,833,218)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1,833,218</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0" w:type="dxa"/>
            <w:vAlign w:val="bottom"/>
          </w:tcPr>
          <w:p>
            <w:pPr>
              <w:spacing w:after="0"/>
              <w:rPr>
                <w:sz w:val="1"/>
                <w:szCs w:val="1"/>
                <w:color w:val="auto"/>
              </w:rPr>
            </w:pPr>
          </w:p>
        </w:tc>
      </w:tr>
      <w:tr>
        <w:trPr>
          <w:trHeight w:val="229"/>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of common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30"/>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155"/>
        </w:trPr>
        <w:tc>
          <w:tcPr>
            <w:tcW w:w="12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92,375,003</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25,655,588</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(62,947)</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2,603,123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(2,204,077)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336,075</w:t>
            </w:r>
          </w:p>
        </w:tc>
        <w:tc>
          <w:tcPr>
            <w:tcW w:w="0" w:type="dxa"/>
            <w:vAlign w:val="bottom"/>
          </w:tcPr>
          <w:p>
            <w:pPr>
              <w:spacing w:after="0"/>
              <w:rPr>
                <w:sz w:val="1"/>
                <w:szCs w:val="1"/>
                <w:color w:val="auto"/>
              </w:rPr>
            </w:pPr>
          </w:p>
        </w:tc>
      </w:tr>
      <w:tr>
        <w:trPr>
          <w:trHeight w:val="276"/>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 414,161,536</w:t>
            </w:r>
          </w:p>
        </w:tc>
        <w:tc>
          <w:tcPr>
            <w:tcW w:w="260" w:type="dxa"/>
            <w:vAlign w:val="bottom"/>
            <w:vMerge w:val="continue"/>
            <w:shd w:val="clear" w:color="auto" w:fill="CCEEFF"/>
          </w:tcPr>
          <w:p>
            <w:pPr>
              <w:spacing w:after="0"/>
              <w:rPr>
                <w:sz w:val="24"/>
                <w:szCs w:val="24"/>
                <w:color w:val="auto"/>
              </w:rPr>
            </w:pPr>
          </w:p>
        </w:tc>
        <w:tc>
          <w:tcPr>
            <w:tcW w:w="42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vMerge w:val="continue"/>
            <w:shd w:val="clear" w:color="auto" w:fill="CCEEFF"/>
          </w:tcPr>
          <w:p>
            <w:pPr>
              <w:spacing w:after="0"/>
              <w:rPr>
                <w:sz w:val="24"/>
                <w:szCs w:val="24"/>
                <w:color w:val="auto"/>
              </w:rPr>
            </w:pPr>
          </w:p>
        </w:tc>
        <w:tc>
          <w:tcPr>
            <w:tcW w:w="42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vMerge w:val="continue"/>
            <w:shd w:val="clear" w:color="auto" w:fill="CCEEFF"/>
          </w:tcPr>
          <w:p>
            <w:pPr>
              <w:spacing w:after="0"/>
              <w:rPr>
                <w:sz w:val="24"/>
                <w:szCs w:val="24"/>
                <w:color w:val="auto"/>
              </w:rPr>
            </w:pPr>
          </w:p>
        </w:tc>
        <w:tc>
          <w:tcPr>
            <w:tcW w:w="92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vMerge w:val="continue"/>
            <w:shd w:val="clear" w:color="auto" w:fill="CCEEFF"/>
          </w:tcPr>
          <w:p>
            <w:pPr>
              <w:spacing w:after="0"/>
              <w:rPr>
                <w:sz w:val="24"/>
                <w:szCs w:val="24"/>
                <w:color w:val="auto"/>
              </w:rPr>
            </w:pPr>
          </w:p>
        </w:tc>
        <w:tc>
          <w:tcPr>
            <w:tcW w:w="960" w:type="dxa"/>
            <w:vAlign w:val="bottom"/>
            <w:vMerge w:val="continue"/>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vMerge w:val="continue"/>
            <w:shd w:val="clear" w:color="auto" w:fill="CCEEFF"/>
          </w:tcPr>
          <w:p>
            <w:pPr>
              <w:spacing w:after="0"/>
              <w:rPr>
                <w:sz w:val="24"/>
                <w:szCs w:val="24"/>
                <w:color w:val="auto"/>
              </w:rPr>
            </w:pPr>
          </w:p>
        </w:tc>
        <w:tc>
          <w:tcPr>
            <w:tcW w:w="90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260" w:type="dxa"/>
            <w:vAlign w:val="bottom"/>
            <w:tcBorders>
              <w:top w:val="single" w:sz="8" w:color="CCEEFF"/>
            </w:tcBorders>
          </w:tcPr>
          <w:p>
            <w:pPr>
              <w:ind w:left="120"/>
              <w:spacing w:after="0" w:line="123" w:lineRule="exact"/>
              <w:rPr>
                <w:sz w:val="20"/>
                <w:szCs w:val="20"/>
                <w:color w:val="auto"/>
              </w:rPr>
            </w:pPr>
            <w:r>
              <w:rPr>
                <w:rFonts w:ascii="Times New Roman" w:cs="Times New Roman" w:eastAsia="Times New Roman" w:hAnsi="Times New Roman"/>
                <w:sz w:val="13"/>
                <w:szCs w:val="13"/>
                <w:color w:val="auto"/>
              </w:rPr>
              <w:t>Stock issuance</w:t>
            </w: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for exercise</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of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options, net</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of early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97,249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0" w:type="dxa"/>
            <w:vAlign w:val="bottom"/>
          </w:tcPr>
          <w:p>
            <w:pPr>
              <w:spacing w:after="0"/>
              <w:rPr>
                <w:sz w:val="1"/>
                <w:szCs w:val="1"/>
                <w:color w:val="auto"/>
              </w:rPr>
            </w:pPr>
          </w:p>
        </w:tc>
      </w:tr>
      <w:tr>
        <w:trPr>
          <w:trHeight w:val="175"/>
        </w:trPr>
        <w:tc>
          <w:tcPr>
            <w:tcW w:w="12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6,417,884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75"/>
        </w:trPr>
        <w:tc>
          <w:tcPr>
            <w:tcW w:w="12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withheld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taxes 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(2,476,795)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2,476,795</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29"/>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Issuance of</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Common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Stock under</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Employee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0" w:type="dxa"/>
            <w:vAlign w:val="bottom"/>
          </w:tcPr>
          <w:p>
            <w:pPr>
              <w:spacing w:after="0"/>
              <w:rPr>
                <w:sz w:val="1"/>
                <w:szCs w:val="1"/>
                <w:color w:val="auto"/>
              </w:rPr>
            </w:pPr>
          </w:p>
        </w:tc>
      </w:tr>
      <w:tr>
        <w:trPr>
          <w:trHeight w:val="155"/>
        </w:trPr>
        <w:tc>
          <w:tcPr>
            <w:tcW w:w="12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June</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418,386,775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92,375,003</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28,132,383</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(71,415)</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2,630,021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(2,214,655)</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344,179</w:t>
            </w:r>
          </w:p>
        </w:tc>
        <w:tc>
          <w:tcPr>
            <w:tcW w:w="0" w:type="dxa"/>
            <w:vAlign w:val="bottom"/>
          </w:tcPr>
          <w:p>
            <w:pPr>
              <w:spacing w:after="0"/>
              <w:rPr>
                <w:sz w:val="1"/>
                <w:szCs w:val="1"/>
                <w:color w:val="auto"/>
              </w:rPr>
            </w:pPr>
          </w:p>
        </w:tc>
      </w:tr>
      <w:tr>
        <w:trPr>
          <w:trHeight w:val="256"/>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100"/>
          </w:cols>
          <w:pgMar w:left="400" w:top="459" w:right="399" w:bottom="1440" w:gutter="0" w:footer="0" w:header="0"/>
        </w:sectPr>
      </w:pP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459" w:right="3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warrants and amortization of warrants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net of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accrued interest earned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gains on investment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investment</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(31,816)</w:t>
            </w: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Healthcare receivables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Unpaid claims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63,450</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from 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79,697</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70,692</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 available-for-sale, and held-to-maturity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(51,670)</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short-term investments and available-for-sale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short-term investments and available-for-sale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14,139</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 net of stock issuance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related to stock-based compensation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78,277</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176,494</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254,771</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661"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2024, the Company launched Counterpart Health, Inc., a new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 included in the Company's Annual Report on Form 10-K for the year ended December 31, 2024 (the "2024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2024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(including CMS's May 2025 announcement of its intention to significantly increase the volume of Risk Adjustment Data Validation ("RADV") audits),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 and variable interest entities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Company's carrying value in an equity method investee company is reduced to zero, no further losses are recorded in the Company's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reportable segment, Insurance. The Insurance segment provides PPO and HMO plans to Medicare Advantage members in several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 - cloud computing arrangements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costs directly related to the successful acquisition of new business, which are primarily made up of commissions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 expenses in the Condensed Consolidated Statements of Operations and Comprehensive Income (Loss). For the three months ended June 30, 2025 and</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2024, charges related to deferred acquisition costs of $4.3 million and $1.8 million, respectively. For the six months ended June 30, 2025 and 2024, charges related to deferred acquisition costs of $7.1 million and $2.8 million, respectively, were recognized within General and administrative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presented in prior periods have been reclassified to conform to the current presentation.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adopted during the six months ended June 30, 2025 that had a material impact on the Company's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aim to provide more transparency regarding tax disclosures mainly related to the rate reconciliation and income taxes paid information. ASU 2023-09 is effective for fiscal years beginning after December 15, 2024, however, these disclosures are not required for interim periods. The Company is currently evaluating the impact of ASU 2023-09 on its consolidated financial statements and related disclosures.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The amendments in this update would require a public entity to disclose information about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and fair values of investments at June 30, 2025 and December 31, 2024, respectively:</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116,327</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69,718</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200,462</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0"/>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09"/>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244,658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242,644</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-2956560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-2630805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-2305050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-1979295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27"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at June 30, 2025, by contractual maturity: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Available-for-sale</w:t>
            </w:r>
          </w:p>
        </w:tc>
      </w:tr>
      <w:tr>
        <w:trPr>
          <w:trHeight w:val="223"/>
        </w:trPr>
        <w:tc>
          <w:tcPr>
            <w:tcW w:w="5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175,470</w:t>
            </w:r>
          </w:p>
        </w:tc>
      </w:tr>
      <w:tr>
        <w:trPr>
          <w:trHeight w:val="23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59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respectively, net investment income, which is included in Other income in the Condensed Consolidated Statements of Operations and Comprehensive Income (Loss), was derived from the following sources: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Pr>
          <w:p>
            <w:pPr>
              <w:spacing w:after="0"/>
              <w:rPr>
                <w:sz w:val="17"/>
                <w:szCs w:val="17"/>
                <w:color w:val="auto"/>
              </w:rPr>
            </w:pPr>
          </w:p>
        </w:tc>
        <w:tc>
          <w:tcPr>
            <w:tcW w:w="21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vMerge w:val="continue"/>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0" w:type="dxa"/>
            <w:vAlign w:val="bottom"/>
          </w:tcPr>
          <w:p>
            <w:pPr>
              <w:spacing w:after="0"/>
              <w:rPr>
                <w:sz w:val="1"/>
                <w:szCs w:val="1"/>
                <w:color w:val="auto"/>
              </w:rPr>
            </w:pPr>
          </w:p>
        </w:tc>
      </w:tr>
      <w:tr>
        <w:trPr>
          <w:trHeight w:val="25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5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income,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that individual securities have been in a continuous unrealized loss position were as follows at June 30, 2025 and December 31, 2024,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80" w:type="dxa"/>
            <w:vAlign w:val="bottom"/>
          </w:tcPr>
          <w:p>
            <w:pPr>
              <w:spacing w:after="0"/>
              <w:rPr>
                <w:sz w:val="19"/>
                <w:szCs w:val="19"/>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52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80" w:type="dxa"/>
            <w:vAlign w:val="bottom"/>
          </w:tcPr>
          <w:p>
            <w:pPr>
              <w:spacing w:after="0"/>
              <w:rPr>
                <w:sz w:val="24"/>
                <w:szCs w:val="24"/>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5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170,616</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927"/>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Company did not record any credit allowances for debt securities that were in an unrealized loss position at June 30, 2025 and December 31, 2024.</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June 30, 2025, were assessed, based on, among other things:</w:t>
      </w:r>
    </w:p>
    <w:p>
      <w:pPr>
        <w:spacing w:after="0" w:line="1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relative magnitude to which fair values of these securities have been below their amortized cost was not indicative of an impairment loss;</w:t>
      </w:r>
    </w:p>
    <w:p>
      <w:pPr>
        <w:spacing w:after="0" w:line="2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compelling evidence that would cause the Company to call into question the financial condition or near-term prospects of the issuer of the applicable security;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ability and intent to hold the applicable security for a period of time sufficient to allow for any anticipated recovery.</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inclusive of short-term investments, and related gross realized gains (losses) which are included in Other income in the Condensed Consolidated Statements of Operations and Comprehensive Income (Loss), were as follows for the three and six months ended June 30, 2025 and 2024,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Pr>
          <w:p>
            <w:pPr>
              <w:spacing w:after="0"/>
              <w:rPr>
                <w:sz w:val="17"/>
                <w:szCs w:val="17"/>
                <w:color w:val="auto"/>
              </w:rPr>
            </w:pPr>
          </w:p>
        </w:tc>
        <w:tc>
          <w:tcPr>
            <w:tcW w:w="21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vMerge w:val="continue"/>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Company had $14.7 million, in deposits with various states and regulatory bodies that are included as part of the Company's investment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fair value measurements for financial instruments at June 30, 2025 and December 31, 2024,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116,327</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116,327</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69,718</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69,718</w:t>
            </w:r>
          </w:p>
        </w:tc>
      </w:tr>
      <w:tr>
        <w:trPr>
          <w:trHeight w:val="25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745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8"/>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5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22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changes in balances of Clover's Level 3 financial assets and liabilities during the six months ended June 30, 2025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38"/>
        </w:trPr>
        <w:tc>
          <w:tcPr>
            <w:tcW w:w="9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8"/>
              </w:rPr>
              <w:t>Receivable</w:t>
            </w:r>
          </w:p>
        </w:tc>
      </w:tr>
      <w:tr>
        <w:trPr>
          <w:trHeight w:val="27"/>
        </w:trPr>
        <w:tc>
          <w:tcPr>
            <w:tcW w:w="9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9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4"/>
        </w:trPr>
        <w:tc>
          <w:tcPr>
            <w:tcW w:w="9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unrealized losses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
        </w:trPr>
        <w:tc>
          <w:tcPr>
            <w:tcW w:w="9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9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June 30,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0"/>
        </w:trPr>
        <w:tc>
          <w:tcPr>
            <w:tcW w:w="9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38" w:lineRule="exact"/>
        <w:rPr>
          <w:sz w:val="20"/>
          <w:szCs w:val="20"/>
          <w:color w:val="auto"/>
        </w:rPr>
      </w:pPr>
    </w:p>
    <w:p>
      <w:pPr>
        <w:ind w:right="1880"/>
        <w:spacing w:after="0" w:line="438" w:lineRule="auto"/>
        <w:rPr>
          <w:sz w:val="20"/>
          <w:szCs w:val="20"/>
          <w:color w:val="auto"/>
        </w:rPr>
      </w:pPr>
      <w:r>
        <w:rPr>
          <w:rFonts w:ascii="Times New Roman" w:cs="Times New Roman" w:eastAsia="Times New Roman" w:hAnsi="Times New Roman"/>
          <w:sz w:val="18"/>
          <w:szCs w:val="18"/>
          <w:color w:val="auto"/>
        </w:rPr>
        <w:t xml:space="preserve">There were no transfers in or out of Level 3 financial assets or liabilities for the six months ended June 30, 2025 or June 30, 2024. </w:t>
      </w:r>
      <w:r>
        <w:rPr>
          <w:rFonts w:ascii="Times New Roman" w:cs="Times New Roman" w:eastAsia="Times New Roman" w:hAnsi="Times New Roman"/>
          <w:sz w:val="18"/>
          <w:szCs w:val="18"/>
          <w:b w:val="1"/>
          <w:bCs w:val="1"/>
          <w:i w:val="1"/>
          <w:iCs w:val="1"/>
          <w:color w:val="auto"/>
        </w:rPr>
        <w:t>Private Warrants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the Company had exercisable private warrants which were embedded in several agreements as derivatives. These private warrants were accounted for as assets in accordance with ASC 815-40 and are presented in Other assets, non-current in the Condensed Consolidated Balance Sheets. The warrant assets are measured at fair value at inception and on a recurring basis until redeemed, with changes in fair value presented in Change in fair value of warrants in the Condensed Consolidated Statements of Operations and Comprehensive Income (Loss). These private warrants were classified within Level 3 due to the subjectivity and use of estimates in the calculation of their fair value. These warrants at measurement date, December 31, 2024, were assessed to have a fair value of $0.8 million. The Company reassesses the fair values of the warrants based on updated estimates for the three and six months ended June 30, 2025, and there were less than $0.1 million of unrealized losses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Healthcare Receivables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$46.9 million and $51.5 million within Healthcare receivables at June 30,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Expenses and fees incurred related to Clover's contracts with CarePoint Health, recorded in Net medical claims incurred, in the Condensed Consolidated Statements of Operations and Comprehensive Income (Loss), were $2.6 million and $2.3 million for the three months ended June 30, 2025 and 2024, respectively, and $4.4 million and $2.8 million for the six months ended June 30, 2025 and 2024, respectively. Additionally, $0.6 million and $1.0 million were payable to CarePoint Health at June 30, 2025 and December 31, 2024, respectively.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("the CarePoint Nonprofit"). In September 2024, Sequoia Healthcare Services, LLC, an entity that Mr. Garipalli has an indirect interest in, transferred certain subsidiaries that provided services to CarePoint Health to the CarePoint Nonprofit. Following such transfer, neither Mr. Garipalli nor any entity he has an interest in currently provide any management services to CarePoint Health. On November 3, 2024, CarePoint Health and its affiliates filed petitions in the United States Bankruptcy Court for the District of Delaware (the "Bankruptcy Court") seeking relief under Chapter 11 of the United States Bankruptcy Code. Ultimately, the Bankruptcy Court confirmed CarePoint Health's plan which became effective as of May 22, 2025. Through CarePoint Health's Plan, a majority of CarePoint Health's assets, including the CarePoint Health Contracts, were transferred to Hudson Regional Hospital, who now controls CarePoint Health's hospitals following CarePoint Health's emergence from bankruptcy. As a result of such proceedings, CarePoint Health is no longer deemed a related party of the Company as defined by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Vivek Garipalli, the Company's Executive Chairman and significant stockholder of the Company, is an indirect owner of Credo Health Solutions, Inc. Expenses and fees incurred related to this agreement were $0.1 million and $0.3 million for the three months ended June 30, 2025 and 2024, respectively, and $0.3 million and $0.4 million for the six months ended June 30, 2025 and 2024, respectively.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$3.9 million at June 30, 2025, and is recognized within Other assets, non-current, in the Condensed Consolidated Balance Sheets. In accordance with ASC 321, any changes in fair value associated with these shares are recognized within Other income in the Condensed Consolidated Statements of Operations and Comprehensive Income (Loss). Mr. Garipalli is a member of the board of directors of Thyme Care and holds an equity interest of less than five percent (5%) of that entity. Expenses and fees incurred related to this agreement were $1.5 million and $2.3 million for the three months ended June 30, 2025 and 2024, respectively, and $4.2 million and $2.3 million for the six months ended June 30, 2025 and 2024, respectively. Additionally, $6.1 million and $3.3 million were payable to Thyme Care at June 30, 2025, and December 31,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Unpaid Claims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within the liability for Unpaid claims, including claims adjustment expenses, for the six months ended June 30, 2025 and 2024, respectively,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and net balance,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137,100</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531,627</w:t>
            </w:r>
          </w:p>
        </w:tc>
      </w:tr>
      <w:tr>
        <w:trPr>
          <w:trHeight w:val="229"/>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(28,021)</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503,606</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359,462</w:t>
            </w: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80,694</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732,555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440,156</w:t>
            </w: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and net balance,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200,550</w:t>
            </w:r>
          </w:p>
        </w:tc>
      </w:tr>
      <w:tr>
        <w:trPr>
          <w:trHeight w:val="20"/>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-342265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-934085</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two methods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Unpaid Claims for Insurance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Unpaid claims for Insurance operations were $139.7 million at June 30, 2025. During the six months ended June 30, 2025, $145.6 million was paid for incurred claims attributable to insured events of prior years. A favorable development of $2.8 million was recognized during the six months ended June 30, 2025, resulting from the Company's actual experience with claims developing differently as compared to the Company's estimates at December 31, 2024. A favorable development of $28.0 million was recognized during the six months ended June 30, 2024, resulting from the Company's actual experience with claims developing differently as compared to the Company's estimates at December 31, 2023. Original estimates are increased or decreased, as additional information becomes known regarding individual claims. The ratio of current year medical claims paid as a percentage of current year Net medical claims incurred was 81.7% for the six months ended June 30, 2025, and 67.6% for the six months ended June 30, 2024. This ratio serves as an indicator of claims processing speed, indicating that claims were processed at a faster rate during the six months ended June 30, 2025, than during the six months ended June 30, 2024. As a result of faster claims processing, unpaid claims liability decreased which was primarily due to claim submission and payment process improvements.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Entity and Equity Method of Accounting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Since that initial financing, Character Biosciences has completed a series of additional capital raises through the issuance of its shares, each of which diluted the Company’s ownership. As of June 30, 2025, the Company’s ownership interest in Character Biosciences had decreased to approximately 9.1%.</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it does have a significant influence over Character Biosciences and, therefore recognizes its common stock investment in Character Biosciences using the equity method. As the Company applies the equity method,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Consolidated Statements of Operations and Comprehensive Income (Loss).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the Company recognized the proportionate share of Character Bioscience's net loss up to the investment carrying amount. As of March 31, 2024, the investment carrying amount was reduced to zero through cumulative shared losses. Until such point that the Company's cumulative shared gains are in excess of the Company's cumulative shared losses, the Company cannot recognize any further activity. As a result, the Company recognized no shared loss for the three and six months ended June 30, 2025 and zero for the three months ended June 30, 2024 and $0.5 million shared loss for the six months ended June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of compensation that is contributed by the employee up to 4.0% of eligible annual compensation after one year of service. The Company's service contributions to the 401(k) Plan amounted to approximately $0.5 million for both the three months ended June 30, 2025 and 2024, respectively, and $1.0 million and $1.1 million for the six months ended June 30, 2025 and 2024, respectively, and are included in Salaries and benefits in the Condensed Consolidated Statements of Operations and Comprehensive Income (Loss). The Company's cash match is invested pursuant to the participant's contribution direction. Employer contributions are immediately 100.0% vested.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of the Company's common stock reserved for issuance over the term of the Plans, shares outstanding under the Plans, and shares remaining under the Plans at June 30, 2025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0"/>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7320" w:type="dxa"/>
            <w:vAlign w:val="bottom"/>
            <w:gridSpan w:val="2"/>
            <w:vMerge w:val="continue"/>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Plans</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 Plan</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54,402,264</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33,935,978</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97,638,080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35,667,909</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19,305,492</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MIP</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20,056,191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4,373,127</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4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the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for stock options, RSUs, and PRSUs granted under the Plans, and discounts offered in connection with the Company's 2020 Employee Stock Purchase Plan ("ESPP") of $26.2 million and $27.9 million during the three months ended June 30, 2025 and 2024, respectively, and $52.6 million and $56.7 million during the six months ended June 30, 2025 and 2024, respectively, and such expenses are presented in Salaries and benefits in the Condensed Consolidated Statements of Operations and Comprehensive Income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cost presented in Salaries and benefits in the Condensed Consolidated Statements of Operations and Comprehensive Income (Loss)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225"/>
        </w:trPr>
        <w:tc>
          <w:tcPr>
            <w:tcW w:w="5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41,317</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514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2025, there was approximately $363.0 million of unrecognized stock-based compensation expense related to unvested stock options, unvested RSUs, unvested PRSUs and the ESPP.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did not grant stock options during the six months ended June 30, 2025 and 2024, respectively.</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option activity under the 2020 Plan during the six months ended June 30, 2025, was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1"/>
        </w:trPr>
        <w:tc>
          <w:tcPr>
            <w:tcW w:w="864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5"/>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2014 Plan during the six months ended June 30, 2025, was as follows: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6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23,465,666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23,189,065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-1628140</wp:posOffset>
            </wp:positionV>
            <wp:extent cx="514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-1790700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outstanding stock options, substantially all of which are expected to vest, had an aggregate intrinsic value of $15.2 million, and a weighted-average remaining contractual term of 3.98 years. At June 30, 2025, there were 23,966,391 options exercisable under the Plan, with an aggregate intrinsic value of $15.2 million, a weighted-average exercise price of $2.94 per share, and a weighted-average remaining contractual term of 3.98 years. The total value of stock options exercised during the six months ended June 30, 2025 and 2024 was $0.9 million and $0.1 million, respectively. Cash received from stock option exercises during the six months ended June 30, 2025 and 2024 totaled $0.4 million and less than $0.1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total RSU activity is presented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64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55,731,587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(16,193,493)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(787,190)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41,224,131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PRSU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that the Company used in the Monte Carlo model to determine the grant date fair value of Market PRSUs granted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63"/>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70"/>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ind w:left="180" w:hanging="154"/>
        <w:spacing w:after="0" w:line="21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Expected volatility is based on a blend of peer group company historical data adjusted for the Company's leverage.</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Risk-free interest rate based on U.S. Treasury yields with a term equal to the remaining Performance Period as of the grant date.</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Dividend yield was assumed to be zero as the Company does not anticipate paying dividends.</w:t>
      </w:r>
    </w:p>
    <w:p>
      <w:pPr>
        <w:spacing w:after="0" w:line="200" w:lineRule="exact"/>
        <w:rPr>
          <w:sz w:val="20"/>
          <w:szCs w:val="20"/>
          <w:color w:val="auto"/>
        </w:rPr>
      </w:pPr>
    </w:p>
    <w:p>
      <w:pPr>
        <w:spacing w:after="0" w:line="2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the market condition component of these PRSUs has not been met, so the awards have not been earned. This expense represents most of the PRSU expense recognized for the three months ended June 30, 2025 related to stock-based compensation plans which is presented in Salaries and benefits in the Condensed Consolidated Statements of Operations and Comprehensive Income (Loss). The Company has also determined the requisite service period for the PRSUs with multiple performance conditions to be the longest of the explicit, implicit, or derived service period for each tranche.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PRSU activity is presented below:</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84"/>
        </w:trPr>
        <w:tc>
          <w:tcPr>
            <w:tcW w:w="8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29,151,407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during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Adjustment for performance condition achieved</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28,799,293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60" w:hanging="134"/>
        <w:spacing w:after="0"/>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an increase in the number of original CLOV performance share units awarded based on final achievement at the end of the performance period of such awards.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there was $5.8 million of unrecognized share-based compensation expense related to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June 30, 2025, 12,440,564 shares of Class A common stock were available for issuance under the ESPP.</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Black-Scholes option-pricing model to determine the fair value of the purchase rights under the ESPP for the most recent offering period, is as follows: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Offering period from May 22, 2025 to November 22,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4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of the Company for the three and six months ended June 30, 2025 and 2024, was 0.0% and 0.0%, respectively. The Company continues to be in a net operating loss for the three and six months ended June 30, 2025 and net deferred tax asset position. As a result, and in accordance with accounting standards, the Company recorded a valuation allowance to reduce the value of the net deferred tax assets to zero. The Company believes that at June 30, 2025, it had no material uncertain tax positions. Interest and penalties related to unrecognized tax expense (benefits) are recognized in income tax expense, when applicable.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enacts significant changes to the US federal corporate income tax system. The Company is currently evaluating the provisions of the OBBBA. At this time, the financial impact of the new legislation cannot be reasonably estimated.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liabilities for interest and penalties accrued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Net (Loss) Income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and diluted net (loss) income per share from continuing operations attributable to Class A common stockholders and Class B common stockholders (collectively, "Common Stockholders") for the years indicated were calculated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 except for per share and share amounts)</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from continuing operations attributable to common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common stockholders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and common share equivalents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509,043,210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487,483,087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508,893,753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487,575,520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4,989,934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PRSU</w:t>
            </w:r>
          </w:p>
        </w:tc>
        <w:tc>
          <w:tcPr>
            <w:tcW w:w="2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56"/>
        </w:trPr>
        <w:tc>
          <w:tcPr>
            <w:tcW w:w="59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Weighted average shares used in computing net income per share of common</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509,043,210</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495,179,955</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508,893,753</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487,575,520</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diluted</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2024, the Company had net income from continuing operations attributable to Common Stockholders. As a result, the Company's options, RSUs and PRSUs were considered as part of the diluted earnings per share calculation. The Company's options are only included if their strike price was less than the market price per share for the periods being presented. RSU and PRSU shares are only included in the calculation for diluted earnings per share if their performance criteria was satisfied during the period and if they are dilutive in nature. For all other periods presented, the Company had net loss from continuing operations attributable to Common Stockholders. As a result, the Company's potentially dilutive securities, which include Options, RSUs, and PRSUs, have been excluded from the computation of diluted net loss per share from continuing operations, as the effect would be anti-dilutive. Therefore, during these periods, the diluted common shares outstanding equals the average common shares outstanding.</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(loss) income per share of common stock: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6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23,993,192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22,437,390</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23,993,192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24,730,341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41,224,131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41,224,131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53,055,185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28,799,293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24,749,633</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28,799,293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30,588,185</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potentially dilutive shares excluded from computation of net (loss) income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94,016,616</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47,433,734</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94,016,616</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108,373,711</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9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June 30, 2025, and December 31, 2024,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we will record accruals for loss contingencies when it is probable that a liability has been incurred and the amount of loss can be reasonably estimated.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Derivative Litigation and Investigations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asserted violations of sections 10(b) and 20(a) of the Exchange Act and Rule 10b-5 promulgated under the Exchange Act. The Kaul action asserted additional claims under sections 11 and 15 of the Securities Act. The complaints generally related to allegations published in the Hindenburg Article. In April 2021, the Middle District of Tennessee class actions were consolidated under Bond v. Clover Health Investments, Corp. et al., Case No. 3:21-cv-00096 (M.D. Tenn.) as the lead case. On April 21, 2023, the parties to the securities class action entered into a memorandum of understanding providing for the settlement of the action. The Court approved the settlement and dismissed the action with prejudice on October 3, 2023. Under the settlement, the class received $22 million dollars (less an award of fees and expenses to the plaintiffs’ counsel), and the defendants (including the Company) received customary releases. The Company used $19.5 million in insurance proceeds to fund the settlement.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Various shareholder derivative actions parallel to the securities class action were also filed, naming Clover as a nominal defendant. The first action was filed in the United States District Court for the District of Delaware and was captioned Furman v. Garipalli, et al., Case No. 1:21-cv-00191 (D. Del.). The second and third actions were filed in the United States District Court for the Middle District of Tennessee and were captioned Sun v. Garipalli, et al., Case No. 3:21-cv-00311 (M.D. Tenn.), and Luthra v. Garipalli, et al., Case No. 3:21-cv-00320 (M.D. Tenn.). The fourth action was filed in the United States District of Delaware and was captioned Wiegand v. Garipalli, et al., Case No. 1:21-cv-01053 (D. Del.). The fifth action was filed in the Supreme Court of the State of New York and was captioned Sankaranarayanan v. Palihapitiya, et al., Index No. 655420/2021 (N.Y. Sup. Ct., N.Y. Cnty.). The sixth action was filed in the Delaware Court of Chancery and was captioned Davies v. Garipalli, et al., No. 2021-1016-SG (Del. Ch.). The seventh action was filed in the Supreme Court of the State of New York and was captioned Uvaydov v. Palihapitiya, et al., Index No. 656978/2021 (N.Y Sup. Ct., N.Y. Cnty.). On June 21, 2023, the plaintiffs in the derivative lawsuits, on the one hand, and the Company, on the other hand, entered into a binding memorandum of understanding providing for the settlement of the derivative actions. On February 5, 2024, the parties executed a stipulation of settlement which, subject to final court approval, would provide the defendants in the derivative lawsuits with customary releases and will require the Company to implement a suite of corporate governance enhancements. On July 11, 2024, the United States District Court for the Middle District of Tennessee entered a final judgment approving the settlement. The settlement did not involve any monetary payment, other than payment of an award of fees and expenses to plaintiffs’ counsel in the amount of $2.5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13. Operating Segments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Clover Health has one reportable segment: Insurance. The Insurance segment provides PPO and HMO plans to Medicare Advantage members in several states. The segment information is prepared on the same basis that the Company's chief executive officer, who is the Chief Operating Decision Maker ("CODM"). These segment groupings are consistent with information used by the CODM, to assess performance and allocate resources. Net income is used to monitor budget versus actual results. The CODM also uses net income in competitive analysis by benchmarking to the Company’s competitors. The competitive analysis along with the monitoring of budgeted versus actual results are used in assessing performance of the segment and in establishing management’s compensation. The accounting policies of the insurance segment are the same as those described in the summary of significant accounting policies.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22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 Segment</w:t>
            </w: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3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469,826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926,732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691,622</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515,482</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112,836</w:t>
            </w: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87,530</w:t>
            </w:r>
          </w:p>
        </w:tc>
      </w:tr>
      <w:tr>
        <w:trPr>
          <w:trHeight w:val="223"/>
        </w:trPr>
        <w:tc>
          <w:tcPr>
            <w:tcW w:w="5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Segment net (loss)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(24,226)</w:t>
            </w:r>
          </w:p>
        </w:tc>
      </w:tr>
      <w:tr>
        <w:trPr>
          <w:trHeight w:val="237"/>
        </w:trPr>
        <w:tc>
          <w:tcPr>
            <w:tcW w:w="5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salaries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9"/>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48"/>
        </w:trPr>
        <w:tc>
          <w:tcPr>
            <w:tcW w:w="59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 Restrictions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June 30, 2025 and December 31, 2024, neither of the regulated insurance subsidiaries had been authorized nor paid any dividends.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15. Restructuring costs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17, 2023, the Company announced it would implement certain business transformation initiatives, including an agreement to move its core MA operational platform to UST HealthProof’s (“UST HealthProof”)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These activities were concluded by December 31, 2024. During the three months ended June 30, 2025 and 2024, the Company recognized zero and $0.5 million, respectively, and for the six months ended June 30, 2025 and 2024, the Company recognized zero and $0.8 million, respectively, of expenses related to these activities in the Condensed Consolidated Statements of Operations and Comprehensive Income (Loss). As of June 30, 2025, the remaining vendor-related liability is being reduced through the contractually scheduled payments. This liability is recognized within Accounts payable and accrued expenses in the Condensed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Discontinued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2023, the Company notified CMS that it would no longer participate as a REACH ACO in connection with the 2024 performance year. The Company’s exit from the ACO REACH Program was made after the Company determined that it was in its best interest to fully exit the program, following its November 2022 announcement of a strategic reduction in the number of ACO REACH participating physicians in 2023. Subsequent to the 2023 performance year, the remaining activities related to the December 2024 settlement with CMS for prior performance years. During the three months ended June 30, 2025 and 2024, the Company recognized net income of zero and $0.2 million, respectively, and for the six months ended June 30, 2025 and 2024, the Company recognized the net income of zero and $4.2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The discussion should be read in conjunction with the unaudited condensed consolidated financial statements and notes thereto for the three and six months ended June 30, 2025, contained in this Quarterly Report on Form 10-Q (the "Form 10-Q") and the audited consolidated financial statements and notes thereto for the year ended December 31, 2024, contained in the Company's Annual Report on Form 10-K for the year ended December 31, 2024, filed with the Securities and Exchange Commission (the "SEC") on March 3, 2025 (the "2024 Form 10-K"). This discussion contains forward-looking statements and involves numerous risks and uncertainties, including, but not limited to, those described in the "Risk Factors" section of the 2024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June 30, 2025, we operated our MA plans in five states and 200 counties, with 106,323 members.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in Corporate/Other.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grouping is consistent with the information used by our Chief Executive Officer (identified as our chief operating decision maker) ("CODM") to assess performance and allocate the Company's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presents key financial measures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0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(amounts in thousands, except PMPM amounts)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Insurance members at period end</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106,323</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80,261</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106,323</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80,261</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07"/>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22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earned, gross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469,922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1,485</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350,002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1,458</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926,924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691,825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469,826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1,485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349,900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1,458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926,732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691,622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Insurance medical claim expense</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394,246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249,753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762,274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517,228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incurred, gross</w:t>
            </w: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Insurance net medical claims</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394,212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249,406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762,100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515,482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incurred</w:t>
            </w:r>
          </w:p>
        </w:tc>
        <w:tc>
          <w:tcPr>
            <w:tcW w:w="2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expense ratio, gross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140" w:type="dxa"/>
            <w:vAlign w:val="bottom"/>
          </w:tcPr>
          <w:p>
            <w:pPr>
              <w:spacing w:after="0"/>
              <w:rPr>
                <w:sz w:val="16"/>
                <w:szCs w:val="16"/>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76.1 %</w:t>
            </w:r>
          </w:p>
        </w:tc>
        <w:tc>
          <w:tcPr>
            <w:tcW w:w="18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87.3 %</w:t>
            </w:r>
          </w:p>
        </w:tc>
        <w:tc>
          <w:tcPr>
            <w:tcW w:w="18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79.8 %</w:t>
            </w:r>
          </w:p>
        </w:tc>
        <w:tc>
          <w:tcPr>
            <w:tcW w:w="18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expense ratio,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76.1 %</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87.3 %</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79.6 %</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SG&amp;A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82,493</w:t>
            </w:r>
          </w:p>
        </w:tc>
        <w:tc>
          <w:tcPr>
            <w:tcW w:w="140" w:type="dxa"/>
            <w:vAlign w:val="bottom"/>
          </w:tcPr>
          <w:p>
            <w:pPr>
              <w:spacing w:after="0"/>
              <w:rPr>
                <w:sz w:val="16"/>
                <w:szCs w:val="16"/>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71,704</w:t>
            </w:r>
          </w:p>
        </w:tc>
        <w:tc>
          <w:tcPr>
            <w:tcW w:w="18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165,600</w:t>
            </w:r>
          </w:p>
        </w:tc>
        <w:tc>
          <w:tcPr>
            <w:tcW w:w="18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146,644</w:t>
            </w:r>
          </w:p>
        </w:tc>
        <w:tc>
          <w:tcPr>
            <w:tcW w:w="18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17,135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36,209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42,917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43,029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Adjusted Net income from</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16,722</w:t>
            </w:r>
          </w:p>
        </w:tc>
        <w:tc>
          <w:tcPr>
            <w:tcW w:w="140" w:type="dxa"/>
            <w:vAlign w:val="bottom"/>
          </w:tcPr>
          <w:p>
            <w:pPr>
              <w:spacing w:after="0"/>
              <w:rPr>
                <w:sz w:val="12"/>
                <w:szCs w:val="12"/>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35,862</w:t>
            </w:r>
          </w:p>
        </w:tc>
        <w:tc>
          <w:tcPr>
            <w:tcW w:w="180" w:type="dxa"/>
            <w:vAlign w:val="bottom"/>
          </w:tcPr>
          <w:p>
            <w:pPr>
              <w:spacing w:after="0"/>
              <w:rPr>
                <w:sz w:val="12"/>
                <w:szCs w:val="12"/>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42,038</w:t>
            </w:r>
          </w:p>
        </w:tc>
        <w:tc>
          <w:tcPr>
            <w:tcW w:w="180" w:type="dxa"/>
            <w:vAlign w:val="bottom"/>
          </w:tcPr>
          <w:p>
            <w:pPr>
              <w:spacing w:after="0"/>
              <w:rPr>
                <w:sz w:val="12"/>
                <w:szCs w:val="12"/>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41,897</w:t>
            </w:r>
          </w:p>
        </w:tc>
        <w:tc>
          <w:tcPr>
            <w:tcW w:w="180" w:type="dxa"/>
            <w:vAlign w:val="bottom"/>
          </w:tcPr>
          <w:p>
            <w:pPr>
              <w:spacing w:after="0"/>
              <w:rPr>
                <w:sz w:val="12"/>
                <w:szCs w:val="12"/>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right="20" w:firstLine="6"/>
        <w:spacing w:after="0" w:line="242" w:lineRule="auto"/>
        <w:tabs>
          <w:tab w:leader="none" w:pos="15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and associated premiums earned and medical claim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gross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Insurance gross medical claims incurred</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net medical claims incurred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measures in this Form 10-Q, including Insurance BER, Adjusted SG&amp;A, Adjusted EBITDA, and Adjusted Net income from continuing operations.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condensed consolidated financial statements prepared in accordance with GAAP.</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these non-GAAP financial measures, including the reasons management uses such measures, and the reconciliations of these non-GAAP financial measures to the comparable GAAP measures, please see "Benefits expense ratio, gross and net", "Adjusted SG&amp;A", "Adjusted EBITDA", and Adjusted Net income from continuing operations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expense ratio, gross and net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Benefits expense ratio ("Insurance BER") is a non-GAAP financial measure.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reconciliations of Net medical claims incurred and Premiums earned on a gross and net basis which are GAAP measures, to Insurance BER, a non-GAAP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7"/>
                <w:szCs w:val="17"/>
                <w:color w:val="auto"/>
              </w:rPr>
            </w:pPr>
          </w:p>
        </w:tc>
        <w:tc>
          <w:tcPr>
            <w:tcW w:w="236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r>
      <w:tr>
        <w:trPr>
          <w:trHeight w:val="225"/>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gross (GAAP):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394,246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249,753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762,274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517,228</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21,191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16,733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46,903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34,938</w:t>
            </w:r>
          </w:p>
        </w:tc>
      </w:tr>
      <w:tr>
        <w:trPr>
          <w:trHeight w:val="22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gross (non-GAAP)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415,437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266,486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809,177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552,166</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gross (GAAP)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469,922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350,002</w:t>
            </w: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926,924</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691,825</w:t>
            </w:r>
          </w:p>
        </w:tc>
      </w:tr>
      <w:tr>
        <w:trPr>
          <w:trHeight w:val="230"/>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gross (non-GAAP)</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r>
      <w:tr>
        <w:trPr>
          <w:trHeight w:val="459"/>
        </w:trPr>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24"/>
                <w:szCs w:val="24"/>
                <w:color w:val="auto"/>
              </w:rPr>
            </w:pPr>
          </w:p>
        </w:tc>
        <w:tc>
          <w:tcPr>
            <w:tcW w:w="236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r>
      <w:tr>
        <w:trPr>
          <w:trHeight w:val="225"/>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net (GAAP):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394,212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249,406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762,100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515,482</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21,191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16,733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46,903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34,938</w:t>
            </w:r>
          </w:p>
        </w:tc>
      </w:tr>
      <w:tr>
        <w:trPr>
          <w:trHeight w:val="223"/>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net (non-GAAP)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415,403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266,139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809,003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550,420</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net (GAAP)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469,826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349,900</w:t>
            </w: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926,732</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691,622</w:t>
            </w:r>
          </w:p>
        </w:tc>
      </w:tr>
      <w:tr>
        <w:trPr>
          <w:trHeight w:val="229"/>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net (non-GAAP)</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-3016885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-1207770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SG&amp;A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SG&amp;A, a GAAP financial measure, to Adjusted SG&amp;A, a non-GAAP measure: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23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8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61,309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55,499</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120,331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114,722</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48,484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44,424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99,159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88,993</w:t>
            </w:r>
          </w:p>
        </w:tc>
      </w:tr>
      <w:tr>
        <w:trPr>
          <w:trHeight w:val="223"/>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SG&amp;A (GAAP)</w:t>
            </w:r>
          </w:p>
        </w:tc>
        <w:tc>
          <w:tcPr>
            <w:tcW w:w="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109,793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99,923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219,490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203,715</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(27,900)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(52,632)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(56,698)</w:t>
            </w:r>
          </w:p>
        </w:tc>
      </w:tr>
      <w:tr>
        <w:trPr>
          <w:trHeight w:val="230"/>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(373)</w:t>
            </w:r>
          </w:p>
        </w:tc>
      </w:tr>
      <w:tr>
        <w:trPr>
          <w:trHeight w:val="248"/>
        </w:trPr>
        <w:tc>
          <w:tcPr>
            <w:tcW w:w="5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SG&amp;A (non-GAAP)</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82,493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71,704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165,600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146,644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(GAAP)</w:t>
            </w:r>
          </w:p>
        </w:tc>
        <w:tc>
          <w:tcPr>
            <w:tcW w:w="8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477,620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356,260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939,951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703,182</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 (non-GAAP) as a percentage of Total revenues</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900"/>
        </w:trPr>
        <w:tc>
          <w:tcPr>
            <w:tcW w:w="5080" w:type="dxa"/>
            <w:vAlign w:val="bottom"/>
          </w:tcPr>
          <w:p>
            <w:pPr>
              <w:spacing w:after="0"/>
              <w:rPr>
                <w:sz w:val="24"/>
                <w:szCs w:val="24"/>
                <w:color w:val="auto"/>
              </w:rPr>
            </w:pPr>
          </w:p>
        </w:tc>
        <w:tc>
          <w:tcPr>
            <w:tcW w:w="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29</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(loss) income from continuing operations before depreciation and amortization, loss on investment, interest expense, change in fair value of warrants, stock-based compensation, premium deficiency reserve benefit, restructuring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Net (loss) income from continuing operations, a GAAP financial measure, to Adjusted EBITDA, a non-GAAP financial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225"/>
        </w:trPr>
        <w:tc>
          <w:tcPr>
            <w:tcW w:w="5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from continuing operations (GAAP):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56,698</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8"/>
        </w:trPr>
        <w:tc>
          <w:tcPr>
            <w:tcW w:w="5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Adjusted EBITDA (non-GAAP)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from continuing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from continuing operations is a non-GAAP financial measure defined by us as net (loss) income from continuing operations before stock-based compensation, premium deficiency reserve benefit, restructuring costs, non-recurring legal expenses and settlement, and impairment of goodwill and other intangible assets. Adjusted Net income from continuing operations is a key measure used by our management team and the board of directors to understand and evaluate our operating performance and trends. We believe that Adjusted Net income from continuing operations is helpful to investors in assessing the Company’s financial performance in the same manner as our management and our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1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 (GAAP)</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 from continuing operations (non-GAAP)</w:t>
            </w:r>
          </w:p>
        </w:tc>
        <w:tc>
          <w:tcPr>
            <w:tcW w:w="8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1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three months ended June 30, 2025 and 2024.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7"/>
                <w:szCs w:val="17"/>
                <w:color w:val="auto"/>
              </w:rPr>
            </w:pPr>
          </w:p>
        </w:tc>
        <w:tc>
          <w:tcPr>
            <w:tcW w:w="25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Change Between 2025 and 2024</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$96 and $102 for the three</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June 30, 2025 and 2024, respectively)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469,826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119,926</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356,260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7"/>
        </w:trPr>
        <w:tc>
          <w:tcPr>
            <w:tcW w:w="5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0"/>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80" w:type="dxa"/>
            <w:vAlign w:val="bottom"/>
          </w:tcPr>
          <w:p>
            <w:pPr>
              <w:spacing w:after="0"/>
              <w:rPr>
                <w:sz w:val="23"/>
                <w:szCs w:val="23"/>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488,179</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349,073</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139,106</w:t>
            </w:r>
          </w:p>
        </w:tc>
        <w:tc>
          <w:tcPr>
            <w:tcW w:w="8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5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-959485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-3051175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earned, net increased $119.9 million, or 34%, to $469.8 million for the three months ended June 30, 2025, compared to the three months ended June 30, 2024. The increase was primarily driven by growth in our average members over the period, which increased approximately 32%.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increased by $1.4 million, or 23%, to $7.8 million for the three months ended June 30, 2025, compared to the three months ended June 30, 2024. The increase was primarily driven by an increase in fair value of our equity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medical claims incurred increased $129.6 million, or 52%, to $378.0 million for the three months ended June 30, 2025, compared to the three months ended June 30, 2024. The increase was primarily driven by growth in our average members during the period, which increased approximately 32% and an increase in our Part D cost sharing due to changes arising from the Inflation Reduction Act. Additionally, prior year amounts were impacted by more favorable prior period developments as compared to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increased by $5.8 million, or 10%, to $61.3 million for the three months ended June 30, 2025, compared to the three months ended June 30, 2024. This increase was primarily driven by an increase in headcount as a result of the Company's efforts to accommodate its membership growth during the most recent annual enrollment period.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$4.1 million, or 9%, to $48.5 million for the three months ended June 30, 2025, compared to the three months ended June 30, 2024. The increase was primarily driven by higher professional fees and higher broker fees, with the latter being driven by membership growth during the most recent annual enrollment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six months ended June 30, 2025 and 2024.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 w:type="dxa"/>
            <w:vAlign w:val="bottom"/>
          </w:tcPr>
          <w:p>
            <w:pPr>
              <w:spacing w:after="0"/>
              <w:rPr>
                <w:sz w:val="17"/>
                <w:szCs w:val="17"/>
                <w:color w:val="auto"/>
              </w:rPr>
            </w:pPr>
          </w:p>
        </w:tc>
        <w:tc>
          <w:tcPr>
            <w:tcW w:w="25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Change Between 2025 and 2024</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$192 and $203 for the six</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June 30, 2025 and 2024,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926,732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691,622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235,110</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939,951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703,182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236,769</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0"/>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8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951,784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718,698</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233,086</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5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-24765</wp:posOffset>
            </wp:positionV>
            <wp:extent cx="514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-1105535</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-3196590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earned, net increased $235.1 million, or 34%, to $926.7 million for the six months ended June 30, 2025, compared to the six months ended June 30, 2024. The increase was primarily driven by growth in our average members over the period, which increased approximately 30%.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increased by $1.7 million, or 14%, to $13.2 million for the six months ended June 30, 2025, compared to the six months ended June 30, 2024. The increase was primarily driven by an increase in fair value of our equity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medical claims incurred increased $217.9 million, or 42%, to $731.4 million for the six months ended June 30, 2025, compared to the six months ended June 30, 2024. The increase was primarily driven by growth in our average members during the period, which increased approximately 30% and an increase to our Part D cost sharing due to changes arising from the Inflation Reduction Act. Additionally, prior year amounts were impacted by more favorable prior period developments as compared to the current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increased by $5.6 million, or 5%, to $120.3 million for the six months ended June 30, 2025, compared to the six months ended June 30, 2024. This increase was primarily driven by an increase in headcount as a result of the Company's efforts to accommodate its membership growth during the most recent annual enrollment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$10.2 million, or 11%, to $99.2 million for the six months ended June 30, 2025, compared to the six months ended June 30, 2024. The increase was primarily driven by higher professional fees and higher broker fees, with the latter being driven by membership growth during the most recent annual enrollment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primarily from the proceeds we received through premiums earned under our MA plans. We expect that our cash, cash equivalents,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equivalents and investment securities consist primarily of money market funds, U.S. government debt securities, and corporate debt securities. At June 30, 2025 and December 31, 2024, total cash, cash equivalents, and investments were $389.3 million and $437.6 million, respectively. These totals consist of $200.6 million and $243.1 million at June 30, 2025 and December 31, 2024, respectively, that specifically relate to available-for-sale and held-to-maturity investment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Unregulated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and December 31, 2024, total cash, cash equivalents, and investments for the parent company, Clover Health Investments, Corp., and unregulated subsidiaries were $145.9 million and $151.5 million, respectively.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Entities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2025 and December 31, 2024 total cash, cash equivalents, and investments for our regulated subsidiaries were $243.4 million and $286.1 million, respectively. Additionally, our regulated insurance subsidiaries held $200.6 million and $243.1 million of available-for-sale and held-to-maturity investment securities at June 30, 2025 and December 31, 2024, respectively. Our use of operating cash derived from our unregulated subsidiaries is generally not restricted by departments of insurance (or comparable state regulatory agencies). Our regulated insurance subsidiaries are subject to regulations and standards in their respective jurisdictions on their ability to declare and pay dividends to the parent. As of June 30, 2025, there have been no dividends paid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19 "Dividend Restrictions", 20 "Statutory Equity", and 21 "Regulatory Matters" in the 2024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9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flows for the six months ended June 30, 2025 and 2024.</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4"/>
                <w:szCs w:val="24"/>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6"/>
                <w:szCs w:val="16"/>
                <w:color w:val="auto"/>
              </w:rPr>
            </w:pPr>
          </w:p>
        </w:tc>
      </w:tr>
      <w:tr>
        <w:trPr>
          <w:trHeight w:val="23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Data:</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79,697</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14,139</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(6,554)</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87,282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short-term investments, and our current projections of cash flows from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 from Continuing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Net cash used in operating activities from continuing operations was $10.9 million, which reflects a Net loss from continuing operations of $11.9 million. Non-cash activities primarily included a $52.6 million charge to Stock-based compensation expense.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from continuing operations was $79.7 million, which reflects a Net loss from continuing operations of $7.2 million. Non-cash activities primarily included a $56.7 million charge to Stock-based compensation expense and Unpaid claims increased by $63.5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2025 of $44.5 million was primarily due to $105.1 million provided from the sales and maturities of investment securities. This was offset by $59.9 million used to purchase investments.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2024, of $14.1 million was primarily due to $66.7 million provided from the sales and maturities of investment securities. This was offset by $51.7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investing activities, please refer to Note 3 "Investment Securities" to our condensed consolidated financial statements included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2025 of $39.5 million was primarily the result of cash paid for shares withheld related to stock-based compensation totaling $22.1 million and share repurchases totaling $18.3 million of Class A Common stock.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of $6.6 million was primarily the result of cash paid for shares withheld related to stock-based compensation totaling $4.8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financing arrangements at June 30,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cash requirements from known contractual obligations and commitments at June 30, 2025 include operating lease obligations of $2.8 million. These commitments are associated with contracts that were enforceable and legally binding at June 30, 2025,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June 30, 2025. For additional information regarding our remaining estimated contractual obligations and commitments, see Note 12 "Commitments and Contingencies" in the accompanying notes to the condensed consolidated financial statements included in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and estimates involve a significant degree of judgment and complexity. There have been no significant changes in our critical accounting policies and estimates during the three months ended June 30, 2025, as compared to the critical accounting policies and estimates disclosed in the section titled "Management's Discussion and Analysis of Financial Condition and Results of Operations" included in the 2024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accompanying notes to the condensed consolidated financial statements included in this Form 10-Q for a discussion of accounting pronouncements recently adopted and recently issued accounting pronouncements not yet adopted and their potential impact to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June 30, 2025, none of our fixed maturity securities portfolio was unrated or rated below investment grade.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June 30, 2025, pursuant to Rule 13a-15(b) under the Securities Exchange Act of 1934, as amended (the "Exchange Act"). Based upon that evaluation, our Certifying Officers concluded that, at June 30, 2025, our disclosure controls and procedures were effective.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8"/>
          <w:szCs w:val="18"/>
          <w:color w:val="000000"/>
        </w:rPr>
        <w:t>results</w:t>
      </w:r>
      <w:r>
        <w:rPr>
          <w:rFonts w:ascii="Times New Roman" w:cs="Times New Roman" w:eastAsia="Times New Roman" w:hAnsi="Times New Roman"/>
          <w:sz w:val="18"/>
          <w:szCs w:val="18"/>
          <w:color w:val="231F20"/>
        </w:rPr>
        <w:t xml:space="preserve"> of operation.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12 (Commitments and Contingencies) in the accompanying notes to condensed consolidated financial statements included in Part I, Item 1 of this Form 10-Q,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Except as subsequently disclosed in our periodic reports, there have been no material changes in our risk factors from those disclosed in Part I, Item 1A of the 2024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2024 Form 10-K, as well as the factors identified under "Cautionary Note Regarding Forward-Looking Statements" at the beginning of Part I, Item 1 of this Form 10-Q and as may be updated in subsequent filings with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officers (as defined in Rule 16a-1(f) of the Exchange Act) adopted or terminated a Rule 10b5-1 trading arrangement or non Rule 10b5-1 trading arrangement (as such terms are defined in Item 408(a) of Regulation S-K of the Securities Act).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 and Financial Statement Schedules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9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 Adopted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10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ind w:left="778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81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June 30,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Kuipers, certify that:</w:t>
      </w:r>
    </w:p>
    <w:p>
      <w:pPr>
        <w:spacing w:after="0" w:line="225"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June 30,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2025-08-08T07:17:12Z</dcterms:created>
  <dcterms:modified xsi:type="dcterms:W3CDTF">2025-08-08T07:17:12Z</dcterms:modified>
</cp:coreProperties>
</file>