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55"/>
        </w:trPr>
        <w:tc>
          <w:tcPr>
            <w:tcW w:w="5840" w:type="dxa"/>
            <w:vAlign w:val="bottom"/>
          </w:tcPr>
          <w:p>
            <w:pPr>
              <w:jc w:val="center"/>
              <w:ind w:right="370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74"/>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503"/>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spacing w:after="0"/>
              <w:rPr>
                <w:sz w:val="24"/>
                <w:szCs w:val="24"/>
                <w:color w:val="auto"/>
              </w:rPr>
            </w:pPr>
          </w:p>
        </w:tc>
      </w:tr>
      <w:tr>
        <w:trPr>
          <w:trHeight w:val="255"/>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2"/>
                <w:szCs w:val="22"/>
                <w:color w:val="auto"/>
              </w:rPr>
            </w:pPr>
          </w:p>
        </w:tc>
      </w:tr>
      <w:tr>
        <w:trPr>
          <w:trHeight w:val="237"/>
        </w:trPr>
        <w:tc>
          <w:tcPr>
            <w:tcW w:w="5840" w:type="dxa"/>
            <w:vAlign w:val="bottom"/>
          </w:tcPr>
          <w:p>
            <w:pPr>
              <w:jc w:val="center"/>
              <w:ind w:left="1765"/>
              <w:spacing w:after="0"/>
              <w:rPr>
                <w:sz w:val="20"/>
                <w:szCs w:val="20"/>
                <w:color w:val="auto"/>
              </w:rPr>
            </w:pPr>
            <w:r>
              <w:rPr>
                <w:rFonts w:ascii="Arial" w:cs="Arial" w:eastAsia="Arial" w:hAnsi="Arial"/>
                <w:sz w:val="11"/>
                <w:szCs w:val="11"/>
                <w:color w:val="auto"/>
                <w:w w:val="98"/>
              </w:rPr>
              <w:t>________________________________________</w:t>
            </w:r>
          </w:p>
        </w:tc>
        <w:tc>
          <w:tcPr>
            <w:tcW w:w="1460" w:type="dxa"/>
            <w:vAlign w:val="bottom"/>
          </w:tcPr>
          <w:p>
            <w:pPr>
              <w:spacing w:after="0"/>
              <w:rPr>
                <w:sz w:val="20"/>
                <w:szCs w:val="20"/>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At October 31, 2025, the registrant had 424,304,898 shares of Class A Common Stock, $0.0001 par value per share, and 92,373,157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26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60" w:firstLine="8"/>
        <w:spacing w:after="0" w:line="239" w:lineRule="auto"/>
        <w:tabs>
          <w:tab w:leader="none" w:pos="16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172" w:right="339" w:bottom="551"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1"/>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9"/>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1"/>
            <w:vMerge w:val="continue"/>
          </w:tcPr>
          <w:p>
            <w:pPr>
              <w:spacing w:after="0"/>
              <w:rPr>
                <w:sz w:val="14"/>
                <w:szCs w:val="14"/>
                <w:color w:val="auto"/>
              </w:rPr>
            </w:pPr>
          </w:p>
        </w:tc>
        <w:tc>
          <w:tcPr>
            <w:tcW w:w="6680" w:type="dxa"/>
            <w:vAlign w:val="bottom"/>
            <w:gridSpan w:val="9"/>
            <w:vMerge w:val="continue"/>
          </w:tcPr>
          <w:p>
            <w:pPr>
              <w:spacing w:after="0"/>
              <w:rPr>
                <w:sz w:val="14"/>
                <w:szCs w:val="14"/>
                <w:color w:val="auto"/>
              </w:rPr>
            </w:pPr>
          </w:p>
        </w:tc>
        <w:tc>
          <w:tcPr>
            <w:tcW w:w="620" w:type="dxa"/>
            <w:vAlign w:val="bottom"/>
            <w:gridSpan w:val="4"/>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2025 and December 31, 2024</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w:t>
            </w: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Borders>
              <w:top w:val="single" w:sz="8" w:color="0000FF"/>
            </w:tcBorders>
            <w:gridSpan w:val="6"/>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30, 2025 and 2024</w:t>
            </w:r>
          </w:p>
        </w:tc>
        <w:tc>
          <w:tcPr>
            <w:tcW w:w="7700" w:type="dxa"/>
            <w:vAlign w:val="bottom"/>
            <w:tcBorders>
              <w:top w:val="single" w:sz="8" w:color="0000FF"/>
            </w:tcBorders>
            <w:gridSpan w:val="12"/>
            <w:vMerge w:val="restart"/>
          </w:tcPr>
          <w:p>
            <w:pPr>
              <w:spacing w:after="0"/>
              <w:rPr>
                <w:sz w:val="6"/>
                <w:szCs w:val="6"/>
                <w:color w:val="auto"/>
              </w:rPr>
            </w:pPr>
          </w:p>
        </w:tc>
        <w:tc>
          <w:tcPr>
            <w:tcW w:w="40" w:type="dxa"/>
            <w:vAlign w:val="bottom"/>
            <w:gridSpan w:val="2"/>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Borders>
              <w:top w:val="single" w:sz="8" w:color="0000FF"/>
              <w:bottom w:val="single" w:sz="8" w:color="0000FF"/>
            </w:tcBorders>
            <w:gridSpan w:val="6"/>
            <w:vMerge w:val="continue"/>
          </w:tcPr>
          <w:p>
            <w:pPr>
              <w:spacing w:after="0"/>
              <w:rPr>
                <w:sz w:val="5"/>
                <w:szCs w:val="5"/>
                <w:color w:val="auto"/>
              </w:rPr>
            </w:pPr>
          </w:p>
        </w:tc>
        <w:tc>
          <w:tcPr>
            <w:tcW w:w="7700" w:type="dxa"/>
            <w:vAlign w:val="bottom"/>
            <w:tcBorders>
              <w:top w:val="single" w:sz="8" w:color="0000FF"/>
            </w:tcBorders>
            <w:gridSpan w:val="12"/>
            <w:vMerge w:val="continue"/>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20" w:type="dxa"/>
            <w:vAlign w:val="bottom"/>
          </w:tcPr>
          <w:p>
            <w:pPr>
              <w:spacing w:after="0"/>
              <w:rPr>
                <w:sz w:val="19"/>
                <w:szCs w:val="19"/>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2025 and 2024</w:t>
            </w:r>
          </w:p>
        </w:tc>
        <w:tc>
          <w:tcPr>
            <w:tcW w:w="8020" w:type="dxa"/>
            <w:vAlign w:val="bottom"/>
            <w:gridSpan w:val="17"/>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Borders>
              <w:bottom w:val="single" w:sz="8" w:color="0000FF"/>
            </w:tcBorders>
            <w:gridSpan w:val="3"/>
            <w:vMerge w:val="continue"/>
          </w:tcPr>
          <w:p>
            <w:pPr>
              <w:spacing w:after="0"/>
              <w:rPr>
                <w:sz w:val="5"/>
                <w:szCs w:val="5"/>
                <w:color w:val="auto"/>
              </w:rPr>
            </w:pPr>
          </w:p>
        </w:tc>
        <w:tc>
          <w:tcPr>
            <w:tcW w:w="8020" w:type="dxa"/>
            <w:vAlign w:val="bottom"/>
            <w:gridSpan w:val="17"/>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2025 and 2024</w:t>
            </w:r>
          </w:p>
        </w:tc>
        <w:tc>
          <w:tcPr>
            <w:tcW w:w="1480" w:type="dxa"/>
            <w:vAlign w:val="bottom"/>
            <w:gridSpan w:val="3"/>
          </w:tcPr>
          <w:p>
            <w:pPr>
              <w:spacing w:after="0"/>
              <w:rPr>
                <w:sz w:val="19"/>
                <w:szCs w:val="19"/>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20" w:type="dxa"/>
            <w:vAlign w:val="bottom"/>
            <w:gridSpan w:val="5"/>
          </w:tcPr>
          <w:p>
            <w:pPr>
              <w:spacing w:after="0"/>
              <w:rPr>
                <w:sz w:val="19"/>
                <w:szCs w:val="19"/>
                <w:color w:val="auto"/>
              </w:rPr>
            </w:pPr>
          </w:p>
        </w:tc>
        <w:tc>
          <w:tcPr>
            <w:tcW w:w="148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3"/>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27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3"/>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1"/>
                <w:szCs w:val="21"/>
                <w:color w:val="auto"/>
              </w:rPr>
            </w:pPr>
          </w:p>
        </w:tc>
        <w:tc>
          <w:tcPr>
            <w:tcW w:w="2660" w:type="dxa"/>
            <w:vAlign w:val="bottom"/>
            <w:gridSpan w:val="4"/>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3"/>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3"/>
          </w:tcPr>
          <w:p>
            <w:pPr>
              <w:spacing w:after="0"/>
              <w:rPr>
                <w:sz w:val="24"/>
                <w:szCs w:val="24"/>
                <w:color w:val="auto"/>
              </w:rPr>
            </w:pPr>
          </w:p>
        </w:tc>
        <w:tc>
          <w:tcPr>
            <w:tcW w:w="708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7"/>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1"/>
                <w:szCs w:val="21"/>
                <w:color w:val="auto"/>
              </w:rPr>
            </w:pPr>
          </w:p>
        </w:tc>
        <w:tc>
          <w:tcPr>
            <w:tcW w:w="6780" w:type="dxa"/>
            <w:vAlign w:val="bottom"/>
            <w:gridSpan w:val="11"/>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6"/>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condensed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Insurance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including the expansion of Clover Assistant technology for external payors and providers serving the Medicare eligible population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beneficiary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loss ratios;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continued compliance with Nasdaq's listing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high inflation and fluctuating interest rates.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our Chief Financial Officer, Peter Kuipers.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44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$11,185; 2024: $27,153)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26,997</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$1,801; 2024: $15)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41,253</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r>
      <w:tr>
        <w:trPr>
          <w:trHeight w:val="22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343,124</w:t>
            </w:r>
          </w:p>
        </w:tc>
      </w:tr>
      <w:tr>
        <w:trPr>
          <w:trHeight w:val="250"/>
        </w:trPr>
        <w:tc>
          <w:tcPr>
            <w:tcW w:w="8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$180,011; 2024: $203,147)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$12,272; 2024: $13,913)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w:t>
            </w: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580,742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44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213,516</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September 30, 2025 and</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2024; 421,821,072 and 414,493,051 issued and outstanding at September 30, 2025 and</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September 30, 2025 and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2024; 92,373,157 and 89,032,305 issued and outstanding at September 30, 2025 and December 31,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2,576,471</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(2,202,803)</w:t>
            </w: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30,264,539 and 18,752,947 shares held at September 30, 2025 and December 31,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341,143</w:t>
            </w: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559,659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580,742</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7"/>
                <w:szCs w:val="17"/>
                <w:color w:val="auto"/>
              </w:rPr>
            </w:pPr>
          </w:p>
        </w:tc>
        <w:tc>
          <w:tcPr>
            <w:tcW w:w="22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22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3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$92 and $97 for the three months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 2025 and 2024 respectively, and $284 and $301 for the nine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ended September 30, 2025 and 2024,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1,405,860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1,014,201</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r>
      <w:tr>
        <w:trPr>
          <w:trHeight w:val="223"/>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1,034,168</w:t>
            </w:r>
          </w:p>
        </w:tc>
      </w:tr>
      <w:tr>
        <w:trPr>
          <w:trHeight w:val="270"/>
        </w:trPr>
        <w:tc>
          <w:tcPr>
            <w:tcW w:w="6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763,283</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169,717</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(recoveries) costs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521,027</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1,472,811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1,058,469</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w:t>
            </w:r>
          </w:p>
        </w:tc>
      </w:tr>
      <w:tr>
        <w:trPr>
          <w:trHeight w:val="270"/>
        </w:trPr>
        <w:tc>
          <w:tcPr>
            <w:tcW w:w="6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63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r>
      <w:tr>
        <w:trPr>
          <w:trHeight w:val="229"/>
        </w:trPr>
        <w:tc>
          <w:tcPr>
            <w:tcW w:w="6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48"/>
        </w:trPr>
        <w:tc>
          <w:tcPr>
            <w:tcW w:w="63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5"/>
        </w:trPr>
        <w:tc>
          <w:tcPr>
            <w:tcW w:w="6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number of class A and class B common shares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common share equivalents outstanding</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512,743,521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490,180,103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510,191,111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488,501,812</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63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-4859655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414,493,051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89,032,305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18,752,947</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(30,991)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2,576,471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(2,202,803)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341,143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139,709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6,431,417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3,342,698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(1,833,218)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1,833,218</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Repurchases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(5,069,423)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5,069,423</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March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414,161,536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92,375,003</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25,655,588</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$(62,947)</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$2,603,123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(2,204,077)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336,075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6,417,884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(2,476,795)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2,476,795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under Employee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186,901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0" w:type="dxa"/>
            <w:vAlign w:val="bottom"/>
          </w:tcPr>
          <w:p>
            <w:pPr>
              <w:spacing w:after="0"/>
              <w:rPr>
                <w:sz w:val="1"/>
                <w:szCs w:val="1"/>
                <w:color w:val="auto"/>
              </w:rPr>
            </w:pPr>
          </w:p>
        </w:tc>
      </w:tr>
      <w:tr>
        <w:trPr>
          <w:trHeight w:val="212"/>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418,386,775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92,375,003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28,132,383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$(71,415)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$2,630,021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(2,214,655)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344,179</w:t>
            </w: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163,180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5,401,427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Conversion from Class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 Common Stock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(2,132,156)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2,132,156</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September 30,</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421,821,072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92,373,157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30,264,539</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$(76,990)</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$2,656,432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(2,239,032)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340,932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0880"/>
          </w:cols>
          <w:pgMar w:left="500" w:top="661" w:right="51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661" w:right="5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401,183,882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87,867,732</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7,912,750</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(12,729)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2,461,238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(2,159,794)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286,394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8,672,362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1,781,633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(3,700,995)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3,700,995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March 31,</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406,155,332</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89,649,365</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11,613,745</w:t>
            </w:r>
          </w:p>
        </w:tc>
        <w:tc>
          <w:tcPr>
            <w:tcW w:w="80" w:type="dxa"/>
            <w:vAlign w:val="bottom"/>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$(16,088)</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$2,490,036</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(2,178,964)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(2,560)</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292,474</w:t>
            </w:r>
          </w:p>
        </w:tc>
        <w:tc>
          <w:tcPr>
            <w:tcW w:w="0" w:type="dxa"/>
            <w:vAlign w:val="bottom"/>
          </w:tcPr>
          <w:p>
            <w:pPr>
              <w:spacing w:after="0"/>
              <w:rPr>
                <w:sz w:val="1"/>
                <w:szCs w:val="1"/>
                <w:color w:val="auto"/>
              </w:rPr>
            </w:pPr>
          </w:p>
        </w:tc>
      </w:tr>
      <w:tr>
        <w:trPr>
          <w:trHeight w:val="21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700" w:type="dxa"/>
            <w:vAlign w:val="bottom"/>
            <w:shd w:val="clear" w:color="auto" w:fill="CCEEFF"/>
          </w:tcPr>
          <w:p>
            <w:pPr>
              <w:ind w:left="100"/>
              <w:spacing w:after="0" w:line="164"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27,900</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3,003,054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1,122,347</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under Employee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227,502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Repurchases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(1,838,309)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1,838,309</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0" w:type="dxa"/>
            <w:vAlign w:val="bottom"/>
          </w:tcPr>
          <w:p>
            <w:pPr>
              <w:spacing w:after="0"/>
              <w:rPr>
                <w:sz w:val="1"/>
                <w:szCs w:val="1"/>
                <w:color w:val="auto"/>
              </w:rPr>
            </w:pPr>
          </w:p>
        </w:tc>
      </w:tr>
      <w:tr>
        <w:trPr>
          <w:trHeight w:val="212"/>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406,486,444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89,649,365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14,574,401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$(19,306)</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$2,517,959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(2,171,556)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324,888</w:t>
            </w: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122,662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6,273,408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Conversion from Class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 Common Stock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617,060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(617,060)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(2,242,609)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2,242,609</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w:t>
            </w: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September 30,</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411,256,965</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89,032,305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16,817,010</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$(24,192)</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$2,546,167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(2,180,711)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342,166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69" w:right="5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 and amortization of warrants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30,310</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129,539</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120,678</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(153,347)</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108,788</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 net of stock issuance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111,462</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176,494</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287,956</w:t>
            </w: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661"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2024 (the "2024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2024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(including CMS's May 2025 announcement of its intention to significantly increase the volume of Risk Adjustment Data Validation ("RADV") audits),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carrying value in an equity method investee company is reduced to zero, no further losses are recorded in the Company's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Insurance. The Insurance segment provides PPO and HMO plans to Medicare Advantage members in several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 - cloud computing arrangements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w:t>
      </w:r>
    </w:p>
    <w:p>
      <w:pPr>
        <w:spacing w:after="0"/>
        <w:rPr>
          <w:sz w:val="20"/>
          <w:szCs w:val="20"/>
          <w:color w:val="auto"/>
        </w:rPr>
      </w:pPr>
      <w:r>
        <w:rPr>
          <w:rFonts w:ascii="Times New Roman" w:cs="Times New Roman" w:eastAsia="Times New Roman" w:hAnsi="Times New Roman"/>
          <w:sz w:val="18"/>
          <w:szCs w:val="18"/>
          <w:color w:val="auto"/>
        </w:rPr>
        <w:t>expenses in the Condensed Consolidated Statements of Operations and Comprehensive Loss. For the three months ended September 30, 2025 and 2024,</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charges related to deferred acquisition costs of $5.1 million and $2.7 million, respectively. For the nine months ended September 30, 2025 and 2024, charges related to deferred acquisition costs of $12.2 million and $5.5 million, respectively, were recognized within General and administrative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presented in prior periods have been reclassified to conform to the current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nine months ended September 30, 2025 that had a material impact on the Company's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aim to provide more transparency regarding tax disclosures mainly related to the rate reconciliation and income taxes paid information. ASU 2023-09 is effective for fiscal years beginning after December 15, 2024, however, these disclosures are not required for interim periods. The Company is currently evaluating the impact of ASU 2023-09 on its consolidated financial statements and related disclosures.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The amendments in this update provide a practical expedient for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contract assets. The expedient allows an entity to assume that economic conditions as of the balance sheet date will remain unchanged for the remaining life of the asset when forecasting expected credit losses. The ASU is effective for fiscal years beginning after December 15, 2025, and interim periods within those fiscal years. The Company is currently evaluating the impact of ASU 2025-05 on its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 amendments in this update modernize the accounting for costs related to internal-use software to better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current software development practices, such as agile methodologies. The update removes the previous stage-based model for capitalization. Instead, capitalization will begin when management authorizes and commits funding to a project, and it is probable the project will be completed for its intended function. The ASU is effective for annual periods beginning after December 15, 2026, with early adoption permitted. The Company is currently evaluating the impact of ASU 2025-06 on its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Clarification for Share-Based Noncash Consideration from a Customer in a Revenue Contract.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 the scope exception in Topic 815 to exclude certain non-exchange-traded contracts with underlying based on the operations or activities of one of the parties to the contract. Additionally, the update clarifies that share-based noncash consideration received from a customer is subject to the guidance in Topic 606 until the right to consideration is unconditional. The ASU is effective for annual periods beginning after December 15, 2026, with early adoption permitted. The Company is currently evaluating the impact of ASU 2025-07 on its consolidated financial statements and related disclosures.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September 30, 2025 and December 31, 2024, respectively: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20" w:right="860" w:firstLine="162"/>
        <w:spacing w:after="0" w:line="297" w:lineRule="auto"/>
        <w:rPr>
          <w:sz w:val="20"/>
          <w:szCs w:val="20"/>
          <w:color w:val="auto"/>
        </w:rPr>
      </w:pPr>
      <w:r>
        <w:rPr>
          <w:rFonts w:ascii="Times New Roman" w:cs="Times New Roman" w:eastAsia="Times New Roman" w:hAnsi="Times New Roman"/>
          <w:sz w:val="18"/>
          <w:szCs w:val="18"/>
          <w:color w:val="auto"/>
        </w:rPr>
        <w:t>U.S. government and government agencies and authorities Investment securities, available-for-sale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20" w:right="860" w:firstLine="162"/>
        <w:spacing w:after="0" w:line="297" w:lineRule="auto"/>
        <w:rPr>
          <w:sz w:val="20"/>
          <w:szCs w:val="20"/>
          <w:color w:val="auto"/>
        </w:rPr>
      </w:pPr>
      <w:r>
        <w:rPr>
          <w:rFonts w:ascii="Times New Roman" w:cs="Times New Roman" w:eastAsia="Times New Roman" w:hAnsi="Times New Roman"/>
          <w:sz w:val="18"/>
          <w:szCs w:val="18"/>
          <w:color w:val="auto"/>
        </w:rPr>
        <w:t>U.S. government and government agencies and authorities Investment securities, available-for-sale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118,419</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72,963</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205,740</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-2957195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-2630805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-2305050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September 30, 2025, by contractual maturity:</w:t>
      </w:r>
    </w:p>
    <w:p>
      <w:pPr>
        <w:sectPr>
          <w:pgSz w:w="11900" w:h="16838" w:orient="portrait"/>
          <w:cols w:equalWidth="0" w:num="1">
            <w:col w:w="11240"/>
          </w:cols>
          <w:pgMar w:left="320" w:top="927" w:right="339" w:bottom="1440" w:gutter="0" w:footer="0" w:header="0"/>
          <w:type w:val="continuous"/>
        </w:sect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within one year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ten years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223"/>
        </w:trPr>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3"/>
        </w:trPr>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Pr>
          <w:p>
            <w:pPr>
              <w:spacing w:after="0"/>
              <w:rPr>
                <w:sz w:val="22"/>
                <w:szCs w:val="22"/>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r>
      <w:tr>
        <w:trPr>
          <w:trHeight w:val="279"/>
        </w:trPr>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180,682</w:t>
            </w:r>
          </w:p>
        </w:tc>
      </w:tr>
      <w:tr>
        <w:trPr>
          <w:trHeight w:val="234"/>
        </w:trPr>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8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7"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respectively, net investment income, which is included in Other income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was derived from the following sources:</w:t>
      </w:r>
    </w:p>
    <w:p>
      <w:pPr>
        <w:sectPr>
          <w:pgSz w:w="11900" w:h="16838" w:orient="portrait"/>
          <w:cols w:equalWidth="0" w:num="1">
            <w:col w:w="11240"/>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90" w:lineRule="exact"/>
        <w:rPr>
          <w:sz w:val="20"/>
          <w:szCs w:val="20"/>
          <w:color w:val="auto"/>
        </w:rPr>
      </w:pPr>
    </w:p>
    <w:p>
      <w:pPr>
        <w:jc w:val="right"/>
        <w:ind w:right="330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6"/>
        </w:trPr>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3"/>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r>
      <w:tr>
        <w:trPr>
          <w:trHeight w:val="279"/>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4"/>
        </w:trPr>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17,019</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-694055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-367665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September 30, 2025 and December 31, 2024,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19"/>
                <w:szCs w:val="19"/>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56"/>
        </w:trPr>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5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24"/>
                <w:szCs w:val="24"/>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September 30, 2025 and December 31,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September 30, 2025,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35"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Loss, were as follows for the three and nine months ended September 30, 2025 and 2024,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6"/>
        </w:trPr>
        <w:tc>
          <w:tcPr>
            <w:tcW w:w="5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w:t>
            </w:r>
          </w:p>
        </w:tc>
      </w:tr>
      <w:tr>
        <w:trPr>
          <w:trHeight w:val="25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108,788</w:t>
            </w:r>
          </w:p>
        </w:tc>
      </w:tr>
      <w:tr>
        <w:trPr>
          <w:trHeight w:val="270"/>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 Company had $14.9 million and $14.7 million, respectively, in deposits with various states and regulatory bodies that are included as part of the Company's investment balances.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September 30, 2025 and December 31, 2024, respectively:</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625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receivable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 assets at fair value</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737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118,419</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118,419</w:t>
            </w:r>
          </w:p>
        </w:tc>
      </w:tr>
      <w:tr>
        <w:trPr>
          <w:trHeight w:val="279"/>
        </w:trPr>
        <w:tc>
          <w:tcPr>
            <w:tcW w:w="22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72,963</w:t>
            </w:r>
          </w:p>
        </w:tc>
      </w:tr>
      <w:tr>
        <w:trPr>
          <w:trHeight w:val="261"/>
        </w:trPr>
        <w:tc>
          <w:tcPr>
            <w:tcW w:w="220" w:type="dxa"/>
            <w:vAlign w:val="bottom"/>
          </w:tcPr>
          <w:p>
            <w:pPr>
              <w:spacing w:after="0"/>
              <w:rPr>
                <w:sz w:val="22"/>
                <w:szCs w:val="22"/>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57"/>
        </w:trPr>
        <w:tc>
          <w:tcPr>
            <w:tcW w:w="220" w:type="dxa"/>
            <w:vAlign w:val="bottom"/>
          </w:tcPr>
          <w:p>
            <w:pPr>
              <w:spacing w:after="0"/>
              <w:rPr>
                <w:sz w:val="22"/>
                <w:szCs w:val="22"/>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20" w:type="dxa"/>
            <w:vAlign w:val="bottom"/>
          </w:tcPr>
          <w:p>
            <w:pPr>
              <w:spacing w:after="0"/>
              <w:rPr>
                <w:sz w:val="22"/>
                <w:szCs w:val="22"/>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206,918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-1002030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-676910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-350520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Total Fair</w:t>
      </w:r>
    </w:p>
    <w:p>
      <w:pPr>
        <w:spacing w:after="0" w:line="20" w:lineRule="exact"/>
        <w:rPr>
          <w:sz w:val="20"/>
          <w:szCs w:val="20"/>
          <w:color w:val="auto"/>
        </w:rPr>
      </w:pPr>
    </w:p>
    <w:p>
      <w:pPr>
        <w:ind w:left="260"/>
        <w:spacing w:after="0"/>
        <w:tabs>
          <w:tab w:leader="none" w:pos="1580" w:val="left"/>
          <w:tab w:leader="none" w:pos="2920" w:val="left"/>
          <w:tab w:leader="none" w:pos="432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21590</wp:posOffset>
            </wp:positionV>
            <wp:extent cx="3343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5340" w:space="720"/>
            <w:col w:w="51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6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5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56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
        </w:trPr>
        <w:tc>
          <w:tcPr>
            <w:tcW w:w="5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228,716</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229,480</w:t>
            </w:r>
          </w:p>
        </w:tc>
      </w:tr>
      <w:tr>
        <w:trPr>
          <w:trHeight w:val="20"/>
        </w:trPr>
        <w:tc>
          <w:tcPr>
            <w:tcW w:w="5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during the nine months ended September 30,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8"/>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w:t>
            </w:r>
          </w:p>
        </w:tc>
      </w:tr>
      <w:tr>
        <w:trPr>
          <w:trHeight w:val="228"/>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gains (losses) for assets still held, included in Net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w:t>
            </w:r>
          </w:p>
        </w:tc>
      </w:tr>
    </w:tbl>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$13.4 million of realized and unrealized gains for the nine months ended September 30, 2025, is recognized within Other income line item within the Condensed Consolidated Statement of Operations and Comprehensive Loss. There were $1.8 million of transfers into Level 3 financial assets for the nine months ended September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had exercisable private warrants which were embedded in several agreements as derivatives. These private warrants were accounted for as assets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in Other assets, non-current in the Condensed Consolidated Balance Sheets. The warrant assets are measured at fair value at inception and on a recurring basis until redeemed, with changes in fair value presented in Change in fair value of warrants in the Condensed Consolidated Statements of Operations and Comprehensive Loss. These private warrants were classified within Level 3 due to the subjectivity and use of estimates in the calculation of their fair value.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one of the Company's warrant receivable arrangements was fully liquidated. The liquidation resulted in a realized gain recorded in the Condensed Consolidated Statement of Operations and Comprehensive Loss. Immediately prior to liquidation, the fair value of the warrants receivable was $0.7 million. The Company received $1.6 million in total consideration for the warrants. The liquidation of the warrants resulted in a realized gain of $0.8 million recognized within the Other income line item within the Condensed Consolidated Statement of Operations and Comprehensive Loss.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is eligible to receive a pro-rata portion of a contingent payment, upon the satisfaction of certain performance milestones.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has not recognized any asset or gain related to this contingent payment right because realization is not considered probable. The Company will recognize any gain or revenue related to the contingent payment only when the performance criteria have been met and the payment is deemed certain and collectible.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equity securities in privately held companies. Their fair value is classified as Level III because the valuation relies primarily on unobservable inputs that require significant management judgment. While the valuation process utilizes inputs based on observable market transactions such as comparable company multiples or similar private placements, these must be significantly adjusted using unobservable assumptions to reflect the specific risks and characteristics of the non-marketable private investment. This reliance on subjective, unobservable inputs is the basis for the Level III classification and results in a higher degree of valuation uncertainty.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Character Biosciences, Inc.</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30, 2025, the Company determined it lost significant influence over Character Biosciences ("CB") following dilution of its ownership to approximately 8.1% due to CB's Series B funding rounds. Refer to Note 8 "Variable Interest Entity" for additional information the transition from equity method of accounting under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This transition resulted in the initial recognition of the investment at its fair value of approximately $11.3 million.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investment in the equity securities of CB, which includes both Class A common stock and preferred stock, does not have a readily determinable fair value. It is measured at fair value on a recurring basis, with changes recognized in net income in accordance with ASC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This investment is classified as a Level 3 fair value measurement within ASC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its valuation relies on significant unobservable inputs.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utilized a hybrid valuation approach that anchored the fair value to the most recent financing price. This price was then adjusted using significant unobservable inputs to reflect the contractual rights and liquidation preferences of the Company's security and a Discount for Lack of Marketability.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$57.9 million and $51.5 million within Healthcare receivables at September 30,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On November 3, 2024, CarePoint Health and its affiliates filed petitions in the United States Bankruptcy Court for the District of Delaware (the "Bankruptcy Court") seeking relief under Chapter 11 of the United States Bankruptcy Code. Ultimately, the Bankruptcy Court confirmed CarePoint Health's plan which became effective as of May 22, 2025. Through CarePoint Health's Plan, a majority of CarePoint Health's assets, including the CarePoint Health Contracts, were transferred to Hudson Regional Hospital, who now controls CarePoint Health's hospitals following CarePoint Health's emergence from bankruptcy. As a result of such proceedings, CarePoint Health is no longer deemed a related party of the Company as defined by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As such, expenses and fees incurred related to Clover's contracts with CarePoint Health, recorded in Net medical claims incurred, in the Condensed Consolidated Statements of Operations and Comprehensive Loss, were none and $2.5 million for the three months ended September 30, 2025 and 2024, respectively, and $4.4 million and $5.3 million for the nine months ended September 30, 2025 and 2024, respectively. Additionally, $1.0 million was payable to CarePoint Health at December 31, 2024.</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$0.1 million and $0.1 million for the three months ended September 30, 2025 and 2024, respectively, and $0.4 million and $0.5 million for the nine months ended September 30, 2025 and 2024, respectively.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$3.9 million at September 30, 2025, and is recognized within Other assets, non-current, in the Condensed Consolidated Balance Sheets.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any changes in fair value associated with these shares are recognized within Other income in the Condensed Consolidated Statements of Operations and Comprehensive Loss. Mr. Garipalli is a member of the board of directors of Thyme Care and holds an equity interest of less than five percent (5%) of that entity. Expenses and fees incurred related to this agreement were $1.9 million and $0.9 million for the three months ended September 30, 2025 and 2024, respectively, and $6.1 million and $3.2 million for the nine months ended September 30, 2025 and 2024, respectively. Additionally, $7.2 million and $3.3 million were payable to Thyme Care at September 30, 2025, and December 31, 2024, respectively.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Master Services Agreement in July 2025 with Guidehealth, LLC or value-based care enablement and outsourced administrative services. These services primarily leverage technology and support teams to accelerate and enhance medication adherence rates and patient outcomes. Thomas Tran, a member of the Company's Board of Directors and Chair of the Company's Audit Committee, also serves as a director of Guidehealth and holds an ownership interest of less than 5% in Guidehealth. Pursuant to this agreement, the Company recognized $0.3 million for the three and nine months ended September 30, 2025. Additionally, $0.2 million was payable at September 30, 2025.</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Company holds a non-controlling equity investment in Character Biosciences, which is accounted for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at fair value. As of September 30, 2025, the fair value of this investment was $11.3 million is considered a related party due to the Company's Executive Chairman and a significant stockholder of the Company, Vivek Garipalli, serves as a member of Character Bioscience’s Board of Directors. During the three months ended September 30, 2025, the Company transitioned its accounting for the investment in Character Biosciences from the equity method to the fair value method following a loss of significant influence. There were no transactions between the Company and Character Biosciences during the periods presented.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nine months ended September 30, 2025 and 2024,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137,100</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780,461</w:t>
            </w:r>
          </w:p>
        </w:tc>
      </w:tr>
      <w:tr>
        <w:trPr>
          <w:trHeight w:val="229"/>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(31,523)</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748,938</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622,126</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96,502</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1,146,457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718,628</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167,410</w:t>
            </w:r>
          </w:p>
        </w:tc>
      </w:tr>
      <w:tr>
        <w:trPr>
          <w:trHeight w:val="21"/>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-934085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Unpaid claims for Insurance operations were $140.5 million at September 30, 2025. During the nine months ended September 30, 2025, $155.0 million was paid for incurred claims attributable to insured events of prior years. An unfavorable development of $9.6 million was recognized during the nine months ended September 30, 2025, resulting from the Company's actual experience with claims developing differently as compared to the Company's estimates at December 31, 2024. A favorable development of $31.5 million was recognized during the nine months ended September 30, 2024, resulting from the Company's actual experience with claims developing differently as compared to the Company's estimates at December 31, 2023. Original estimates are increased or decreased, as additional information becomes known regarding individual claims. The ratio of current year medical claims paid as a percentage of current year Net medical claims incurred was 88.5% for the nine months ended September 30, 2025, and 79.7% for the nine months ended September 30, 2024. This ratio serves as an indicator of claims processing speed, indicating that claims were processed at a faster rate during the nine months ended September 30, 2025, than during the nine months ended September 30, 2024. As a result of faster claims processing, unpaid claims liability decreased which was primarily due to claim submission and payment process improvements.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Entity and Equity Method of Accounting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2022, Character Biosciences, Inc. (f/k/a Clover Therapeutics Company) ("Character Biosciences" or "CB"),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Since that initial financing, Character Biosciences has completed a series of additional capital raises through the issuance of its shares, each of which diluted the Company’s ownership. As of September 30, 2025, the Company’s ownership interest in Character Biosciences had decreased to approximately 8.1%.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Company's most recent qualitative assessment, it was concluded that the ability to exert significant influence over CB no longer exists at September 30, 2025. This change in conclusion was influenced by the recent rounds of funding dropping the Company's ownership below the 20% threshold and the lack of evidence to support continued significant influence. As a result, the Company has transitioned its recognition of its equity investment in CB from the equity method of accounting under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In accordance with ASC 321, the Company recognized the fair value of its equity investment in CB on its Condensed Consolidated Balance Sheet within Other assets, non-current and recognized the change in fair value within Other Income in its Condensed Consolidated Statement of Operations and Comprehensive Loss. The amount recognized as part of the transition was $11.3 million for the three and nine months ended September 30, 2025. See Note 4 "Fair Value Measurements" for further information regarding the valuation techniques and inputs used to determine the fair value of this Level 3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of compensation that is contributed by the employee up to 4.0% of eligible annual compensation after one year of service. The Company's service contributions to the 401(k) Plan amounted to approximately $0.6 million for both the three months ended September 30, 2025 and 2024, respectively, and $1.6 million for both the nine months ended September 30, 2025 and 2024, respectively, and are included in Salaries and benefits in the Condensed Consolidated Statements of Operations and Comprehensive Loss. The Company's cash match is invested pursuant to the participant's contribution direction. Employer contributions are immediately 100.0% 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September 30, 2025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540" w:type="dxa"/>
            <w:vAlign w:val="bottom"/>
            <w:vMerge w:val="continue"/>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3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33,772,840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502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97,638,080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32,441,536</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18,118,037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5020" w:type="dxa"/>
            <w:vAlign w:val="bottom"/>
            <w:gridSpan w:val="3"/>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20,056,191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502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3,858,652</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4"/>
        </w:trPr>
        <w:tc>
          <w:tcPr>
            <w:tcW w:w="3540" w:type="dxa"/>
            <w:vAlign w:val="bottom"/>
          </w:tcPr>
          <w:p>
            <w:pPr>
              <w:spacing w:after="0"/>
              <w:rPr>
                <w:sz w:val="24"/>
                <w:szCs w:val="24"/>
                <w:color w:val="auto"/>
              </w:rPr>
            </w:pPr>
          </w:p>
        </w:tc>
        <w:tc>
          <w:tcPr>
            <w:tcW w:w="37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4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for stock options, RSUs, and PRSUs granted under the Plans, and discounts offered in connection with the Company's 2020 Employee Stock Purchase Plan ("ESPP") of $26.1 million and $28.0 million during the three months ended September 30, 2025 and 2024, respectively, and $78.7 million and $84.7 million during the nine months ended September 30, 2025 and 2024, respectively, and such expenses are presented in Salaries and benefits in the Condensed Consolidated Statements of Operations and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Loss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514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there was approximately $343.0 million of unrecognized stock-based compensation expense related to unvested stock options, unvested RSUs, unvested PRSUs and the ESPP.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nine months ended September 30, 2025 and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nine months ended September 30,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46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46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46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9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-573405</wp:posOffset>
            </wp:positionV>
            <wp:extent cx="514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-736600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nine months ended September 30,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1"/>
                <w:szCs w:val="21"/>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23,465,666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23,025,968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outstanding stock options, substantially all of which are expected to vest, had an aggregate intrinsic value of $19.8 million, and a weighted-average remaining contractual term of 3.74 years. At September 30, 2025, there were 23,828,441 options exercisable under the Plan, with an aggregate intrinsic value of $19.8 million, a weighted-average exercise price of $2.96 per share, and a weighted-average remaining contractual term of 3.74 years. The total value of stock options exercised during the nine months ended September 30, 2025 and 2024 was $1.4 million and $0.3 million, respectively. Cash received from stock option exercises during the nine months ended September 30, 2025 and 2024 totaled $0.6 million and $0.2 million,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55,731,587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4,091,980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(20,648,983)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(1,216,834)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37,957,750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PRSU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assumptions that the Company used in the Monte Carlo model to determine the grant date fair value of Market PRSUs granted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63"/>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70"/>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ind w:left="180" w:hanging="154"/>
        <w:spacing w:after="0" w:line="21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Expected volatility is based on a blend of peer group company historical data adjusted for the Company's leverage.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Risk-free interest rate based on U.S. Treasury yields with a term equal to the remaining Performance Period as of the grant date.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200" w:lineRule="exact"/>
        <w:rPr>
          <w:sz w:val="20"/>
          <w:szCs w:val="20"/>
          <w:color w:val="auto"/>
        </w:rPr>
      </w:pPr>
    </w:p>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market condition component of these PRSUs has not been met, so the awards have not been earned. This expense represents most of the PRSU expense recognized for the three months ended September 30, 2025 related to stock-based compensation plans which is presented in Salaries and benefits in the Condensed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6"/>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29,151,407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Adjustment for performance condition achieved</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28,343,028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 w:hanging="134"/>
        <w:spacing w:after="0"/>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an increase in the number of original CLOV performance share units awarded based on final achievement at the end of the performance period of such awards.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there was $3.0 million of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September 30, 2025, 12,440,564 shares of Class A common stock were available for issuance under the ESPP.</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May 22, 2025 to November 22,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4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and nine months ended September 30, 2025 and 2024, was 0.0% and 0.0%, respectively. The Company continues to be in a net operating loss for the three and nine months ended September 30, 2025 and net deferred tax asset position. As a result, and in accordance with accounting standards, the Company recorded a valuation allowance to reduce the value of the net deferred tax assets to zero. The Company believes that at September 30, 2025, it had no material uncertain tax positions. Interest and penalties related to unrecognized tax expense (benefits) are recognized in income tax expense, when applicable.</w:t>
      </w:r>
    </w:p>
    <w:p>
      <w:pPr>
        <w:spacing w:after="0" w:line="1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On July 4, 2025, President Trump signed into law the One Big Beautiful Bill Act (“OBBBA”), which enacts significant changes to the US federal corporate income tax system. The legislation includes, among other provisions, modifications to the treatment of research and development expenditures, permanent 100% bonus depreciation, and changes to the interest deduction limitation under Section 163(j). The Company does not expect the legislation to have a material impact on the Company’s consolidated financial statements while the Company maintains a full valuation allowance on all net deferred tax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September 30, 2025 and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7"/>
                <w:szCs w:val="17"/>
                <w:color w:val="auto"/>
              </w:rPr>
            </w:pPr>
          </w:p>
        </w:tc>
        <w:tc>
          <w:tcPr>
            <w:tcW w:w="23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8"/>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(in thousands, except for per share and share amounts)</w:t>
            </w: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w:t>
            </w: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from discontinued operations attributable to common</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5"/>
        </w:trPr>
        <w:tc>
          <w:tcPr>
            <w:tcW w:w="5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and common share equivalents</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512,743,521</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490,180,103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510,191,111</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488,501,812</w:t>
            </w:r>
          </w:p>
        </w:tc>
      </w:tr>
      <w:tr>
        <w:trPr>
          <w:trHeight w:val="256"/>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from continuing operations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earnings per share from discontinued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loss per share of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23,828,441</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24,532,236</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23,828,441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24,532,236</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37,957,750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49,693,566</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37,957,750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49,693,566</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28,343,028</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29,768,184</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28,343,028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29,768,184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 excluded from computation of net loss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90,129,219</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103,993,986</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90,129,219</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103,993,986</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September 30, 2025, and December 31, 2024,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asserted violations of sections 10(b) and 20(a) of the Exchange Act and Rule 10b-5 promulgated under the Exchange Act. The Kaul action asserted additional claims under sections 11 and 15 of the Securities Act. The complaints generally related to allegations published in the Hindenburg Article. In April 2021, the Middle District of Tennessee class actions were consolidated under Bond v. Clover Health Investments, Corp. et al., Case No. 3:21-cv-00096 (M.D. Tenn.) as the lead case. On April 21, 2023, the parties to the securities class action entered into a memorandum of understanding providing for the settlement of the action. The Court approved the settlement and dismissed the action with prejudice on October 3, 2023. Under the settlement, the class received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has since executed settlement agreements with each of the insurer parties to resolve all claims and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13. Operating Segments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 Net income is used to monitor budget versus actual results. The CODM also uses net income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322,579</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1,405,860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1,014,201</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767,125</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166,440</w:t>
            </w: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121,796</w:t>
            </w:r>
          </w:p>
        </w:tc>
      </w:tr>
      <w:tr>
        <w:trPr>
          <w:trHeight w:val="223"/>
        </w:trPr>
        <w:tc>
          <w:tcPr>
            <w:tcW w:w="5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Segment 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(41,160)</w:t>
            </w:r>
          </w:p>
        </w:tc>
      </w:tr>
      <w:tr>
        <w:trPr>
          <w:trHeight w:val="237"/>
        </w:trPr>
        <w:tc>
          <w:tcPr>
            <w:tcW w:w="5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r>
      <w:tr>
        <w:trPr>
          <w:trHeight w:val="22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recoveries (costs)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8"/>
        </w:trPr>
        <w:tc>
          <w:tcPr>
            <w:tcW w:w="59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 Restrictions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September 30, 2025 and December 31, 2024, neither of the regulated insurance subsidiaries had been authorized nor paid any dividends.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These activities were concluded by December 31, 2024. During the three months ended September 30, 2025 and 2024, the Company recovered zero and $0.5 million, respectively. For the nine months ended September 30, 2025 and 2024, the Company recognized zero and $0.3 million,respectively, of expenses related to these activities in the Condensed Consolidated Statements of Operations and Comprehensive Loss. As of September 30, 2025, the remaining vendor-related liability is being reduced through the contractually scheduled payments. This liability is recognized within Accounts payable and accrued expenses in the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Discontinued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 2023, the Company notified CMS that it would no longer participate as a REACH ACO in connection with the 2024 performance year. The Company’s exit from the ACO REACH Program was made after the Company determined that it was in its best interest to fully exit the program, following its November 2022 announcement of a strategic reduction in the number of ACO REACH participating physicians in 2023. Subsequent to the 2023 performance year, the remaining activities related to the December 2024 settlement with CMS for prior performance years. During the three months ended September 30, 2025, the Company recognized net loss of zero, and for the nine months ended September 30, 2025, the Company recognized a net loss of zero. During the three and nine months ended September 30, 2024, the Company recognized a net loss of $0.4 million and net income of $3.9 million income,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and nine months ended September 30, 2025, contained in this Quarterly Report on Form 10-Q (the "Form 10-Q") and the audited consolidated financial statements and notes thereto for the year ended December 31, 2024, contained in the Company's Annual Report on Form 10-K for the year ended December 31, 2024, filed with the Securities and Exchange Commission (the "SEC") on March 3, 2025 (the "2024 Form 10-K"). This discussion contains forward-looking statements and involves numerous risks and uncertainties, including, but not limited to, those described in the "Risk Factors" section of the 2024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September 30, 2025, we operated our MA plans in five states and 200 counties, with 109,226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CMS Star Ratings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2025, the Company announced that CMS has decreased the Star rating of its PPO Medicare Advantage plans to 3.5 Stars for 2026, which will affect payment year 2027. Additionally, CMS increased the rating of Clover’s HMO MA plan to 4.0 Stars. As a reminder, currently over 97% of our insurance members are members of our PPO Medicare Advantage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4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(amounts in thousands, except PMPM amounts)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Insurance members at period end</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109,226</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81,110</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109,226</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81,110</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gross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479,220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1,467</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322,676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1,406,144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1,014,502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479,128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1,467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322,579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1,405,860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1,014,201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Insurance medical claim expense</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428,882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251,856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1,191,154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767,338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9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incurred, gross</w:t>
            </w: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Insurance net medical claims</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428,855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251,643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1,190,954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767,125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incurred</w:t>
            </w: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expense ratio, gross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2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89.4 %</w:t>
            </w:r>
          </w:p>
        </w:tc>
        <w:tc>
          <w:tcPr>
            <w:tcW w:w="22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1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Normalized benefits expense ratio,</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92.4 %</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expense ratio, net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2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89.4 %</w:t>
            </w:r>
          </w:p>
        </w:tc>
        <w:tc>
          <w:tcPr>
            <w:tcW w:w="22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1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Normalized benefits expense ratio,</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92.4 %</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SG&amp;A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71,066</w:t>
            </w:r>
          </w:p>
        </w:tc>
        <w:tc>
          <w:tcPr>
            <w:tcW w:w="2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61,949</w:t>
            </w:r>
          </w:p>
        </w:tc>
        <w:tc>
          <w:tcPr>
            <w:tcW w:w="18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236,666</w:t>
            </w:r>
          </w:p>
        </w:tc>
        <w:tc>
          <w:tcPr>
            <w:tcW w:w="22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208,593</w:t>
            </w:r>
          </w:p>
        </w:tc>
        <w:tc>
          <w:tcPr>
            <w:tcW w:w="18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19,263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45,028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62,292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Adjusted Net income from</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1,705</w:t>
            </w:r>
          </w:p>
        </w:tc>
        <w:tc>
          <w:tcPr>
            <w:tcW w:w="240" w:type="dxa"/>
            <w:vAlign w:val="bottom"/>
          </w:tcPr>
          <w:p>
            <w:pPr>
              <w:spacing w:after="0"/>
              <w:rPr>
                <w:sz w:val="12"/>
                <w:szCs w:val="12"/>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18,924</w:t>
            </w:r>
          </w:p>
        </w:tc>
        <w:tc>
          <w:tcPr>
            <w:tcW w:w="180" w:type="dxa"/>
            <w:vAlign w:val="bottom"/>
          </w:tcPr>
          <w:p>
            <w:pPr>
              <w:spacing w:after="0"/>
              <w:rPr>
                <w:sz w:val="12"/>
                <w:szCs w:val="12"/>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43,743</w:t>
            </w:r>
          </w:p>
        </w:tc>
        <w:tc>
          <w:tcPr>
            <w:tcW w:w="220" w:type="dxa"/>
            <w:vAlign w:val="bottom"/>
          </w:tcPr>
          <w:p>
            <w:pPr>
              <w:spacing w:after="0"/>
              <w:rPr>
                <w:sz w:val="12"/>
                <w:szCs w:val="12"/>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60,821</w:t>
            </w:r>
          </w:p>
        </w:tc>
        <w:tc>
          <w:tcPr>
            <w:tcW w:w="180" w:type="dxa"/>
            <w:vAlign w:val="bottom"/>
          </w:tcPr>
          <w:p>
            <w:pPr>
              <w:spacing w:after="0"/>
              <w:rPr>
                <w:sz w:val="12"/>
                <w:szCs w:val="12"/>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right="20" w:firstLine="6"/>
        <w:spacing w:after="0" w:line="242" w:lineRule="auto"/>
        <w:tabs>
          <w:tab w:leader="none" w:pos="15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gross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gross medical claims incurred</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10-Q, including Insurance BER, Adjusted SG&amp;A, Adjusted EBITDA, and Adjusted Net income from continuing operations.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condensed consolidated financial statements prepared in accordance with GAAP.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non-GAAP financial measures to the comparable GAAP measures, please see "Benefits expense ratio, gross and net", "Adjusted SG&amp;A", "Adjusted EBITDA", and Adjusted Net income from continuing operations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Benefits expense ratio, gross and net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Furthermore, Normalized Insurance BER adjusts out activity related to prior period development. Prior period development refers to changes in the Company’s Insurance Revenue and Insurance Medical claims levels from previous periods. Management believes that Normalized Insurance BER presents a clearer representation of performance during the current period being presented.</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Net medical claims incurred and Premiums earned on a gross and net basis which are GAAP measures, to Insurance BER, a non-GAAP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7"/>
                <w:szCs w:val="17"/>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gross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428,882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251,856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1,191,154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767,338</w:t>
            </w:r>
          </w:p>
        </w:tc>
      </w:tr>
      <w:tr>
        <w:trPr>
          <w:trHeight w:val="230"/>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15,445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50,383</w:t>
            </w:r>
          </w:p>
        </w:tc>
      </w:tr>
      <w:tr>
        <w:trPr>
          <w:trHeight w:val="22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gross (non-GAAP)</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448,223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267,301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1,257,398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817,721</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gross (GAAP)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479,220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322,676</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1,406,144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1,014,502</w:t>
            </w:r>
          </w:p>
        </w:tc>
      </w:tr>
      <w:tr>
        <w:trPr>
          <w:trHeight w:val="230"/>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gross (non-GAAP)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Prior period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Normalized benefits expense ratio, gross (non-GAAP)</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-1687830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8"/>
                <w:szCs w:val="18"/>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428,855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251,643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1,190,954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767,125</w:t>
            </w:r>
          </w:p>
        </w:tc>
      </w:tr>
      <w:tr>
        <w:trPr>
          <w:trHeight w:val="230"/>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15,445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50,383</w:t>
            </w:r>
          </w:p>
        </w:tc>
      </w:tr>
      <w:tr>
        <w:trPr>
          <w:trHeight w:val="22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net (non-GAAP)</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448,196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267,088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1,257,198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817,508</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322,579</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1,405,860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1,014,201</w:t>
            </w:r>
          </w:p>
        </w:tc>
      </w:tr>
      <w:tr>
        <w:trPr>
          <w:trHeight w:val="229"/>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net (non-GAAP)</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Prior period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Normalized benefits expense ratio, net (non-GAAP)</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0"/>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4"/>
        </w:trPr>
        <w:tc>
          <w:tcPr>
            <w:tcW w:w="55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-2339340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7"/>
                <w:szCs w:val="17"/>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54,995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168,526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169,717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35,201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148,112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124,194</w:t>
            </w:r>
          </w:p>
        </w:tc>
      </w:tr>
      <w:tr>
        <w:trPr>
          <w:trHeight w:val="223"/>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SG&amp;A (GAAP)</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97,148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90,196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316,638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293,911</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(27,988)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(78,738)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(84,686)</w:t>
            </w:r>
          </w:p>
        </w:tc>
      </w:tr>
      <w:tr>
        <w:trPr>
          <w:trHeight w:val="229"/>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(632)</w:t>
            </w:r>
          </w:p>
        </w:tc>
      </w:tr>
      <w:tr>
        <w:trPr>
          <w:trHeight w:val="248"/>
        </w:trPr>
        <w:tc>
          <w:tcPr>
            <w:tcW w:w="5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SG&amp;A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61,949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236,666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208,593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330,986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1,436,601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1,034,168</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loss from continuing operations before depreciation and amortization, loss on investment, interest expense, change in fair value of warrants, stock-based compensation, premium deficiency reserve expense, restructuring (recoveries)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Net (loss) income from continuing operations, a GAAP financial measure, to Adjusted EBITDA, a non-GAAP financial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1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0" w:type="dxa"/>
            <w:vAlign w:val="bottom"/>
          </w:tcPr>
          <w:p>
            <w:pPr>
              <w:spacing w:after="0"/>
              <w:rPr>
                <w:sz w:val="1"/>
                <w:szCs w:val="1"/>
                <w:color w:val="auto"/>
              </w:rPr>
            </w:pPr>
          </w:p>
        </w:tc>
      </w:tr>
      <w:tr>
        <w:trPr>
          <w:trHeight w:val="229"/>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investment</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(recoveries) costs</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Adjusted EBITDA (non-GAAP)</w:t>
            </w: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Adjusted Net income from continuing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from continuing operations is a non-GAAP financial measure defined by us as net loss from continuing operations before stock-based compensation, premium deficiency reserve benefit, restructuring (recoveries) costs, non-recurring legal expenses and settlement, and impairment of goodwill and other intangible assets. Adjusted Net income from continuing operations is a key measure used by our management team and the board of directors to understand and evaluate our operating performance and trends. We believe that Adjusted Net income from continuing operations is helpful to investors in assessing the Company’s financial performance in the same manner as our management and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20" w:type="dxa"/>
            <w:vAlign w:val="bottom"/>
          </w:tcPr>
          <w:p>
            <w:pPr>
              <w:spacing w:after="0"/>
              <w:rPr>
                <w:sz w:val="17"/>
                <w:szCs w:val="17"/>
                <w:color w:val="auto"/>
              </w:rPr>
            </w:pPr>
          </w:p>
        </w:tc>
        <w:tc>
          <w:tcPr>
            <w:tcW w:w="2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0"/>
                <w:szCs w:val="20"/>
                <w:color w:val="auto"/>
              </w:rPr>
            </w:pPr>
          </w:p>
        </w:tc>
        <w:tc>
          <w:tcPr>
            <w:tcW w:w="21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0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(recoveries) costs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 from continuing operations (non-GAAP)</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60,821</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September 30, 2025 and 2024.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5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Between 2025 and 2024</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$92 and $97 for the three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September 30, 2025 and 2024,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156,549</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165,664</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0"/>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8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recoveries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521,027</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181,256</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3"/>
        </w:trPr>
        <w:tc>
          <w:tcPr>
            <w:tcW w:w="5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-642620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-2733675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earned, net increased $156.5 million, or 49%, to $479.1 million for the three months ended September 30, 2025, compared to the three months ended September 30, 2024. The increase was primarily driven by growth in our average members over the period, which increased approximately 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increased by $9.1 million, or 108%, to $17.5 million for the three months ended September 30, 2025, compared to the three months ended September 30, 2024. The increase was primarily driven by an increase in fair value of our equity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$173.7 million, or 70%, to $423.5 million for the three months ended September 30, 2025, compared to the three months ended September 30, 2024. The increase was primarily driven by growth in our average members during the period, which increased approximately 35% and an increase in our Part D cost sharing due to changes arising from the Inflation Reduction Act. Additionally, prior year amounts were impacted by more favorable prior period developments as compared to the current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decreased by $6.8 million, or 12%, to $48.2 million for the three months ended September 30, 2025, compared to the three months ended September 30, 2024. This decrease was primarily driven by a decrease in the Company's variable incentive bonus accruals. This was partially offset by an increase in base salaries driven primarily by headcount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$13.8 million, or 39%, to $49.0 million for the three months ended September 30, 2025, compared to the three months ended September 30, 2024. The increase was primarily driven by higher professional fees and higher broker fees, with the latter being driven by membership growth during the most recent annual enrollment period.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nine months ended September 30, 2025 and 2024.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7"/>
                <w:szCs w:val="17"/>
                <w:color w:val="auto"/>
              </w:rPr>
            </w:pPr>
          </w:p>
        </w:tc>
        <w:tc>
          <w:tcPr>
            <w:tcW w:w="2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Between 2025 and 2024</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$284 and $301 for the nine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September 30, 2025 and 2024,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1,405,860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1,014,201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391,659</w:t>
            </w:r>
          </w:p>
        </w:tc>
        <w:tc>
          <w:tcPr>
            <w:tcW w:w="80" w:type="dxa"/>
            <w:vAlign w:val="bottom"/>
          </w:tcPr>
          <w:p>
            <w:pPr>
              <w:spacing w:after="0"/>
              <w:rPr>
                <w:sz w:val="21"/>
                <w:szCs w:val="21"/>
                <w:color w:val="auto"/>
              </w:rPr>
            </w:pPr>
          </w:p>
        </w:tc>
        <w:tc>
          <w:tcPr>
            <w:tcW w:w="1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1,436,601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1,034,168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402,433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0"/>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23"/>
                <w:szCs w:val="23"/>
                <w:color w:val="auto"/>
              </w:rPr>
            </w:pPr>
          </w:p>
        </w:tc>
        <w:tc>
          <w:tcPr>
            <w:tcW w:w="1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1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1,472,811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1,058,469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414,342</w:t>
            </w:r>
          </w:p>
        </w:tc>
        <w:tc>
          <w:tcPr>
            <w:tcW w:w="8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3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5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Pr>
          <w:p>
            <w:pPr>
              <w:spacing w:after="0"/>
              <w:rPr>
                <w:sz w:val="19"/>
                <w:szCs w:val="19"/>
                <w:color w:val="auto"/>
              </w:rPr>
            </w:pPr>
          </w:p>
        </w:tc>
        <w:tc>
          <w:tcPr>
            <w:tcW w:w="13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-24765</wp:posOffset>
            </wp:positionV>
            <wp:extent cx="514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-1104900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-3196590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earned, net increased $391.7 million, or 39%, to $1,405.9 million for the nine months ended September 30, 2025, compared to the nine months ended September 30, 2024. The increase was primarily driven by growth in our average members over the period, which increased approximately 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increased by $10.8 million, or 54%, to $30.7 million for the nine months ended September 30, 2025, compared to the nine months ended September 30, 2024. The increase was primarily driven by an increase in fair value of our equity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$391.6 million, or 51%, to $1,154.9 million for the nine months ended September 30, 2025, compared to the nine months ended September 30, 2024. The increase was primarily driven by growth in our average members during the period, which increased approximately 32% and an increase to our Part D cost sharing due to changes arising from the Inflation Reduction Act. Additionally, prior year amounts were impacted by more favorable prior period developments as compared to the current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benefits remained materially consistent decreasing by $1.2 million, or 1%, to $168.5 million for the nine months ended September 30, 2025 as compared to the nine months ended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$23.9 million, or 19%, to $148.1 million for the nine months ended September 30, 2025, compared to the nine months ended September 30, 2024. The increase was primarily driven by higher professional fees and higher broker fees, with the latter being driven by membership growth during the most recent annual enrollment period.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September 30, 2025 and December 31, 2024, total cash, cash equivalents, and investments were $395.9 million and $437.6 million, respectively. These totals consist of $205.9 million and $243.1 million at September 30, 2025 and December 31, 2024,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and December 31, 2024, total cash, cash equivalents, and investments for the parent company, Clover Health Investments, Corp., and unregulated subsidiaries were $122.9 million and $151.5 million, respectively.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2025 and December 31, 2024 total cash, cash equivalents, and investments for our regulated subsidiaries were $273.0 million and $286.1 million, respectively. Additionally, our regulated insurance subsidiaries held $205.9 million and $243.1 million of available-for-sale and held-to-maturity investment securities at September 30, 2025 and December 31, 2024, respectively. Our use of operating cash derived from our unregulated subsidiaries is generally not restricted by departments of insurance (or comparable state regulatory agencies). Our regulated insurance subsidiaries are subject to regulations and standards in their respective jurisdictions on their ability to declare and pay dividends to the parent. As of September 30, 2025, there have been no dividends paid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19 "Dividend Restrictions", 20 "Statutory Equity", and 21 "Regulatory Matters" in the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nine months ended September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2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0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129,539</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(Decrease) increase in cash and cash equivalents from continuing operations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120,323</w:t>
            </w:r>
          </w:p>
        </w:tc>
      </w:tr>
      <w:tr>
        <w:trPr>
          <w:trHeight w:val="898"/>
        </w:trPr>
        <w:tc>
          <w:tcPr>
            <w:tcW w:w="5540" w:type="dxa"/>
            <w:vAlign w:val="bottom"/>
          </w:tcPr>
          <w:p>
            <w:pPr>
              <w:spacing w:after="0"/>
              <w:rPr>
                <w:sz w:val="24"/>
                <w:szCs w:val="24"/>
                <w:color w:val="auto"/>
              </w:rPr>
            </w:pPr>
          </w:p>
        </w:tc>
        <w:tc>
          <w:tcPr>
            <w:tcW w:w="262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w w:val="88"/>
              </w:rPr>
              <w:t>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 from Continuing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from continuing operations was $1.2 million, which reflects a Net loss from continuing operations of $36.2 million. Non-cash activities primarily included a $78.7 million charge to Stock-based compensation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operating activities from continuing operations was $129.5 million, which reflects a Net loss from continuing operations of $24.8 million. Non-cash activities primarily included a $84.7 million charge to Stock-based compensation expense and Unpaid claims increased by $30.3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2025 of $39.1 million was primarily due to $139.5 million provided from the sales and maturities of investment securities. This was offset by $99.0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of $2.0 million was primarily due to $156.6 million provided from the sales and maturities of investment securities. This was offset by $153.3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of $44.8 million was primarily the result of cash paid for shares withheld related to stock-based compensation totaling $27.7 million and share repurchases totaling $18.3 million of Class A Common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of $11.2 million was primarily the result of cash paid for shares withheld related to stock-based compensation totaling $9.7 million and repurchases of $1.8 million of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September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September 30, 2025 include operating lease obligations of $2.8 million. These commitments are associated with contracts that were enforceable and legally binding at September 30, 2025,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September 30, 2025. For additional information regarding our remaining estimated contractual obligations and commitments, see Note 12 "Commitments and Contingencies" in the accompanying notes to the condensed consolidated financial statements included 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September 30, 2025, as compared to the critical accounting policies and estimates disclosed in the section titled "Management's Discussion and Analysis of Financial Condition and Results of Operations" included in the 2024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condensed consolidated financial statements included in this Form 10-Q for a discussion of accounting pronouncements recently adopted and recently issued accounting pronouncements not yet adopted and their potential impact to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September 30, 2025, none of our fixed maturity securities portfolio was unrated or rated below investment grade.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September 30, 2025, pursuant to Rule 13a-15(b) under the Securities Exchange Act of 1934, as amended (the "Exchange Act"). Based upon that evaluation, our Certifying Officers concluded that, at September 30, 2025,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Except as subsequently disclosed in our periodic reports, there have been no material changes in our risk factors from those disclosed in Part I, Item 1A of the 2024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2024 Form 10-K, as well as the factors identified under "Cautionary Note Regarding Forward-Looking Statements" at the beginning of Part I, Item 1 of this Form 10-Q and as may be updated in subsequent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officers (as defined in Rule 16a-1(f) of the Exchange Act) adopted or terminated a Rule 10b5-1 trading arrangement or non Rule 10b5-1 trading arrangement (as such terms are defined in Item 408(a) of Regulation S-K of the Securities 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9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ind w:left="77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81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Kuipers, certify that:</w:t>
      </w:r>
    </w:p>
    <w:p>
      <w:pPr>
        <w:spacing w:after="0" w:line="225"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September 30,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Dated: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2025-11-07T07:15:54Z</dcterms:created>
  <dcterms:modified xsi:type="dcterms:W3CDTF">2025-11-07T07:15:54Z</dcterms:modified>
</cp:coreProperties>
</file>