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513080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5"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6" w:lineRule="exact"/>
        <w:rPr>
          <w:sz w:val="24"/>
          <w:szCs w:val="24"/>
          <w:color w:val="auto"/>
        </w:rPr>
      </w:pPr>
    </w:p>
    <w:p>
      <w:pPr>
        <w:ind w:left="440" w:hanging="152"/>
        <w:spacing w:after="0"/>
        <w:tabs>
          <w:tab w:leader="none" w:pos="4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9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1" w:lineRule="exact"/>
        <w:rPr>
          <w:sz w:val="24"/>
          <w:szCs w:val="24"/>
          <w:color w:val="auto"/>
        </w:rPr>
      </w:pPr>
    </w:p>
    <w:p>
      <w:pPr>
        <w:ind w:left="28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001-39252</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Clover Health Investments, Corp.</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106" w:lineRule="exact"/>
        <w:rPr>
          <w:sz w:val="24"/>
          <w:szCs w:val="24"/>
          <w:color w:val="auto"/>
        </w:rPr>
      </w:pPr>
    </w:p>
    <w:tbl>
      <w:tblPr>
        <w:tblLayout w:type="fixed"/>
        <w:tblInd w:w="1920" w:type="dxa"/>
        <w:tblCellMar>
          <w:top w:w="0" w:type="dxa"/>
          <w:left w:w="0" w:type="dxa"/>
          <w:bottom w:w="0" w:type="dxa"/>
          <w:right w:w="0" w:type="dxa"/>
        </w:tblCellMar>
      </w:tblPr>
      <w:tr>
        <w:trPr>
          <w:trHeight w:val="186"/>
        </w:trPr>
        <w:tc>
          <w:tcPr>
            <w:tcW w:w="5960" w:type="dxa"/>
            <w:vAlign w:val="bottom"/>
          </w:tcPr>
          <w:p>
            <w:pPr>
              <w:jc w:val="center"/>
              <w:ind w:right="408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98-1515192</w:t>
            </w:r>
          </w:p>
        </w:tc>
      </w:tr>
      <w:tr>
        <w:trPr>
          <w:trHeight w:val="123"/>
        </w:trPr>
        <w:tc>
          <w:tcPr>
            <w:tcW w:w="5960" w:type="dxa"/>
            <w:vAlign w:val="bottom"/>
          </w:tcPr>
          <w:p>
            <w:pPr>
              <w:jc w:val="center"/>
              <w:ind w:right="4101"/>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980" w:type="dxa"/>
            <w:vAlign w:val="bottom"/>
          </w:tcPr>
          <w:p>
            <w:pPr>
              <w:jc w:val="center"/>
              <w:ind w:left="122"/>
              <w:spacing w:after="0"/>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0"/>
        </w:trPr>
        <w:tc>
          <w:tcPr>
            <w:tcW w:w="5960" w:type="dxa"/>
            <w:vAlign w:val="bottom"/>
          </w:tcPr>
          <w:p>
            <w:pPr>
              <w:jc w:val="center"/>
              <w:ind w:right="4081"/>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980" w:type="dxa"/>
            <w:vAlign w:val="bottom"/>
          </w:tcPr>
          <w:p>
            <w:pPr>
              <w:jc w:val="center"/>
              <w:ind w:left="142"/>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341"/>
        </w:trPr>
        <w:tc>
          <w:tcPr>
            <w:tcW w:w="5960" w:type="dxa"/>
            <w:vAlign w:val="bottom"/>
          </w:tcPr>
          <w:p>
            <w:pPr>
              <w:jc w:val="center"/>
              <w:ind w:right="4101"/>
              <w:spacing w:after="0"/>
              <w:rPr>
                <w:sz w:val="20"/>
                <w:szCs w:val="20"/>
                <w:color w:val="auto"/>
              </w:rPr>
            </w:pPr>
            <w:r>
              <w:rPr>
                <w:rFonts w:ascii="Times New Roman" w:cs="Times New Roman" w:eastAsia="Times New Roman" w:hAnsi="Times New Roman"/>
                <w:sz w:val="14"/>
                <w:szCs w:val="14"/>
                <w:b w:val="1"/>
                <w:bCs w:val="1"/>
                <w:color w:val="auto"/>
              </w:rPr>
              <w:t>3401 Mallory Lane</w:t>
            </w:r>
            <w:r>
              <w:rPr>
                <w:rFonts w:ascii="Arial" w:cs="Arial" w:eastAsia="Arial" w:hAnsi="Arial"/>
                <w:sz w:val="16"/>
                <w:szCs w:val="16"/>
                <w:color w:val="auto"/>
              </w:rPr>
              <w:t>,</w:t>
            </w:r>
            <w:r>
              <w:rPr>
                <w:rFonts w:ascii="Times New Roman" w:cs="Times New Roman" w:eastAsia="Times New Roman" w:hAnsi="Times New Roman"/>
                <w:sz w:val="14"/>
                <w:szCs w:val="14"/>
                <w:b w:val="1"/>
                <w:bCs w:val="1"/>
                <w:color w:val="auto"/>
              </w:rPr>
              <w:t xml:space="preserve"> Suite 210</w:t>
            </w:r>
          </w:p>
        </w:tc>
        <w:tc>
          <w:tcPr>
            <w:tcW w:w="980" w:type="dxa"/>
            <w:vAlign w:val="bottom"/>
          </w:tcPr>
          <w:p>
            <w:pPr>
              <w:spacing w:after="0"/>
              <w:rPr>
                <w:sz w:val="24"/>
                <w:szCs w:val="24"/>
                <w:color w:val="auto"/>
              </w:rPr>
            </w:pPr>
          </w:p>
        </w:tc>
      </w:tr>
      <w:tr>
        <w:trPr>
          <w:trHeight w:val="239"/>
        </w:trPr>
        <w:tc>
          <w:tcPr>
            <w:tcW w:w="5960" w:type="dxa"/>
            <w:vAlign w:val="bottom"/>
          </w:tcPr>
          <w:p>
            <w:pPr>
              <w:jc w:val="center"/>
              <w:ind w:right="4081"/>
              <w:spacing w:after="0"/>
              <w:rPr>
                <w:sz w:val="20"/>
                <w:szCs w:val="20"/>
                <w:color w:val="auto"/>
              </w:rPr>
            </w:pPr>
            <w:r>
              <w:rPr>
                <w:rFonts w:ascii="Times New Roman" w:cs="Times New Roman" w:eastAsia="Times New Roman" w:hAnsi="Times New Roman"/>
                <w:sz w:val="14"/>
                <w:szCs w:val="14"/>
                <w:b w:val="1"/>
                <w:bCs w:val="1"/>
                <w:color w:val="auto"/>
              </w:rPr>
              <w:t>Franklin</w:t>
            </w:r>
            <w:r>
              <w:rPr>
                <w:rFonts w:ascii="Arial" w:cs="Arial" w:eastAsia="Arial" w:hAnsi="Arial"/>
                <w:sz w:val="16"/>
                <w:szCs w:val="16"/>
                <w:color w:val="auto"/>
              </w:rPr>
              <w:t>,</w:t>
            </w:r>
            <w:r>
              <w:rPr>
                <w:rFonts w:ascii="Times New Roman" w:cs="Times New Roman" w:eastAsia="Times New Roman" w:hAnsi="Times New Roman"/>
                <w:sz w:val="14"/>
                <w:szCs w:val="14"/>
                <w:b w:val="1"/>
                <w:bCs w:val="1"/>
                <w:color w:val="auto"/>
              </w:rPr>
              <w:t xml:space="preserve"> Tennessee</w:t>
            </w:r>
          </w:p>
        </w:tc>
        <w:tc>
          <w:tcPr>
            <w:tcW w:w="9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37067</w:t>
            </w:r>
          </w:p>
        </w:tc>
      </w:tr>
      <w:tr>
        <w:trPr>
          <w:trHeight w:val="130"/>
        </w:trPr>
        <w:tc>
          <w:tcPr>
            <w:tcW w:w="5960" w:type="dxa"/>
            <w:vAlign w:val="bottom"/>
          </w:tcPr>
          <w:p>
            <w:pPr>
              <w:jc w:val="center"/>
              <w:ind w:right="4101"/>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980" w:type="dxa"/>
            <w:vAlign w:val="bottom"/>
          </w:tcPr>
          <w:p>
            <w:pPr>
              <w:jc w:val="center"/>
              <w:ind w:left="142"/>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341"/>
        </w:trPr>
        <w:tc>
          <w:tcPr>
            <w:tcW w:w="596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(201) 432-2133</w:t>
            </w:r>
          </w:p>
        </w:tc>
        <w:tc>
          <w:tcPr>
            <w:tcW w:w="980" w:type="dxa"/>
            <w:vAlign w:val="bottom"/>
          </w:tcPr>
          <w:p>
            <w:pPr>
              <w:spacing w:after="0"/>
              <w:rPr>
                <w:sz w:val="24"/>
                <w:szCs w:val="24"/>
                <w:color w:val="auto"/>
              </w:rPr>
            </w:pPr>
          </w:p>
        </w:tc>
      </w:tr>
      <w:tr>
        <w:trPr>
          <w:trHeight w:val="186"/>
        </w:trPr>
        <w:tc>
          <w:tcPr>
            <w:tcW w:w="5960" w:type="dxa"/>
            <w:vAlign w:val="bottom"/>
          </w:tcPr>
          <w:p>
            <w:pPr>
              <w:jc w:val="right"/>
              <w:ind w:right="1241"/>
              <w:spacing w:after="0"/>
              <w:rPr>
                <w:sz w:val="20"/>
                <w:szCs w:val="20"/>
                <w:color w:val="auto"/>
              </w:rPr>
            </w:pPr>
            <w:r>
              <w:rPr>
                <w:rFonts w:ascii="Arial" w:cs="Arial" w:eastAsia="Arial" w:hAnsi="Arial"/>
                <w:sz w:val="8"/>
                <w:szCs w:val="8"/>
                <w:color w:val="auto"/>
              </w:rPr>
              <w:t>________________________________________</w:t>
            </w:r>
          </w:p>
        </w:tc>
        <w:tc>
          <w:tcPr>
            <w:tcW w:w="980" w:type="dxa"/>
            <w:vAlign w:val="bottom"/>
          </w:tcPr>
          <w:p>
            <w:pPr>
              <w:spacing w:after="0"/>
              <w:rPr>
                <w:sz w:val="16"/>
                <w:szCs w:val="16"/>
                <w:color w:val="auto"/>
              </w:rPr>
            </w:pP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520" w:type="dxa"/>
            <w:vAlign w:val="bottom"/>
          </w:tcPr>
          <w:p>
            <w:pPr>
              <w:spacing w:after="0"/>
              <w:rPr>
                <w:sz w:val="11"/>
                <w:szCs w:val="11"/>
                <w:color w:val="auto"/>
              </w:rPr>
            </w:pPr>
          </w:p>
        </w:tc>
      </w:tr>
      <w:tr>
        <w:trPr>
          <w:trHeight w:val="169"/>
        </w:trPr>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67"/>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Common Stock, par value $0.0001 per share</w:t>
            </w:r>
          </w:p>
        </w:tc>
        <w:tc>
          <w:tcPr>
            <w:tcW w:w="6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CLOV</w:t>
            </w:r>
          </w:p>
        </w:tc>
        <w:tc>
          <w:tcPr>
            <w:tcW w:w="80" w:type="dxa"/>
            <w:vAlign w:val="bottom"/>
          </w:tcPr>
          <w:p>
            <w:pPr>
              <w:spacing w:after="0"/>
              <w:rPr>
                <w:sz w:val="14"/>
                <w:szCs w:val="14"/>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40"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right="360" w:firstLine="509"/>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right="160" w:firstLine="509"/>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0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6"/>
              </w:rPr>
              <w:t>x</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0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9" w:lineRule="exact"/>
        <w:rPr>
          <w:sz w:val="24"/>
          <w:szCs w:val="24"/>
          <w:color w:val="auto"/>
        </w:rPr>
      </w:pPr>
    </w:p>
    <w:p>
      <w:pPr>
        <w:ind w:left="520"/>
        <w:spacing w:after="0"/>
        <w:tabs>
          <w:tab w:leader="none" w:pos="6440" w:val="left"/>
          <w:tab w:leader="none" w:pos="69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line="370" w:lineRule="exact"/>
        <w:rPr>
          <w:sz w:val="24"/>
          <w:szCs w:val="24"/>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At April 29, 2024, the registrant had 406,788,098 shares of Class A Common Stock, $0.0001 par value per share, and 89,649,365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 w:name="page2"/>
    <w:bookmarkEnd w:id="1"/>
    <w:p>
      <w:pPr>
        <w:spacing w:after="0" w:line="16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0000FF"/>
        </w:rPr>
        <w:t>PART I.</w:t>
      </w:r>
      <w:r>
        <w:rPr>
          <w:sz w:val="20"/>
          <w:szCs w:val="20"/>
          <w:color w:val="auto"/>
        </w:rPr>
        <w:tab/>
      </w:r>
      <w:r>
        <w:rPr>
          <w:rFonts w:ascii="Times New Roman" w:cs="Times New Roman" w:eastAsia="Times New Roman" w:hAnsi="Times New Roman"/>
          <w:sz w:val="14"/>
          <w:szCs w:val="14"/>
          <w:b w:val="1"/>
          <w:bCs w:val="1"/>
          <w:u w:val="single" w:color="auto"/>
          <w:color w:val="0000FF"/>
        </w:rPr>
        <w:t>FINANCIAL INFORMATION</w:t>
      </w:r>
    </w:p>
    <w:p>
      <w:pPr>
        <w:spacing w:after="0" w:line="2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FF"/>
        </w:rPr>
        <w:t>Item 1.</w:t>
      </w:r>
      <w:r>
        <w:rPr>
          <w:sz w:val="20"/>
          <w:szCs w:val="20"/>
          <w:color w:val="auto"/>
        </w:rPr>
        <w:tab/>
      </w:r>
      <w:r>
        <w:rPr>
          <w:rFonts w:ascii="Times New Roman" w:cs="Times New Roman" w:eastAsia="Times New Roman" w:hAnsi="Times New Roman"/>
          <w:sz w:val="14"/>
          <w:szCs w:val="14"/>
          <w:u w:val="single" w:color="auto"/>
          <w:color w:val="0000FF"/>
        </w:rPr>
        <w:t>Financial Statements (Unaudited)</w:t>
      </w:r>
    </w:p>
    <w:p>
      <w:pPr>
        <w:spacing w:after="0" w:line="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u w:val="single" w:color="auto"/>
          <w:color w:val="0000FF"/>
        </w:rPr>
        <w:t>Condensed Consolidated Balance Sheets at March 31, 2024 (Unaudited), and December 31, 2023</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u w:val="single" w:color="auto"/>
          <w:color w:val="0000FF"/>
        </w:rPr>
        <w:t>Condensed Consolidated Statements of Operations and Comprehensive Loss (Unaudited) for the three months ended March 31, 2024 and 2023</w:t>
      </w:r>
    </w:p>
    <w:p>
      <w:pPr>
        <w:spacing w:after="0" w:line="19" w:lineRule="exact"/>
        <w:rPr>
          <w:sz w:val="20"/>
          <w:szCs w:val="20"/>
          <w:color w:val="auto"/>
        </w:rPr>
      </w:pPr>
    </w:p>
    <w:p>
      <w:pPr>
        <w:ind w:left="1040" w:right="80"/>
        <w:spacing w:after="0" w:line="237" w:lineRule="auto"/>
        <w:rPr>
          <w:sz w:val="20"/>
          <w:szCs w:val="20"/>
          <w:color w:val="auto"/>
        </w:rPr>
      </w:pPr>
      <w:r>
        <w:rPr>
          <w:rFonts w:ascii="Times New Roman" w:cs="Times New Roman" w:eastAsia="Times New Roman" w:hAnsi="Times New Roman"/>
          <w:sz w:val="14"/>
          <w:szCs w:val="14"/>
          <w:u w:val="single" w:color="auto"/>
          <w:color w:val="0000FF"/>
        </w:rPr>
        <w:t>Condensed Consolidated Statements of Changes in Convertible Preferred Stock and Stockholders' Equity (Deficit) (Unaudited) for the three months ended March 31, 2024 and 2023</w:t>
      </w:r>
    </w:p>
    <w:p>
      <w:pPr>
        <w:spacing w:after="0" w:line="7" w:lineRule="exact"/>
        <w:rPr>
          <w:sz w:val="20"/>
          <w:szCs w:val="20"/>
          <w:color w:val="auto"/>
        </w:rPr>
      </w:pPr>
    </w:p>
    <w:p>
      <w:pPr>
        <w:ind w:left="1040" w:right="2160"/>
        <w:spacing w:after="0" w:line="300" w:lineRule="auto"/>
        <w:rPr>
          <w:sz w:val="20"/>
          <w:szCs w:val="20"/>
          <w:color w:val="auto"/>
        </w:rPr>
      </w:pPr>
      <w:r>
        <w:rPr>
          <w:rFonts w:ascii="Times New Roman" w:cs="Times New Roman" w:eastAsia="Times New Roman" w:hAnsi="Times New Roman"/>
          <w:sz w:val="14"/>
          <w:szCs w:val="14"/>
          <w:u w:val="single" w:color="auto"/>
          <w:color w:val="0000FF"/>
        </w:rPr>
        <w:t>Condensed Consolidated Statements of Cash Flows (Unaudited) for the three months ended March 31, 2024 and 2023 Notes to Unaudited Condensed Consolidated Financial Statements</w:t>
      </w:r>
    </w:p>
    <w:p>
      <w:pPr>
        <w:spacing w:after="0" w:line="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FF"/>
        </w:rPr>
        <w:t>Item 2.</w:t>
      </w:r>
      <w:r>
        <w:rPr>
          <w:sz w:val="20"/>
          <w:szCs w:val="20"/>
          <w:color w:val="auto"/>
        </w:rPr>
        <w:tab/>
      </w:r>
      <w:r>
        <w:rPr>
          <w:rFonts w:ascii="Times New Roman" w:cs="Times New Roman" w:eastAsia="Times New Roman" w:hAnsi="Times New Roman"/>
          <w:sz w:val="14"/>
          <w:szCs w:val="14"/>
          <w:u w:val="single" w:color="auto"/>
          <w:color w:val="0000FF"/>
        </w:rPr>
        <w:t>Management's Discussion and Analysis of Financial Condition and Results of Operations</w:t>
      </w:r>
    </w:p>
    <w:p>
      <w:pPr>
        <w:spacing w:after="0" w:line="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FF"/>
        </w:rPr>
        <w:t>Item 3.</w:t>
      </w:r>
      <w:r>
        <w:rPr>
          <w:sz w:val="20"/>
          <w:szCs w:val="20"/>
          <w:color w:val="auto"/>
        </w:rPr>
        <w:tab/>
      </w:r>
      <w:r>
        <w:rPr>
          <w:rFonts w:ascii="Times New Roman" w:cs="Times New Roman" w:eastAsia="Times New Roman" w:hAnsi="Times New Roman"/>
          <w:sz w:val="14"/>
          <w:szCs w:val="14"/>
          <w:u w:val="single" w:color="auto"/>
          <w:color w:val="0000FF"/>
        </w:rPr>
        <w:t>Quantitative and Qualitative Disclosures About Market Risk</w:t>
      </w:r>
    </w:p>
    <w:p>
      <w:pPr>
        <w:spacing w:after="0" w:line="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FF"/>
        </w:rPr>
        <w:t>Item 4.</w:t>
      </w:r>
      <w:r>
        <w:rPr>
          <w:sz w:val="20"/>
          <w:szCs w:val="20"/>
          <w:color w:val="auto"/>
        </w:rPr>
        <w:tab/>
      </w:r>
      <w:r>
        <w:rPr>
          <w:rFonts w:ascii="Times New Roman" w:cs="Times New Roman" w:eastAsia="Times New Roman" w:hAnsi="Times New Roman"/>
          <w:sz w:val="14"/>
          <w:szCs w:val="14"/>
          <w:u w:val="single" w:color="auto"/>
          <w:color w:val="0000FF"/>
        </w:rPr>
        <w:t>Controls and Procedures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46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r>
      <w:tr>
        <w:trPr>
          <w:trHeight w:val="362"/>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140" w:type="dxa"/>
            <w:vAlign w:val="bottom"/>
            <w:tcBorders>
              <w:top w:val="single" w:sz="8" w:color="0000FF"/>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Borders>
              <w:top w:val="single" w:sz="8" w:color="0000FF"/>
            </w:tcBorders>
            <w:gridSpan w:val="2"/>
          </w:tcPr>
          <w:p>
            <w:pPr>
              <w:spacing w:after="0"/>
              <w:rPr>
                <w:sz w:val="24"/>
                <w:szCs w:val="24"/>
                <w:color w:val="auto"/>
              </w:rPr>
            </w:pPr>
          </w:p>
        </w:tc>
        <w:tc>
          <w:tcPr>
            <w:tcW w:w="3020" w:type="dxa"/>
            <w:vAlign w:val="bottom"/>
            <w:gridSpan w:val="3"/>
          </w:tcPr>
          <w:p>
            <w:pPr>
              <w:spacing w:after="0"/>
              <w:rPr>
                <w:sz w:val="24"/>
                <w:szCs w:val="24"/>
                <w:color w:val="auto"/>
              </w:rPr>
            </w:pPr>
          </w:p>
        </w:tc>
      </w:tr>
      <w:tr>
        <w:trPr>
          <w:trHeight w:val="192"/>
        </w:trPr>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1A.</w:t>
            </w:r>
          </w:p>
        </w:tc>
        <w:tc>
          <w:tcPr>
            <w:tcW w:w="4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Risk Factors</w:t>
            </w: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92"/>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640" w:type="dxa"/>
            <w:vAlign w:val="bottom"/>
            <w:gridSpan w:val="4"/>
          </w:tcPr>
          <w:p>
            <w:pPr>
              <w:spacing w:after="0"/>
              <w:rPr>
                <w:sz w:val="16"/>
                <w:szCs w:val="16"/>
                <w:color w:val="auto"/>
              </w:rPr>
            </w:pPr>
          </w:p>
        </w:tc>
        <w:tc>
          <w:tcPr>
            <w:tcW w:w="18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tcBorders>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440" w:type="dxa"/>
            <w:vAlign w:val="bottom"/>
          </w:tcPr>
          <w:p>
            <w:pPr>
              <w:spacing w:after="0"/>
              <w:rPr>
                <w:sz w:val="16"/>
                <w:szCs w:val="16"/>
                <w:color w:val="auto"/>
              </w:rPr>
            </w:pP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3220" w:type="dxa"/>
            <w:vAlign w:val="bottom"/>
            <w:gridSpan w:val="4"/>
          </w:tcPr>
          <w:p>
            <w:pPr>
              <w:spacing w:after="0"/>
              <w:rPr>
                <w:sz w:val="16"/>
                <w:szCs w:val="16"/>
                <w:color w:val="auto"/>
              </w:rPr>
            </w:pPr>
          </w:p>
        </w:tc>
      </w:tr>
      <w:tr>
        <w:trPr>
          <w:trHeight w:val="19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640" w:type="dxa"/>
            <w:vAlign w:val="bottom"/>
            <w:gridSpan w:val="4"/>
          </w:tcPr>
          <w:p>
            <w:pPr>
              <w:spacing w:after="0"/>
              <w:rPr>
                <w:sz w:val="16"/>
                <w:szCs w:val="16"/>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92"/>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640" w:type="dxa"/>
            <w:vAlign w:val="bottom"/>
            <w:gridSpan w:val="4"/>
          </w:tcPr>
          <w:p>
            <w:pPr>
              <w:spacing w:after="0"/>
              <w:rPr>
                <w:sz w:val="16"/>
                <w:szCs w:val="16"/>
                <w:color w:val="auto"/>
              </w:rPr>
            </w:pPr>
          </w:p>
        </w:tc>
        <w:tc>
          <w:tcPr>
            <w:tcW w:w="10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Exhibits</w:t>
            </w:r>
          </w:p>
        </w:tc>
        <w:tc>
          <w:tcPr>
            <w:tcW w:w="3580" w:type="dxa"/>
            <w:vAlign w:val="bottom"/>
            <w:gridSpan w:val="6"/>
          </w:tcPr>
          <w:p>
            <w:pPr>
              <w:spacing w:after="0"/>
              <w:rPr>
                <w:sz w:val="16"/>
                <w:szCs w:val="16"/>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62"/>
        </w:trPr>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16"/>
        </w:trPr>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gridSpan w:val="9"/>
          </w:tcPr>
          <w:p>
            <w:pPr>
              <w:ind w:left="4540"/>
              <w:spacing w:after="0"/>
              <w:rPr>
                <w:sz w:val="20"/>
                <w:szCs w:val="20"/>
                <w:color w:val="auto"/>
              </w:rPr>
            </w:pPr>
            <w:r>
              <w:rPr>
                <w:rFonts w:ascii="Times New Roman" w:cs="Times New Roman" w:eastAsia="Times New Roman" w:hAnsi="Times New Roman"/>
                <w:sz w:val="14"/>
                <w:szCs w:val="14"/>
                <w:color w:val="auto"/>
                <w:w w:val="85"/>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41275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26035</wp:posOffset>
            </wp:positionV>
            <wp:extent cx="6870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070" cy="6985"/>
                    </a:xfrm>
                    <a:prstGeom prst="rect">
                      <a:avLst/>
                    </a:prstGeom>
                    <a:noFill/>
                  </pic:spPr>
                </pic:pic>
              </a:graphicData>
            </a:graphic>
          </wp:anchor>
        </w:drawing>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5</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5</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5</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7</w:t>
      </w:r>
    </w:p>
    <w:p>
      <w:pPr>
        <w:spacing w:after="0" w:line="1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8</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9</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10</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33</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40</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40</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41</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41</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42</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42</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42</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42</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0000FF"/>
        </w:rPr>
        <w:t>44</w:t>
      </w:r>
    </w:p>
    <w:p>
      <w:pPr>
        <w:sectPr>
          <w:pgSz w:w="11900" w:h="16838" w:orient="portrait"/>
          <w:cols w:equalWidth="0" w:num="2">
            <w:col w:w="9880" w:space="720"/>
            <w:col w:w="240"/>
          </w:cols>
          <w:pgMar w:left="320" w:top="820" w:right="739" w:bottom="1440" w:gutter="0" w:footer="0" w:header="0"/>
        </w:sectPr>
      </w:pPr>
    </w:p>
    <w:bookmarkStart w:id="2" w:name="page3"/>
    <w:bookmarkEnd w:id="2"/>
    <w:p>
      <w:pPr>
        <w:jc w:val="center"/>
        <w:ind w:left="320" w:right="20"/>
        <w:spacing w:after="0" w:line="274" w:lineRule="auto"/>
        <w:rPr>
          <w:sz w:val="20"/>
          <w:szCs w:val="20"/>
          <w:color w:val="auto"/>
        </w:rPr>
      </w:pPr>
      <w:r>
        <w:rPr>
          <w:rFonts w:ascii="Times New Roman" w:cs="Times New Roman" w:eastAsia="Times New Roman" w:hAnsi="Times New Roman"/>
          <w:sz w:val="14"/>
          <w:szCs w:val="14"/>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166"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results of operations, financial condition, and cash flows;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and management of our Insurance business;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enter new service markets and manage our operations;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in the markets in which we operate;</w:t>
      </w:r>
    </w:p>
    <w:p>
      <w:pPr>
        <w:ind w:left="520" w:hanging="260"/>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beneficiary base and provider network;</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increase adoption and use of Clover Assistant;</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associated with the use of Clover Assistant, including our ability to utilize the platform to manage our medical care ratios;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costs and expenses associated with our exit from the ACO Reach Program;</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improve our Star Ratings or otherwise continue to improve the financial performance of our business;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features and functionality that meet market needs and achieve market acceptance;</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necessary employees and staff our operations appropriately;</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certain investments in growth;</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ind w:left="520" w:hanging="260"/>
        <w:spacing w:after="0" w:line="23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pending, or future legislation, regulations or policies that could have a negative effect on our revenue and businesses, including rules, regulations, and policies relating to healthcare and Medicare;</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Class A common stock and our ability to comply with Nasdaq's listing requirements;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w:t>
      </w:r>
    </w:p>
    <w:p>
      <w:pPr>
        <w:ind w:left="520" w:hanging="260"/>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uncertainty;</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persistent high inflation and interest rates; and</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uncertainty and instability.</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1" w:right="31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2023, as filed with the SEC, our actual results or performance may be materially different from those expressed or implied by these forward-looking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Channels for Disclosure of Information</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known as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and Supplementary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20" w:type="dxa"/>
            <w:vAlign w:val="bottom"/>
          </w:tcPr>
          <w:p>
            <w:pPr>
              <w:spacing w:after="0"/>
              <w:rPr>
                <w:sz w:val="13"/>
                <w:szCs w:val="13"/>
                <w:color w:val="auto"/>
              </w:rPr>
            </w:pPr>
          </w:p>
        </w:tc>
        <w:tc>
          <w:tcPr>
            <w:tcW w:w="13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36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116,407</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 (Amortized cost: 2024: $119,528; 2023: $101,412)</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100,702</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held-to-maturity (Fair value: 2024: $6,853; 2023: $6,778)</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retrospective premiums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22,076</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receivables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Healthcare receivables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83,867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64,164</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Surety bonds and deposits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 current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Assets related to discontinued operations (Note 17)</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72,471</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552,737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427,970</w:t>
            </w:r>
          </w:p>
        </w:tc>
        <w:tc>
          <w:tcPr>
            <w:tcW w:w="0" w:type="dxa"/>
            <w:vAlign w:val="bottom"/>
          </w:tcPr>
          <w:p>
            <w:pPr>
              <w:spacing w:after="0"/>
              <w:rPr>
                <w:sz w:val="1"/>
                <w:szCs w:val="1"/>
                <w:color w:val="auto"/>
              </w:rPr>
            </w:pPr>
          </w:p>
        </w:tc>
      </w:tr>
      <w:tr>
        <w:trPr>
          <w:trHeight w:val="192"/>
        </w:trPr>
        <w:tc>
          <w:tcPr>
            <w:tcW w:w="8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 (Amortized cost: 2024: $98,221; 2023: $121,868)</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120,208</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 held-to-maturity (Fair value: 2024: $693; 2023: $692)</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 non-current</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0" w:type="dxa"/>
            <w:vAlign w:val="bottom"/>
          </w:tcPr>
          <w:p>
            <w:pPr>
              <w:spacing w:after="0"/>
              <w:rPr>
                <w:sz w:val="1"/>
                <w:szCs w:val="1"/>
                <w:color w:val="auto"/>
              </w:rPr>
            </w:pPr>
          </w:p>
        </w:tc>
      </w:tr>
      <w:tr>
        <w:trPr>
          <w:trHeight w:val="171"/>
        </w:trPr>
        <w:tc>
          <w:tcPr>
            <w:tcW w:w="8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671,770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570,671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3"/>
                <w:szCs w:val="13"/>
                <w:color w:val="auto"/>
              </w:rPr>
            </w:pPr>
          </w:p>
        </w:tc>
        <w:tc>
          <w:tcPr>
            <w:tcW w:w="13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360" w:type="dxa"/>
            <w:vAlign w:val="bottom"/>
            <w:tcBorders>
              <w:top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claims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135,737</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Due to related parties, net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37,184</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Liabilities related to discontinued operations (Note 17)</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60,099</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356,389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261,115</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379,296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284,277</w:t>
            </w:r>
          </w:p>
        </w:tc>
        <w:tc>
          <w:tcPr>
            <w:tcW w:w="0" w:type="dxa"/>
            <w:vAlign w:val="bottom"/>
          </w:tcPr>
          <w:p>
            <w:pPr>
              <w:spacing w:after="0"/>
              <w:rPr>
                <w:sz w:val="1"/>
                <w:szCs w:val="1"/>
                <w:color w:val="auto"/>
              </w:rPr>
            </w:pPr>
          </w:p>
        </w:tc>
      </w:tr>
      <w:tr>
        <w:trPr>
          <w:trHeight w:val="16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6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A Common Stock, $0.0001 par value; 2,500,000,000 shares authorized at March 31, 2024 and December 31, 2023; 406,155,332 and</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401,183,882 issued and outstanding at March 31, 2024 and December 31, 2023, respectively</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8"/>
        </w:trPr>
        <w:tc>
          <w:tcPr>
            <w:tcW w:w="83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B Common Stock, $0.0001 par value; 500,000,000 shares authorized at March 31, 2024 and December 31, 2023; 89,649,365 and</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87,867,732 issued and outstanding at March 31, 2024 and December 31, 2023, respectively</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2,461,238</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(2,178,964)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(2,159,794)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Treasury stock, at cost; 11,613,745 and 7,912,750 shares held at March 31, 2024 and December 31, 2023, respectively</w:t>
            </w: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292,474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286,394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570,671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 xml:space="preserve">CONDENSED CONSOLIDATED STATEMENTS OF OPERATIONS AND COMPREHENSIVE LOSS </w:t>
      </w:r>
      <w:r>
        <w:rPr>
          <w:rFonts w:ascii="Times New Roman" w:cs="Times New Roman" w:eastAsia="Times New Roman" w:hAnsi="Times New Roman"/>
          <w:sz w:val="11"/>
          <w:szCs w:val="11"/>
          <w:color w:val="231F20"/>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and share amounts)</w:t>
      </w:r>
    </w:p>
    <w:p>
      <w:pPr>
        <w:spacing w:after="0" w:line="388"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$101 and $122 for the three months ended March 31, 2024 and 2023, respectively)</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341,722</w:t>
            </w:r>
          </w:p>
        </w:tc>
        <w:tc>
          <w:tcPr>
            <w:tcW w:w="8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317,086</w:t>
            </w:r>
          </w:p>
        </w:tc>
      </w:tr>
      <w:tr>
        <w:trPr>
          <w:trHeight w:val="181"/>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r>
      <w:tr>
        <w:trPr>
          <w:trHeight w:val="17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346,922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321,992</w:t>
            </w:r>
          </w:p>
        </w:tc>
      </w:tr>
      <w:tr>
        <w:trPr>
          <w:trHeight w:val="182"/>
        </w:trPr>
        <w:tc>
          <w:tcPr>
            <w:tcW w:w="7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274,789</w:t>
            </w:r>
          </w:p>
        </w:tc>
      </w:tr>
      <w:tr>
        <w:trPr>
          <w:trHeight w:val="180"/>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benefits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68,981</w:t>
            </w:r>
          </w:p>
        </w:tc>
      </w:tr>
      <w:tr>
        <w:trPr>
          <w:trHeight w:val="180"/>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57,644</w:t>
            </w:r>
          </w:p>
        </w:tc>
      </w:tr>
      <w:tr>
        <w:trPr>
          <w:trHeight w:val="180"/>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3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r>
      <w:tr>
        <w:trPr>
          <w:trHeight w:val="180"/>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0"/>
        </w:trPr>
        <w:tc>
          <w:tcPr>
            <w:tcW w:w="7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Restructuring costs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r>
      <w:tr>
        <w:trPr>
          <w:trHeight w:val="17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369,625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401,690</w:t>
            </w:r>
          </w:p>
        </w:tc>
      </w:tr>
      <w:tr>
        <w:trPr>
          <w:trHeight w:val="17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(79,698)</w:t>
            </w:r>
          </w:p>
        </w:tc>
      </w:tr>
      <w:tr>
        <w:trPr>
          <w:trHeight w:val="202"/>
        </w:trPr>
        <w:tc>
          <w:tcPr>
            <w:tcW w:w="7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on investment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(79,698)</w:t>
            </w:r>
          </w:p>
        </w:tc>
      </w:tr>
      <w:tr>
        <w:trPr>
          <w:trHeight w:val="180"/>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income from discontinued operations (Note 17)</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w:t>
            </w:r>
          </w:p>
        </w:tc>
      </w:tr>
      <w:tr>
        <w:trPr>
          <w:trHeight w:val="196"/>
        </w:trPr>
        <w:tc>
          <w:tcPr>
            <w:tcW w:w="7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data:</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Continuing Operations: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 weighted average number of Class A and Class B common shares and common share equivalents outstanding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486,374,644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478,805,067</w:t>
            </w:r>
          </w:p>
        </w:tc>
      </w:tr>
      <w:tr>
        <w:trPr>
          <w:trHeight w:val="212"/>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02"/>
        </w:trPr>
        <w:tc>
          <w:tcPr>
            <w:tcW w:w="7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0"/>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weighted average number of Class A and Class B common shares and common share equivalents outstanding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486,374,644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478,805,067</w:t>
            </w:r>
          </w:p>
        </w:tc>
      </w:tr>
      <w:tr>
        <w:trPr>
          <w:trHeight w:val="212"/>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weighted average number of Class A and Class B common shares and common share equivalents outstanding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567,451,166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566,629,082</w:t>
            </w:r>
          </w:p>
        </w:tc>
      </w:tr>
      <w:tr>
        <w:trPr>
          <w:trHeight w:val="21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0"/>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02"/>
        </w:trPr>
        <w:tc>
          <w:tcPr>
            <w:tcW w:w="7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171"/>
        </w:trPr>
        <w:tc>
          <w:tcPr>
            <w:tcW w:w="7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unrealized (loss) gain on available-for-sale investments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2,343</w:t>
            </w:r>
          </w:p>
        </w:tc>
      </w:tr>
      <w:tr>
        <w:trPr>
          <w:trHeight w:val="196"/>
        </w:trPr>
        <w:tc>
          <w:tcPr>
            <w:tcW w:w="7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-4055110</wp:posOffset>
            </wp:positionV>
            <wp:extent cx="469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80"/>
          </w:cols>
          <w:pgMar w:left="800" w:top="804" w:right="8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CONDENSED CONSOLIDATED STATEMENTS OF CHANGES IN CONVERTIBLE PREFERRED STOCK AND STOCKHOLDERS' EQUITY </w:t>
      </w:r>
      <w:r>
        <w:rPr>
          <w:rFonts w:ascii="Times New Roman" w:cs="Times New Roman" w:eastAsia="Times New Roman" w:hAnsi="Times New Roman"/>
          <w:sz w:val="11"/>
          <w:szCs w:val="1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0"/>
                <w:szCs w:val="10"/>
                <w:color w:val="auto"/>
              </w:rPr>
            </w:pPr>
          </w:p>
        </w:tc>
        <w:tc>
          <w:tcPr>
            <w:tcW w:w="80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7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26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vMerge w:val="restart"/>
          </w:tcPr>
          <w:p>
            <w:pPr>
              <w:spacing w:after="0"/>
              <w:rPr>
                <w:sz w:val="10"/>
                <w:szCs w:val="10"/>
                <w:color w:val="auto"/>
              </w:rPr>
            </w:pPr>
          </w:p>
        </w:tc>
        <w:tc>
          <w:tcPr>
            <w:tcW w:w="124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80" w:type="dxa"/>
            <w:vAlign w:val="bottom"/>
            <w:vMerge w:val="restart"/>
          </w:tcPr>
          <w:p>
            <w:pPr>
              <w:spacing w:after="0"/>
              <w:rPr>
                <w:sz w:val="10"/>
                <w:szCs w:val="10"/>
                <w:color w:val="auto"/>
              </w:rPr>
            </w:pPr>
          </w:p>
        </w:tc>
        <w:tc>
          <w:tcPr>
            <w:tcW w:w="1120" w:type="dxa"/>
            <w:vAlign w:val="bottom"/>
            <w:gridSpan w:val="4"/>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vMerge w:val="continue"/>
          </w:tcPr>
          <w:p>
            <w:pPr>
              <w:spacing w:after="0"/>
              <w:rPr>
                <w:sz w:val="10"/>
                <w:szCs w:val="10"/>
                <w:color w:val="auto"/>
              </w:rPr>
            </w:pPr>
          </w:p>
        </w:tc>
        <w:tc>
          <w:tcPr>
            <w:tcW w:w="88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0"/>
                <w:szCs w:val="10"/>
                <w:color w:val="auto"/>
              </w:rPr>
            </w:pPr>
          </w:p>
        </w:tc>
        <w:tc>
          <w:tcPr>
            <w:tcW w:w="60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4"/>
        </w:trPr>
        <w:tc>
          <w:tcPr>
            <w:tcW w:w="212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2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383,998,718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94,394,852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2,072,752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(6,509)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2,319,157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(1,955,582)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(9,374)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347,738</w:t>
            </w:r>
          </w:p>
        </w:tc>
        <w:tc>
          <w:tcPr>
            <w:tcW w:w="0" w:type="dxa"/>
            <w:vAlign w:val="bottom"/>
          </w:tcPr>
          <w:p>
            <w:pPr>
              <w:spacing w:after="0"/>
              <w:rPr>
                <w:sz w:val="1"/>
                <w:szCs w:val="1"/>
                <w:color w:val="auto"/>
              </w:rPr>
            </w:pPr>
          </w:p>
        </w:tc>
      </w:tr>
      <w:tr>
        <w:trPr>
          <w:trHeight w:val="153"/>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accounting policy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9,149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9,149</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balance, beginning of period</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383,998,718</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w:t>
            </w: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94,394,852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2,072,752</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(6,509)</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2,319,157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(1,946,433)</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(9,374)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356,887</w:t>
            </w:r>
          </w:p>
        </w:tc>
        <w:tc>
          <w:tcPr>
            <w:tcW w:w="0" w:type="dxa"/>
            <w:vAlign w:val="bottom"/>
          </w:tcPr>
          <w:p>
            <w:pPr>
              <w:spacing w:after="0"/>
              <w:rPr>
                <w:sz w:val="1"/>
                <w:szCs w:val="1"/>
                <w:color w:val="auto"/>
              </w:rPr>
            </w:pPr>
          </w:p>
        </w:tc>
      </w:tr>
      <w:tr>
        <w:trPr>
          <w:trHeight w:val="86"/>
        </w:trPr>
        <w:tc>
          <w:tcPr>
            <w:tcW w:w="2120" w:type="dxa"/>
            <w:vAlign w:val="bottom"/>
          </w:tcPr>
          <w:p>
            <w:pPr>
              <w:ind w:left="100"/>
              <w:spacing w:after="0" w:line="86" w:lineRule="exact"/>
              <w:rPr>
                <w:sz w:val="20"/>
                <w:szCs w:val="20"/>
                <w:color w:val="auto"/>
              </w:rPr>
            </w:pPr>
            <w:r>
              <w:rPr>
                <w:rFonts w:ascii="Times New Roman" w:cs="Times New Roman" w:eastAsia="Times New Roman" w:hAnsi="Times New Roman"/>
                <w:sz w:val="9"/>
                <w:szCs w:val="9"/>
                <w:color w:val="auto"/>
              </w:rPr>
              <w:t>Stock issuance for exercise of stock options,</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1,240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7"/>
                <w:szCs w:val="7"/>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0" w:type="dxa"/>
            <w:vAlign w:val="bottom"/>
          </w:tcPr>
          <w:p>
            <w:pPr>
              <w:spacing w:after="0"/>
              <w:rPr>
                <w:sz w:val="1"/>
                <w:szCs w:val="1"/>
                <w:color w:val="auto"/>
              </w:rPr>
            </w:pPr>
          </w:p>
        </w:tc>
      </w:tr>
      <w:tr>
        <w:trPr>
          <w:trHeight w:val="153"/>
        </w:trPr>
        <w:tc>
          <w:tcPr>
            <w:tcW w:w="2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early exercise liability</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38,617</w:t>
            </w:r>
          </w:p>
        </w:tc>
        <w:tc>
          <w:tcPr>
            <w:tcW w:w="0" w:type="dxa"/>
            <w:vAlign w:val="bottom"/>
          </w:tcPr>
          <w:p>
            <w:pPr>
              <w:spacing w:after="0"/>
              <w:rPr>
                <w:sz w:val="1"/>
                <w:szCs w:val="1"/>
                <w:color w:val="auto"/>
              </w:rPr>
            </w:pPr>
          </w:p>
        </w:tc>
      </w:tr>
      <w:tr>
        <w:trPr>
          <w:trHeight w:val="153"/>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5,390,973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1,773,104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21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2,343</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Conversion from Class B Common Stock to</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7,672,463</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(7,672,463)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Class A Common Stock</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Treasury stock acquired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(2,933,721)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2,933,721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(2,982)</w:t>
            </w:r>
          </w:p>
        </w:tc>
        <w:tc>
          <w:tcPr>
            <w:tcW w:w="0" w:type="dxa"/>
            <w:vAlign w:val="bottom"/>
          </w:tcPr>
          <w:p>
            <w:pPr>
              <w:spacing w:after="0"/>
              <w:rPr>
                <w:sz w:val="1"/>
                <w:szCs w:val="1"/>
                <w:color w:val="auto"/>
              </w:rPr>
            </w:pPr>
          </w:p>
        </w:tc>
      </w:tr>
      <w:tr>
        <w:trPr>
          <w:trHeight w:val="153"/>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(72,606)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(72,606)</w:t>
            </w:r>
          </w:p>
        </w:tc>
        <w:tc>
          <w:tcPr>
            <w:tcW w:w="0" w:type="dxa"/>
            <w:vAlign w:val="bottom"/>
          </w:tcPr>
          <w:p>
            <w:pPr>
              <w:spacing w:after="0"/>
              <w:rPr>
                <w:sz w:val="1"/>
                <w:szCs w:val="1"/>
                <w:color w:val="auto"/>
              </w:rPr>
            </w:pPr>
          </w:p>
        </w:tc>
      </w:tr>
      <w:tr>
        <w:trPr>
          <w:trHeight w:val="176"/>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2023</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394,129,673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88,495,493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5,006,473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(9,491)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2,358,622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(2,019,039)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(7,031)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323,107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401,183,882</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w:t>
            </w:r>
          </w:p>
        </w:tc>
        <w:tc>
          <w:tcPr>
            <w:tcW w:w="6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87,867,732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7,912,750</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(12,729)</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2,461,238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(2,159,794)</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(2,370)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286,394</w:t>
            </w:r>
          </w:p>
        </w:tc>
        <w:tc>
          <w:tcPr>
            <w:tcW w:w="0" w:type="dxa"/>
            <w:vAlign w:val="bottom"/>
          </w:tcPr>
          <w:p>
            <w:pPr>
              <w:spacing w:after="0"/>
              <w:rPr>
                <w:sz w:val="1"/>
                <w:szCs w:val="1"/>
                <w:color w:val="auto"/>
              </w:rPr>
            </w:pPr>
          </w:p>
        </w:tc>
      </w:tr>
      <w:tr>
        <w:trPr>
          <w:trHeight w:val="86"/>
        </w:trPr>
        <w:tc>
          <w:tcPr>
            <w:tcW w:w="2120" w:type="dxa"/>
            <w:vAlign w:val="bottom"/>
          </w:tcPr>
          <w:p>
            <w:pPr>
              <w:ind w:left="100"/>
              <w:spacing w:after="0" w:line="86" w:lineRule="exact"/>
              <w:rPr>
                <w:sz w:val="20"/>
                <w:szCs w:val="20"/>
                <w:color w:val="auto"/>
              </w:rPr>
            </w:pPr>
            <w:r>
              <w:rPr>
                <w:rFonts w:ascii="Times New Roman" w:cs="Times New Roman" w:eastAsia="Times New Roman" w:hAnsi="Times New Roman"/>
                <w:sz w:val="9"/>
                <w:szCs w:val="9"/>
                <w:color w:val="auto"/>
              </w:rPr>
              <w:t>Stock issuance for exercise of stock options,</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7"/>
                <w:szCs w:val="7"/>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early exercise liability</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28,798</w:t>
            </w:r>
          </w:p>
        </w:tc>
        <w:tc>
          <w:tcPr>
            <w:tcW w:w="0" w:type="dxa"/>
            <w:vAlign w:val="bottom"/>
          </w:tcPr>
          <w:p>
            <w:pPr>
              <w:spacing w:after="0"/>
              <w:rPr>
                <w:sz w:val="1"/>
                <w:szCs w:val="1"/>
                <w:color w:val="auto"/>
              </w:rPr>
            </w:pPr>
          </w:p>
        </w:tc>
      </w:tr>
      <w:tr>
        <w:trPr>
          <w:trHeight w:val="153"/>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8,672,362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1,781,633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2"/>
        </w:trPr>
        <w:tc>
          <w:tcPr>
            <w:tcW w:w="21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Conversion from Class B Common Stock to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Class A Common Stock</w:t>
            </w: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Treasury stock acquired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(3,700,995)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3,700,995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w:t>
            </w:r>
          </w:p>
        </w:tc>
        <w:tc>
          <w:tcPr>
            <w:tcW w:w="0" w:type="dxa"/>
            <w:vAlign w:val="bottom"/>
          </w:tcPr>
          <w:p>
            <w:pPr>
              <w:spacing w:after="0"/>
              <w:rPr>
                <w:sz w:val="1"/>
                <w:szCs w:val="1"/>
                <w:color w:val="auto"/>
              </w:rPr>
            </w:pPr>
          </w:p>
        </w:tc>
      </w:tr>
      <w:tr>
        <w:trPr>
          <w:trHeight w:val="106"/>
        </w:trPr>
        <w:tc>
          <w:tcPr>
            <w:tcW w:w="212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Issuance of Common Stock under</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Employee Stock Purchase Plan</w:t>
            </w: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(19,170)</w:t>
            </w:r>
          </w:p>
        </w:tc>
        <w:tc>
          <w:tcPr>
            <w:tcW w:w="0" w:type="dxa"/>
            <w:vAlign w:val="bottom"/>
          </w:tcPr>
          <w:p>
            <w:pPr>
              <w:spacing w:after="0"/>
              <w:rPr>
                <w:sz w:val="1"/>
                <w:szCs w:val="1"/>
                <w:color w:val="auto"/>
              </w:rPr>
            </w:pPr>
          </w:p>
        </w:tc>
      </w:tr>
      <w:tr>
        <w:trPr>
          <w:trHeight w:val="145"/>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2024</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406,155,332</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w:t>
            </w: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89,649,365</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6"/>
              </w:rPr>
              <w:t>11,613,745</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(16,088)</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2,490,036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(2,178,964)</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(2,560)</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292,474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40"/>
          </w:cols>
          <w:pgMar w:left="1420" w:top="804" w:right="1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color w:val="auto"/>
        </w:rPr>
        <w:t>CLOVER HEALTH INVESTMENTS, CORP.</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CONDENSED CONSOLIDATED STATEMENTS OF CASH FLOWS </w:t>
      </w:r>
      <w:r>
        <w:rPr>
          <w:rFonts w:ascii="Times New Roman" w:cs="Times New Roman" w:eastAsia="Times New Roman" w:hAnsi="Times New Roman"/>
          <w:sz w:val="11"/>
          <w:szCs w:val="1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1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0"/>
        </w:trPr>
        <w:tc>
          <w:tcPr>
            <w:tcW w:w="82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8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(19,170)</w:t>
            </w:r>
          </w:p>
        </w:tc>
        <w:tc>
          <w:tcPr>
            <w:tcW w:w="6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(72,606)</w:t>
            </w:r>
          </w:p>
        </w:tc>
      </w:tr>
      <w:tr>
        <w:trPr>
          <w:trHeight w:val="17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38,617</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Accretion, net of amortization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interest earned</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unrealized (losses) gains on investment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investment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Premium deficiency reserve</w:t>
            </w:r>
          </w:p>
        </w:tc>
        <w:tc>
          <w:tcPr>
            <w:tcW w:w="2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retrospective premiums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(48,531)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(49,798)</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receivables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Surety bonds and deposits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Prepaid expenses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3,391</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Healthcare receivables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13,664</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Unpaid claims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102,383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15,007</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Accrued salaries and benefits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Deferred revenue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107,563</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Discontinued operations (Note 17)</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(8,019)</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17,109</w:t>
            </w:r>
          </w:p>
        </w:tc>
      </w:tr>
      <w:tr>
        <w:trPr>
          <w:trHeight w:val="158"/>
        </w:trPr>
        <w:tc>
          <w:tcPr>
            <w:tcW w:w="828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25,935</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79,032</w:t>
            </w:r>
          </w:p>
        </w:tc>
      </w:tr>
      <w:tr>
        <w:trPr>
          <w:trHeight w:val="152"/>
        </w:trPr>
        <w:tc>
          <w:tcPr>
            <w:tcW w:w="8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Purchases of short-term investments, available-for-sale, and held-to-maturity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(67,893)</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sales of short-term investments and available-for-sale securities</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15,001</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maturities of short-term investments, available-for-sale, and held-to-maturity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33,735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63,324</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58"/>
        </w:trPr>
        <w:tc>
          <w:tcPr>
            <w:tcW w:w="82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10,181</w:t>
            </w:r>
          </w:p>
        </w:tc>
      </w:tr>
      <w:tr>
        <w:trPr>
          <w:trHeight w:val="172"/>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Issuance of common stock, net of early exercise liability</w:t>
            </w:r>
          </w:p>
        </w:tc>
        <w:tc>
          <w:tcPr>
            <w:tcW w:w="2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Treasury stock acquired</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w:t>
            </w:r>
          </w:p>
        </w:tc>
      </w:tr>
      <w:tr>
        <w:trPr>
          <w:trHeight w:val="158"/>
        </w:trPr>
        <w:tc>
          <w:tcPr>
            <w:tcW w:w="828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w:t>
            </w:r>
          </w:p>
        </w:tc>
      </w:tr>
      <w:tr>
        <w:trPr>
          <w:trHeight w:val="163"/>
        </w:trPr>
        <w:tc>
          <w:tcPr>
            <w:tcW w:w="8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increase in cash, cash equivalents, and restricted cash for discontinued and continuing operations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87,079</w:t>
            </w:r>
          </w:p>
        </w:tc>
      </w:tr>
      <w:tr>
        <w:trPr>
          <w:trHeight w:val="168"/>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 for discontinued and continuing operations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176,494</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186,213</w:t>
            </w:r>
          </w:p>
        </w:tc>
      </w:tr>
      <w:tr>
        <w:trPr>
          <w:trHeight w:val="160"/>
        </w:trPr>
        <w:tc>
          <w:tcPr>
            <w:tcW w:w="8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Cash, cash equivalents, and restricted cash, end of period for discontinued and continuing operations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208,255</w:t>
            </w:r>
          </w:p>
        </w:tc>
        <w:tc>
          <w:tcPr>
            <w:tcW w:w="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273,292</w:t>
            </w:r>
          </w:p>
        </w:tc>
      </w:tr>
      <w:tr>
        <w:trPr>
          <w:trHeight w:val="19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cash and cash equivalents and restricted cash for discontinued and continuing operations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208,255</w:t>
            </w:r>
          </w:p>
        </w:tc>
        <w:tc>
          <w:tcPr>
            <w:tcW w:w="6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190,562</w:t>
            </w:r>
          </w:p>
        </w:tc>
      </w:tr>
      <w:tr>
        <w:trPr>
          <w:trHeight w:val="17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82,730</w:t>
            </w:r>
          </w:p>
        </w:tc>
      </w:tr>
      <w:tr>
        <w:trPr>
          <w:trHeight w:val="139"/>
        </w:trPr>
        <w:tc>
          <w:tcPr>
            <w:tcW w:w="82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Total cash, cash equivalents, and restricted cash for discontinued and continuing operations</w:t>
            </w:r>
          </w:p>
        </w:tc>
        <w:tc>
          <w:tcPr>
            <w:tcW w:w="28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208,255</w:t>
            </w:r>
          </w:p>
        </w:tc>
        <w:tc>
          <w:tcPr>
            <w:tcW w:w="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273,292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82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Supplemental disclosure of non-cash activities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8"/>
        </w:trPr>
        <w:tc>
          <w:tcPr>
            <w:tcW w:w="8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Performance year receivable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(552,620)</w:t>
            </w:r>
          </w:p>
        </w:tc>
      </w:tr>
      <w:tr>
        <w:trPr>
          <w:trHeight w:val="17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Performance year obligation</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552,620</w:t>
            </w:r>
          </w:p>
        </w:tc>
      </w:tr>
    </w:tbl>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553" w:right="5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Health Investments, Corp. (collectively with its affiliates and subsidiaries, "Clover" or the "Company") is focused on empowering physicians to identify and manage chronic diseases early.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has centered its strategy on building and deploying technology through its flagship software platform, Clover Assistant, to help America's seniors receive better care at lower costs.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had previously provided care to aligned Medicare fee-for-service ("FFS") beneficiaries (the "Non-Insurance Beneficiaries") through our prior participation in ACO REACH Program, as defined herein. CMS redesigned the DC Model and renamed it the Accountable Care Organization ("ACO") Realizing Equity, Access, and Community Health ("REACH") ("ACO REACH") Model effective January 1, 2023. On December 1, 2023, the Company notified CMS that it will no longer participate as a REACH ACO in the CMS ACO Reach Program, effective as of the end of the 2023 performance year. The Company’s exit from the ACO REACH Program follows its November 2022 announcement of a strategic reduction in the number of ACO REACH participating physicians in 2023, and was made after the Company determined that it is in the Company's best interest to fully exit the ACO REACH Program starting with the 2024 performance year. The activity recognized during 2024 relates to prior performance years with CMS and are presented within discontinued operations for all periods presented within the condensed consolidated financial statements. See Note 17 for further discussion of discontinued operations.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any information following the aforementioned paragraph, the Company will refer to its participation in ACO REACH Model or the Company's participation in the predecessor DC Model as ACO REACH Model henceforth.</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see Note 1 included in the Company's Annual Report on Form 10-K for the year ended December 31, 2023 (the "2023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unaudited condensed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unaudited condensed consolidated financial statements should be read in conjunction with the audited consolidated financial statements and related notes to the financial statements included in the 2023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the unaudited condensed consolidated financial statements in conformity with GAAP requires management to make estimates and assumptions that impact the amounts reported in the unaudited condensed consolidated financial statements and the accompanying notes.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4"/>
          <w:szCs w:val="14"/>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amounts in the prior years' Condensed Consolidated Statements of Cash Flows have been reclassified to conform to the current year's presentation, primarily related to Surety bonds and deposits and Change in restricted cash related to surety bonds, deposits, and escrow accounts. In addition, certain amounts have also been reclassified related to Accretion, net of amortization, Accrued interest earned and Net unrealized (losses) gains on investment securities.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amounts in the prior years' Condensed Consolidated Statements of Operations and Comprehensive Loss have been reclassified to conform to current year's presentation, these amounts relate to the Company's restructuring costs which were previously included within Salaries and benefits as well as General and administrative expenses. These expenses are now recognized within Restructuring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results of operations for the Company's former Non-Insurance segment have been reclassified as discontinued operations for all periods presented in the Condensed Consolidated Statements of Operations and Comprehensive Loss. Assets and liabilities related to the Company's former Non-Insurance segment have been reclassified as discontinued operations for all periods presented in the Condensed Consolidated Balance Sheets. Refer to Note 17 - Discontinued Operations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method of accounting and variable interest entities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the Company's carrying value in an equity method investee company is reduced to zero, no further losses are recorded in the Company's unaudited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financial information is available that is evaluated on a regular basis by the chief operating decision maker</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("CODM") in deciding how to allocate resources to an individual segment and in assessing performance. The Company's CODM is its Chief Executive Officer. At March 31, 2024, the Company has one reporting segment, Insurance. At the end of 2023, the Company exited the ACO REACH Model and as a direct result, the reportable operating segment formerly known as Non-Insurance no longer meets the criteria of a required reportable operating segment starting in 2024.</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software development costs - cloud computing arrangements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acquisition costs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Acquisition costs directly related to the successful acquisition of new business, which are primarily made up of commissions costs, are deferred and subsequently amortized. Deferred acquisition costs are recorded within Other assets, current on the Condensed Consolidated Balance Sheets and are amortized over the estimated life of the related contracts. The amortization of deferred acquisition costs is recorded within General and administrative expenses within the Condensed Consolidated Statements of Operations and Comprehensive Loss. For the quarter ended March 31, 2024 and 2023, there were no deferred acquisition costs as a result of the acceleration of amortization for deferred acquisition costs due to the recognition of a premium deficiency reserve. For the three months ended March 31, 2024 and 2023 charges related to deferred acquisition costs of $1.1 million and $3.9 million, respectively, were recognized within General and administrative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Activities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Restructuring related expenses, which are recorded within Restructuring costs on the Condensed Consolidated Statements of Operations,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Exit or Disposal Cost Obligations ("ASC 420") as these costs meet the criteria of a one-time benefit. Under ASC 420-10, the Company establishes a liability for a cost associated with an exit or disposal 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 See Note 16 (Restructuring costs) for further discussion.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There have been no new accounting pronouncements adopted during the three months ended March 31, 2024 that are expected to materially impact the Company's unaudited condensed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effective in future periods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July 2023, the FASB issued ASU 2023-03, </w:t>
      </w:r>
      <w:r>
        <w:rPr>
          <w:rFonts w:ascii="Times New Roman" w:cs="Times New Roman" w:eastAsia="Times New Roman" w:hAnsi="Times New Roman"/>
          <w:sz w:val="14"/>
          <w:szCs w:val="14"/>
          <w:i w:val="1"/>
          <w:iCs w:val="1"/>
          <w:color w:val="auto"/>
        </w:rPr>
        <w:t>Presentation of Financial Statements (Topic 205)</w:t>
      </w:r>
      <w:r>
        <w:rPr>
          <w:rFonts w:ascii="Times New Roman" w:cs="Times New Roman" w:eastAsia="Times New Roman" w:hAnsi="Times New Roman"/>
          <w:sz w:val="14"/>
          <w:szCs w:val="14"/>
          <w:color w:val="auto"/>
        </w:rPr>
        <w:t xml:space="preserve">, Income Statement—Reporting </w:t>
      </w:r>
      <w:r>
        <w:rPr>
          <w:rFonts w:ascii="Times New Roman" w:cs="Times New Roman" w:eastAsia="Times New Roman" w:hAnsi="Times New Roman"/>
          <w:sz w:val="14"/>
          <w:szCs w:val="14"/>
          <w:i w:val="1"/>
          <w:iCs w:val="1"/>
          <w:color w:val="auto"/>
        </w:rPr>
        <w:t>Comprehensive Income (Topic 220)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Distinguishing Liabilities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(Topic 480)</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Equity (Topic 505)</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Compensation—Stock Compensation (Topic 718); </w:t>
      </w:r>
      <w:r>
        <w:rPr>
          <w:rFonts w:ascii="Times New Roman" w:cs="Times New Roman" w:eastAsia="Times New Roman" w:hAnsi="Times New Roman"/>
          <w:sz w:val="14"/>
          <w:szCs w:val="14"/>
          <w:color w:val="auto"/>
        </w:rPr>
        <w:t>Amendments to SEC Paragraphs Pursuant to SEC Staff Accounting Bulletin No. 120, SEC Staff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Announcement at the March 24, 2022 EITF Meeting, and Staff Accounting Bulletin Topic 6.B, Accounting Series Release 280—General Revision of Regulation S-X: Income or Loss Applicable to Common Stock (“ASU 2023-03”). This ASU amends or supersedes various SEC paragraphs within the applicable codification to conform to past SEC staff announcements. This ASU does not provide any new guidance. ASU 2023-03 will become effective for the Company once the addition to the FASB Codification is made available. The Company is currently evaluating the impact of the update on the Company’s unaudited condensed consolidated financial statements and related disclosures.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amendments in this update aim to improve reportable segment disclosures by requiring enhanced disclosures around significant segment expenses that are regularly provided to the chief operating decision maker. Additionally, ASU 2023-07 requires that all existing annual disclosures about segment profit or loss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The Company is currently evaluating the impact of ASU 2023-07 on its unaudited condensed consolidated financial statements and related disclosures.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amendments in this update aim to provide more transparency regarding tax disclosures mainly related to the rate reconciliation and income taxes paid information. The Company is currently evaluating the impact of ASU 2023-09 on its unaudited condensed consolidated financial statements and related disclosures.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Investment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amortized cost and fair values of investments at March 31, 2024 and December 31, 2023,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unrealized losses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135,364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77,944</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held-to-maturity and available-for-sale investment securities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222,735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unrealized losses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held-to-maturity and available-for-sale investment securities</w:t>
            </w:r>
          </w:p>
        </w:tc>
        <w:tc>
          <w:tcPr>
            <w:tcW w:w="12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The following table presents the amortized cost and fair value of debt securities at March 31, 2024, by contractual maturity:</w:t>
      </w:r>
    </w:p>
    <w:p>
      <w:pPr>
        <w:sectPr>
          <w:pgSz w:w="11900" w:h="16838" w:orient="portrait"/>
          <w:cols w:equalWidth="0" w:num="1">
            <w:col w:w="11280"/>
          </w:cols>
          <w:pgMar w:left="300" w:top="804" w:right="319" w:bottom="1440" w:gutter="0" w:footer="0" w:header="0"/>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79285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92855" cy="6985"/>
                    </a:xfrm>
                    <a:prstGeom prst="rect">
                      <a:avLst/>
                    </a:prstGeom>
                    <a:noFill/>
                  </pic:spPr>
                </pic:pic>
              </a:graphicData>
            </a:graphic>
          </wp:anchor>
        </w:drawing>
      </w: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within one year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Pr>
          <w:p>
            <w:pPr>
              <w:spacing w:after="0"/>
              <w:rPr>
                <w:sz w:val="15"/>
                <w:szCs w:val="15"/>
                <w:color w:val="auto"/>
              </w:rPr>
            </w:pPr>
          </w:p>
        </w:tc>
        <w:tc>
          <w:tcPr>
            <w:tcW w:w="2500" w:type="dxa"/>
            <w:vAlign w:val="bottom"/>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Held-to-maturity</w:t>
            </w:r>
          </w:p>
        </w:tc>
        <w:tc>
          <w:tcPr>
            <w:tcW w:w="160" w:type="dxa"/>
            <w:vAlign w:val="bottom"/>
          </w:tcPr>
          <w:p>
            <w:pPr>
              <w:spacing w:after="0"/>
              <w:rPr>
                <w:sz w:val="15"/>
                <w:szCs w:val="15"/>
                <w:color w:val="auto"/>
              </w:rPr>
            </w:pPr>
          </w:p>
        </w:tc>
        <w:tc>
          <w:tcPr>
            <w:tcW w:w="2420" w:type="dxa"/>
            <w:vAlign w:val="bottom"/>
            <w:gridSpan w:val="4"/>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Available-for-sale</w:t>
            </w:r>
          </w:p>
        </w:tc>
      </w:tr>
      <w:tr>
        <w:trPr>
          <w:trHeight w:val="172"/>
        </w:trPr>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48"/>
        </w:trPr>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5"/>
          </w:tcPr>
          <w:p>
            <w:pPr>
              <w:ind w:left="7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9"/>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8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6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119,528</w:t>
            </w: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118,056</w:t>
            </w:r>
          </w:p>
        </w:tc>
      </w:tr>
      <w:tr>
        <w:trPr>
          <w:trHeight w:val="219"/>
        </w:trPr>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97,133</w:t>
            </w:r>
          </w:p>
        </w:tc>
      </w:tr>
      <w:tr>
        <w:trPr>
          <w:trHeight w:val="184"/>
        </w:trPr>
        <w:tc>
          <w:tcPr>
            <w:tcW w:w="1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217,749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215,189</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-673100</wp:posOffset>
            </wp:positionV>
            <wp:extent cx="716153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-417195</wp:posOffset>
            </wp:positionV>
            <wp:extent cx="716153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-161290</wp:posOffset>
            </wp:positionV>
            <wp:extent cx="7161530"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220"/>
          </w:cols>
          <w:pgMar w:left="300" w:top="804" w:right="3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2024 and 2023, respectively, net investment income, which is included within Other income within the Condensed Consolidated Statements of Operations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Comprehensive Loss, was derived from the following sources:</w:t>
      </w:r>
    </w:p>
    <w:p>
      <w:pPr>
        <w:spacing w:after="0" w:line="18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7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40" w:type="dxa"/>
            <w:vAlign w:val="bottom"/>
          </w:tcPr>
          <w:p>
            <w:pPr>
              <w:spacing w:after="0"/>
              <w:rPr>
                <w:sz w:val="13"/>
                <w:szCs w:val="13"/>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r>
      <w:tr>
        <w:trPr>
          <w:trHeight w:val="201"/>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r>
      <w:tr>
        <w:trPr>
          <w:trHeight w:val="183"/>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income, net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Gross unrealized losses and fair values aggregated by investment category and length of time that individual securities have been in a continuous unrealized loss position were as follows at March 31, 2024, and December 31,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80" w:type="dxa"/>
            <w:vAlign w:val="bottom"/>
          </w:tcPr>
          <w:p>
            <w:pPr>
              <w:spacing w:after="0"/>
              <w:rPr>
                <w:sz w:val="15"/>
                <w:szCs w:val="15"/>
                <w:color w:val="auto"/>
              </w:rPr>
            </w:pPr>
          </w:p>
        </w:tc>
        <w:tc>
          <w:tcPr>
            <w:tcW w:w="24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80" w:type="dxa"/>
            <w:vAlign w:val="bottom"/>
          </w:tcPr>
          <w:p>
            <w:pPr>
              <w:spacing w:after="0"/>
              <w:rPr>
                <w:sz w:val="15"/>
                <w:szCs w:val="15"/>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Greater than 12 months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w w:val="97"/>
              </w:rPr>
              <w:t>Unrealized loss</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(in thousands, except number of positions)</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authorities</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95,707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201"/>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38,850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45,541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72,758</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68,490</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141,248</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positions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45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24"/>
                <w:szCs w:val="24"/>
                <w:color w:val="auto"/>
              </w:rPr>
            </w:pPr>
          </w:p>
        </w:tc>
        <w:tc>
          <w:tcPr>
            <w:tcW w:w="24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80" w:type="dxa"/>
            <w:vAlign w:val="bottom"/>
          </w:tcPr>
          <w:p>
            <w:pPr>
              <w:spacing w:after="0"/>
              <w:rPr>
                <w:sz w:val="24"/>
                <w:szCs w:val="24"/>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Greater than 12 months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w w:val="97"/>
              </w:rPr>
              <w:t>Unrealized loss</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(in thousands, except number of positions)</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authorities</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201"/>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73,591</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66,645</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140,236</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positions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601"/>
        </w:trPr>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The Company did not record any credit allowances for debt securities that were in an unrealized loss position at March 31, 2024 and December 31, 2023.</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March 31, 2024,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March 31, 2024, were assessed, based on, among other things:</w:t>
      </w:r>
    </w:p>
    <w:p>
      <w:pPr>
        <w:spacing w:after="0" w:line="71"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relative magnitude to which fair values of these securities have been below their amortized cost was not indicative of an impairment loss;</w:t>
      </w:r>
    </w:p>
    <w:p>
      <w:pPr>
        <w:spacing w:after="0" w:line="90"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absence of compelling evidence that would cause the Company to call into question the financial condition or near-term prospects of the issuer of the applicable security; and</w:t>
      </w:r>
    </w:p>
    <w:p>
      <w:pPr>
        <w:spacing w:after="0" w:line="90"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Company's ability and intent to hold the applicable security for a period of time sufficient to allow for any anticipated recovery.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sales and maturities of investment securities, inclusive of short-term investments, and related gross realized gains (losses) which are included within Other income within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Condensed Consolidated Statements of Operations and Comprehensive Loss, were as follows for the three months ended March 31, 2024 and 2023, respectively:</w:t>
      </w:r>
    </w:p>
    <w:p>
      <w:pPr>
        <w:spacing w:after="0" w:line="189"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8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80" w:type="dxa"/>
            <w:vAlign w:val="bottom"/>
          </w:tcPr>
          <w:p>
            <w:pPr>
              <w:spacing w:after="0"/>
              <w:rPr>
                <w:sz w:val="13"/>
                <w:szCs w:val="13"/>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sales of investment securities</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15,001</w:t>
            </w:r>
          </w:p>
        </w:tc>
      </w:tr>
      <w:tr>
        <w:trPr>
          <w:trHeight w:val="20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investment securities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63,324</w:t>
            </w:r>
          </w:p>
        </w:tc>
      </w:tr>
      <w:tr>
        <w:trPr>
          <w:trHeight w:val="117"/>
        </w:trPr>
        <w:tc>
          <w:tcPr>
            <w:tcW w:w="8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realized gains</w:t>
            </w:r>
          </w:p>
        </w:tc>
        <w:tc>
          <w:tcPr>
            <w:tcW w:w="10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realized losses</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March 31, 2024 and December 31, 2023, the Company had $14.8 million and $14.7 million, respectively, in deposits with various states and regulatory bodies that are included as part of the Company's investment balances.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 summary of fair value measurements for financial instruments at March 31, 2024 and December 31, 2023, respectively:</w:t>
      </w:r>
    </w:p>
    <w:p>
      <w:pPr>
        <w:spacing w:after="0" w:line="208"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3"/>
          <w:szCs w:val="13"/>
          <w:b w:val="1"/>
          <w:bCs w:val="1"/>
          <w:color w:val="auto"/>
        </w:rPr>
        <w:t>Total fair</w:t>
      </w:r>
    </w:p>
    <w:p>
      <w:pPr>
        <w:spacing w:after="0" w:line="28" w:lineRule="exact"/>
        <w:rPr>
          <w:sz w:val="20"/>
          <w:szCs w:val="20"/>
          <w:color w:val="auto"/>
        </w:rPr>
      </w:pPr>
    </w:p>
    <w:p>
      <w:pPr>
        <w:ind w:left="20"/>
        <w:spacing w:after="0"/>
        <w:tabs>
          <w:tab w:leader="none" w:pos="6440" w:val="left"/>
          <w:tab w:leader="none" w:pos="7760" w:val="left"/>
          <w:tab w:leader="none" w:pos="9100" w:val="left"/>
          <w:tab w:leader="none" w:pos="10480" w:val="left"/>
        </w:tabs>
        <w:rPr>
          <w:sz w:val="20"/>
          <w:szCs w:val="20"/>
          <w:color w:val="auto"/>
        </w:rPr>
      </w:pPr>
      <w:r>
        <w:rPr>
          <w:rFonts w:ascii="Times New Roman" w:cs="Times New Roman" w:eastAsia="Times New Roman" w:hAnsi="Times New Roman"/>
          <w:sz w:val="14"/>
          <w:szCs w:val="14"/>
          <w:b w:val="1"/>
          <w:bCs w:val="1"/>
          <w:color w:val="auto"/>
        </w:rPr>
        <w:t>March 31, 2024</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1"/>
          <w:szCs w:val="11"/>
          <w:b w:val="1"/>
          <w:bCs w:val="1"/>
          <w:color w:val="auto"/>
        </w:rPr>
        <w:t>(in thousands)</w:t>
      </w:r>
    </w:p>
    <w:p>
      <w:pPr>
        <w:sectPr>
          <w:pgSz w:w="11900" w:h="16838" w:orient="portrait"/>
          <w:cols w:equalWidth="0" w:num="1">
            <w:col w:w="11280"/>
          </w:cols>
          <w:pgMar w:left="300" w:top="802" w:right="31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Warrants receivable</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79285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928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135,364</w:t>
            </w:r>
          </w:p>
        </w:tc>
        <w:tc>
          <w:tcPr>
            <w:tcW w:w="6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135,364</w:t>
            </w:r>
          </w:p>
        </w:tc>
      </w:tr>
      <w:tr>
        <w:trPr>
          <w:trHeight w:val="223"/>
        </w:trPr>
        <w:tc>
          <w:tcPr>
            <w:tcW w:w="4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77,944</w:t>
            </w:r>
          </w:p>
        </w:tc>
      </w:tr>
      <w:tr>
        <w:trPr>
          <w:trHeight w:val="198"/>
        </w:trPr>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r>
      <w:tr>
        <w:trPr>
          <w:trHeight w:val="205"/>
        </w:trPr>
        <w:tc>
          <w:tcPr>
            <w:tcW w:w="4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171"/>
        </w:trPr>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213,308</w:t>
            </w: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216,003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-659765</wp:posOffset>
            </wp:positionV>
            <wp:extent cx="716153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-403860</wp:posOffset>
            </wp:positionV>
            <wp:extent cx="7161530"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-147320</wp:posOffset>
            </wp:positionV>
            <wp:extent cx="716153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7"/>
              </w:rPr>
              <w:t>Total fair</w:t>
            </w:r>
          </w:p>
        </w:tc>
      </w:tr>
      <w:tr>
        <w:trPr>
          <w:trHeight w:val="186"/>
        </w:trPr>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
        </w:trPr>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1"/>
        </w:trPr>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5340" w:space="720"/>
            <w:col w:w="5220"/>
          </w:cols>
          <w:pgMar w:left="300" w:top="802"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123,714</w:t>
            </w:r>
          </w:p>
        </w:tc>
      </w:tr>
      <w:tr>
        <w:trPr>
          <w:trHeight w:val="20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95,343</w:t>
            </w:r>
          </w:p>
        </w:tc>
      </w:tr>
      <w:tr>
        <w:trPr>
          <w:trHeight w:val="20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receivable</w:t>
            </w:r>
          </w:p>
        </w:tc>
        <w:tc>
          <w:tcPr>
            <w:tcW w:w="4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05"/>
        </w:trPr>
        <w:tc>
          <w:tcPr>
            <w:tcW w:w="6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The changes in balances of Clover's Level 3 financial assets and liabilities during the three months ended March 31, 2024 were as follows: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850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Warrants receivable</w:t>
            </w:r>
          </w:p>
        </w:tc>
        <w:tc>
          <w:tcPr>
            <w:tcW w:w="420" w:type="dxa"/>
            <w:vAlign w:val="bottom"/>
          </w:tcPr>
          <w:p>
            <w:pPr>
              <w:spacing w:after="0"/>
              <w:rPr>
                <w:sz w:val="24"/>
                <w:szCs w:val="24"/>
                <w:color w:val="auto"/>
              </w:rPr>
            </w:pPr>
          </w:p>
        </w:tc>
        <w:tc>
          <w:tcPr>
            <w:tcW w:w="9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8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8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Receipts</w:t>
            </w:r>
          </w:p>
        </w:tc>
        <w:tc>
          <w:tcPr>
            <w:tcW w:w="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500" w:type="dxa"/>
            <w:vAlign w:val="bottom"/>
            <w:tcBorders>
              <w:top w:val="single" w:sz="8" w:color="CCEEFF"/>
            </w:tcBorders>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Settlements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Transfers in</w:t>
            </w:r>
          </w:p>
        </w:tc>
        <w:tc>
          <w:tcPr>
            <w:tcW w:w="5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Transfers out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unrealized losses (gains)</w:t>
            </w:r>
          </w:p>
        </w:tc>
        <w:tc>
          <w:tcPr>
            <w:tcW w:w="5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8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in or out of Level 3 financial assets or liabilities for the three months ended March 31, 2024 or March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Warrants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March 31, 2024, the Company had exercisable private warrants which were embedded in several agreements as derivatives. These private warrants were accounted for as assets in accordance with ASC 815-40 and are presented within Other assets, non-current on the Unaudited Condensed Consolidated Balance Sheets. The warrant assets are measured at fair value at inception and on a recurring basis until redeemed, with changes in fair value presented within Change in fair value of warrants within the Unaudited Condensed Consolidated Statements of Operations and Comprehensive Loss. These private warrants were classified within Level 3 due to the subjectivity and use of estimates in the calculation of their fair value. These warrants at measurement date, December 31, 2023, were assessed to have a fair value of $0.8 million, with no other activity for the three months ended March 31, 2024. The Company reassesses the fair values of the warrants based on updated estimates and for the three months ended March 31, 2024 there were no unrealized gains or losses recognized.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5. Healthcare Receivables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within Healthcare receivables are Medicare Part D settlement receivables, member premium receivables, and other CMS receivables. The Company reported $83.9 million and $64.2 million within Healthcare receivables at March 31, 2024, and December 31,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Related Party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agreements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and Sequoia Healthcare Management, LLC, which both provide services to CarePoint Health. Expenses and fees incurred related to Clover's contracts with CarePoint Health, recorded within Net medical claims incurred, were $0.5 million and $3.7 million for the three months ended March 31, 2024 and 2023 respectively. Additionally, $0.9 million and $1.4 million were payable to CarePoint Health at March 31, 2024, and December 31, 2023, respectively.</w:t>
      </w:r>
    </w:p>
    <w:p>
      <w:pPr>
        <w:spacing w:after="0" w:line="3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Expenses and fees incurred related to this agreement were $0.1 million and $0.1 million for the three months ended March 31, 2024 and 2023 respectively. Vivek Garipalli, the Company's Executive Chairman and significant stockholder of the Company, is an indirect owner of Medical Records Exchange, LLC.</w:t>
      </w:r>
    </w:p>
    <w:p>
      <w:pPr>
        <w:spacing w:after="0" w:line="3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Since July 2, 2021, the Company has contracted with Thyme Care, Inc. ("Thyme Care"), an oncology care management company, through which Thyme Care was engaged to provide cancer care management services to the Company's Insurance members in New Jersey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$0.5 million at March 31, 2024, and is recognized within Other assets, non-current, on the Condensed Consolidated Balance Sheet. In accordance with ASC 321, any changes in fair value associated with these shares are recognized within the Condensed Consolidated Statements of Operations and Comprehensive Loss. Mr. Garipalli is a member of the board of directors of Thyme Care and holds an equity interest of less than five percent (5%) of that entity. Expenses and fees incurred related to this agreement were none and $0.5 million for the three months ended March 31, 2024 and 2023, respectively. Additionally, none and $0.2 million were payable to Thyme Care at March 31, 2024, and December 31, 2023,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7. Unpaid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within the liability for Unpaid claims, including claims adjustment expenses, for the three months ended March 31, 2024 and 2023, respectively,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tcBorders>
          </w:tcPr>
          <w:p>
            <w:pPr>
              <w:spacing w:after="0"/>
              <w:rPr>
                <w:sz w:val="12"/>
                <w:szCs w:val="12"/>
                <w:color w:val="auto"/>
              </w:rPr>
            </w:pPr>
          </w:p>
        </w:tc>
      </w:tr>
      <w:tr>
        <w:trPr>
          <w:trHeight w:val="186"/>
        </w:trPr>
        <w:tc>
          <w:tcPr>
            <w:tcW w:w="87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Gross and net balance, beginning of period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137,395</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Incurred related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272,258</w:t>
            </w:r>
          </w:p>
        </w:tc>
      </w:tr>
      <w:tr>
        <w:trPr>
          <w:trHeight w:val="180"/>
        </w:trPr>
        <w:tc>
          <w:tcPr>
            <w:tcW w:w="8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 years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71"/>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incurred</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260,224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273,062</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Paid related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84,549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167,360</w:t>
            </w:r>
          </w:p>
        </w:tc>
      </w:tr>
      <w:tr>
        <w:trPr>
          <w:trHeight w:val="180"/>
        </w:trPr>
        <w:tc>
          <w:tcPr>
            <w:tcW w:w="8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 years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73,292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104,581</w:t>
            </w:r>
          </w:p>
        </w:tc>
      </w:tr>
      <w:tr>
        <w:trPr>
          <w:trHeight w:val="171"/>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paid</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271,941</w:t>
            </w:r>
          </w:p>
        </w:tc>
      </w:tr>
      <w:tr>
        <w:trPr>
          <w:trHeight w:val="171"/>
        </w:trPr>
        <w:tc>
          <w:tcPr>
            <w:tcW w:w="87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Gross and net balance, end of period </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239,483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138,516</w:t>
            </w:r>
          </w:p>
        </w:tc>
      </w:tr>
      <w:tr>
        <w:trPr>
          <w:trHeight w:val="20"/>
        </w:trPr>
        <w:tc>
          <w:tcPr>
            <w:tcW w:w="8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-268605</wp:posOffset>
            </wp:positionV>
            <wp:extent cx="469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-733425</wp:posOffset>
            </wp:positionV>
            <wp:extent cx="469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-1191895</wp:posOffset>
            </wp:positionV>
            <wp:extent cx="469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1"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amounts due to related parties.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Unpaid Claims for Insurance Operations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Unpaid claims for Insurance operations were $239.5 million at March 31, 2024. During the three months ended March 31, 2024, $73.3 million was paid for incurred claims attributable to insured events of prior years. A favorable development of $17.6 million was recognized during the three months ended March 31, 2024, resulting from the Company's actual experience with claims developing differently as compared to the Company's estimates at December 31, 2023. An unfavorable development of $0.8 million was recognized during the three months ended March 31, 2023, resulting from the Company's actual experience with claims developing differently as compared to the Company's estimates at December 31, 2022. Original estimates are increased or decreased, as additional information becomes known regarding individual claims. The ratio of current year medical claims paid as a percentage of current year Net medical claims incurred was 30.4% for the three months ended March 31, 2024, and 61.5% for the three months ended March 31, 2023. This ratio serves as an indicator of claims processing speed, indicating that claims were processed at a slower rate during the three months ended March 31, 2024, than during the three months ended March 31, 2023. As a result of slower claims processing, unpaid claims liability increased which increase was primarily due to claim submission and payment process disruptions related to a third-party cyber incident.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Stockholders' Equity and Convertible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Stockholders' Equity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was authorized to issue up to 2,500,000,000 shares of Class A common stock at March 31, 2024 and December 31, 2023, respectively, and up to 500,000,000 shares of Class B common stock at March 31, 2024 and December 31, 2023. At March 31, 2024 and December 31, 2023, there were 406,155,332 and 401,183,882 shares of Class A common stock issued and outstanding, respectively. There were 89,649,365 and 87,867,732 shares of Class B common stock issued and outstanding at March 31, 2024 and December 31, 2023, respectively. Class B common stock has 10 votes per share, and Class A common stock has one vote per share. The Company had 11,613,745 and 7,912,750 shares held in treasury at March 31, 2024 and December 31, 2023, respectively. These amounts represent shares withheld to cover taxes upon vesting of employee stock-based awards.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March 31, 2024, the Company was authorized to issue 25,000,000 shares of preferred stock having a par value of $0.0001 per share, and the Company's Board has the authority to determine the rights, preferences, privileges, and restrictions, including voting rights, of those shares. At March 31, 2024, there were no shares of preferred stock issued and outstanding.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9. Variable Interest Entity and Equity Method of Accounting</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On January 23, 2023, Character Biosciences, completed a second private capital transaction in which it raised additional capital from the issuance of additional shares of its preferred stock. Upon completion of this transaction, the Company's ownership percentage in Character Biosciences decreased to 23.92%.</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Condensed Consolidated Balance Sheets. For the year ended December 31, 2022, the Company recognized a gain on investment of $9.2 million which is included within Loss (gain) on investment on the audited Consolidated Statements of Operations and Comprehensive Loss. For the year ended December 31, 2023, the Company recognized a loss on investment of $4.7 million.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audited Consolidated Statements of Operations and Comprehensive Loss.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accordance with ASC 323, the Company recognized the proportionate share of Character Bioscience's net loss up to the investment carrying amount. As a result the Company recognized a shared loss of $0.5 million and zero for the three months ended March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Employee 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Savings Plan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$0.5 million and $0.5 million for the three months ended March 31, 2024 and 2023, respectively, and are included within Salaries and benefits on the Condensed Consolidated Statements of Operations and Comprehensive Loss. The Company's cash match is invested pursuant to the participant's contribution direction. Employer contributions are immediately 100.0% vested.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4"/>
          <w:szCs w:val="14"/>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maximum number of shares of the Company's common stock reserved for issuance over the term of the Plans, shares outstanding under the Plans, and shares remaining under the Plans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2024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Shares Outstanding</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 Remaining</w:t>
            </w:r>
          </w:p>
        </w:tc>
        <w:tc>
          <w:tcPr>
            <w:tcW w:w="0" w:type="dxa"/>
            <w:vAlign w:val="bottom"/>
          </w:tcPr>
          <w:p>
            <w:pPr>
              <w:spacing w:after="0"/>
              <w:rPr>
                <w:sz w:val="1"/>
                <w:szCs w:val="1"/>
                <w:color w:val="auto"/>
              </w:rPr>
            </w:pPr>
          </w:p>
        </w:tc>
      </w:tr>
      <w:tr>
        <w:trPr>
          <w:trHeight w:val="191"/>
        </w:trPr>
        <w:tc>
          <w:tcPr>
            <w:tcW w:w="7380" w:type="dxa"/>
            <w:vAlign w:val="bottom"/>
            <w:gridSpan w:val="2"/>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Under Plans</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0" w:type="dxa"/>
            <w:vAlign w:val="bottom"/>
          </w:tcPr>
          <w:p>
            <w:pPr>
              <w:spacing w:after="0"/>
              <w:rPr>
                <w:sz w:val="1"/>
                <w:szCs w:val="1"/>
                <w:color w:val="auto"/>
              </w:rPr>
            </w:pPr>
          </w:p>
        </w:tc>
      </w:tr>
      <w:tr>
        <w:trPr>
          <w:trHeight w:val="171"/>
        </w:trPr>
        <w:tc>
          <w:tcPr>
            <w:tcW w:w="7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2014 Plan</w:t>
            </w:r>
          </w:p>
        </w:tc>
        <w:tc>
          <w:tcPr>
            <w:tcW w:w="8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54,402,264</w:t>
            </w:r>
          </w:p>
        </w:tc>
        <w:tc>
          <w:tcPr>
            <w:tcW w:w="6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23,977,273</w:t>
            </w:r>
          </w:p>
        </w:tc>
        <w:tc>
          <w:tcPr>
            <w:tcW w:w="80" w:type="dxa"/>
            <w:vAlign w:val="bottom"/>
            <w:tcBorders>
              <w:top w:val="single" w:sz="8" w:color="CFF0FC"/>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86,604,581</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45,291,944</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22,392,308</w:t>
            </w:r>
          </w:p>
        </w:tc>
        <w:tc>
          <w:tcPr>
            <w:tcW w:w="0" w:type="dxa"/>
            <w:vAlign w:val="bottom"/>
          </w:tcPr>
          <w:p>
            <w:pPr>
              <w:spacing w:after="0"/>
              <w:rPr>
                <w:sz w:val="1"/>
                <w:szCs w:val="1"/>
                <w:color w:val="auto"/>
              </w:rPr>
            </w:pPr>
          </w:p>
        </w:tc>
      </w:tr>
      <w:tr>
        <w:trPr>
          <w:trHeight w:val="180"/>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 MIP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33,426,983</w:t>
            </w:r>
          </w:p>
        </w:tc>
        <w:tc>
          <w:tcPr>
            <w:tcW w:w="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23,398,889</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Inducement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2,452,449</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4,228,753</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Stock-based compensation expense for stock options, RSUs, and PRSUs granted under the Plans, and discounts offered in connection with the Company's 2020 Employee Stock Purchase Plan ("ESPP") of $28.8 million and $38.6 million during the three months ended March 31, 2024 and 2023, respectively, and such expenses are presented within Salaries and benefits in the accompanying Condensed Consolidated Statements of Operations and Comprehensive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cost presented within Salaries and benefits within the accompanying Condensed Consolidated Statements of Operations and Comprehensive Loss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tcBorders>
          </w:tcPr>
          <w:p>
            <w:pPr>
              <w:spacing w:after="0"/>
              <w:rPr>
                <w:sz w:val="12"/>
                <w:szCs w:val="12"/>
                <w:color w:val="auto"/>
              </w:rPr>
            </w:pPr>
          </w:p>
        </w:tc>
      </w:tr>
      <w:tr>
        <w:trPr>
          <w:trHeight w:val="18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w:t>
            </w:r>
          </w:p>
        </w:tc>
      </w:tr>
      <w:tr>
        <w:trPr>
          <w:trHeight w:val="18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16,195</w:t>
            </w:r>
          </w:p>
        </w:tc>
      </w:tr>
      <w:tr>
        <w:trPr>
          <w:trHeight w:val="18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6"/>
        </w:trPr>
        <w:tc>
          <w:tcPr>
            <w:tcW w:w="8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-19685</wp:posOffset>
            </wp:positionV>
            <wp:extent cx="4699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990" cy="13335"/>
                    </a:xfrm>
                    <a:prstGeom prst="rect">
                      <a:avLst/>
                    </a:prstGeom>
                    <a:noFill/>
                  </pic:spPr>
                </pic:pic>
              </a:graphicData>
            </a:graphic>
          </wp:anchor>
        </w:drawing>
      </w:r>
    </w:p>
    <w:p>
      <w:pPr>
        <w:spacing w:after="0" w:line="2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March 31, 2024, there was approximately $421.0 million of unrecognized stock-based compensation expense related to unvested stock options, unvested RSUs, unvested PRSUs, and the ESPP, estimated to be recognized over a period of four years.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Stock Options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did not grant stock options during the three months ended March 31, 2024 and 2023, respectively.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option activity under the 2020 Plan during the three months ended March 31, 2024,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7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8"/>
        </w:trPr>
        <w:tc>
          <w:tcPr>
            <w:tcW w:w="870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8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952,900</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(78,180)</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March 31,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874,720</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color w:val="auto"/>
              </w:rPr>
              <w:t>A summary of stock option activity under the 2014 Plan during the three months ended March 31, 2024, was as follows:</w:t>
            </w: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7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7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8"/>
        </w:trPr>
        <w:tc>
          <w:tcPr>
            <w:tcW w:w="870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8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24,041,753</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(64,632)</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March 31,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23,977,204</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-1225550</wp:posOffset>
            </wp:positionV>
            <wp:extent cx="4699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-1353820</wp:posOffset>
            </wp:positionV>
            <wp:extent cx="4699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-19685</wp:posOffset>
            </wp:positionV>
            <wp:extent cx="4699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-147320</wp:posOffset>
            </wp:positionV>
            <wp:extent cx="469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At March 31, 2024, outstanding stock options, substantially all of which are expected to vest, had an aggregate intrinsic value of less than $0.1 million, and a weighted-average remaining contractual term of four years. At March 31, 2024, there were 23,752,137 options exercisable under the Plan, with an aggregate intrinsic value of less than $0.1 million, a weighted-average exercise price of $2.86 per share, and a weighted-average remaining contractual term of 5.15 years. The total value of stock options exercised during the three months ended March 31, 2024 and 2023 was none. Cash received from stock option exercises during the three months ended March 31, 2024 and 2023 totaled none.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total RSU activity is presented below:</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80" w:type="dxa"/>
            <w:vAlign w:val="bottom"/>
          </w:tcPr>
          <w:p>
            <w:pPr>
              <w:spacing w:after="0"/>
              <w:rPr>
                <w:sz w:val="12"/>
                <w:szCs w:val="12"/>
                <w:color w:val="auto"/>
              </w:rPr>
            </w:pPr>
          </w:p>
        </w:tc>
        <w:tc>
          <w:tcPr>
            <w:tcW w:w="1320" w:type="dxa"/>
            <w:vAlign w:val="bottom"/>
          </w:tcPr>
          <w:p>
            <w:pPr>
              <w:jc w:val="center"/>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56,928,405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0"/>
        </w:trPr>
        <w:tc>
          <w:tcPr>
            <w:tcW w:w="8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 during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7,124,716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0" w:type="dxa"/>
            <w:vAlign w:val="bottom"/>
          </w:tcPr>
          <w:p>
            <w:pPr>
              <w:spacing w:after="0"/>
              <w:rPr>
                <w:sz w:val="1"/>
                <w:szCs w:val="1"/>
                <w:color w:val="auto"/>
              </w:rPr>
            </w:pPr>
          </w:p>
        </w:tc>
      </w:tr>
      <w:tr>
        <w:trPr>
          <w:trHeight w:val="180"/>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(10,371,186)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80"/>
        </w:trPr>
        <w:tc>
          <w:tcPr>
            <w:tcW w:w="8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(4,495,795)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49,186,140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that the Company used in the Monte Carlo model to determine the grant date fair value of Market PRSUs granted for the year ended December 31, 2021, were as follows: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tcBorders>
              <w:top w:val="single" w:sz="8" w:color="auto"/>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8"/>
                <w:szCs w:val="18"/>
                <w:color w:val="auto"/>
                <w:vertAlign w:val="superscript"/>
              </w:rPr>
              <w:t>(1)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0.5</w:t>
            </w:r>
          </w:p>
        </w:tc>
      </w:tr>
      <w:tr>
        <w:trPr>
          <w:trHeight w:val="212"/>
        </w:trPr>
        <w:tc>
          <w:tcPr>
            <w:tcW w:w="9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(3)</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bl>
    <w:p>
      <w:pPr>
        <w:spacing w:after="0" w:line="35"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Expected volatility is based on a blend of peer group company historical data adjusted for the Company's leverage.</w:t>
      </w:r>
    </w:p>
    <w:p>
      <w:pPr>
        <w:ind w:left="120" w:hanging="115"/>
        <w:spacing w:after="0"/>
        <w:tabs>
          <w:tab w:leader="none" w:pos="120" w:val="left"/>
        </w:tabs>
        <w:numPr>
          <w:ilvl w:val="0"/>
          <w:numId w:val="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Risk-free interest rate based on U.S. Treasury yields with a term equal to the remaining Performance Period as of the grant date.</w:t>
      </w:r>
    </w:p>
    <w:p>
      <w:pPr>
        <w:spacing w:after="0" w:line="8" w:lineRule="exact"/>
        <w:rPr>
          <w:rFonts w:ascii="Times New Roman" w:cs="Times New Roman" w:eastAsia="Times New Roman" w:hAnsi="Times New Roman"/>
          <w:sz w:val="7"/>
          <w:szCs w:val="7"/>
          <w:color w:val="auto"/>
        </w:rPr>
      </w:pPr>
    </w:p>
    <w:p>
      <w:pPr>
        <w:ind w:left="120" w:hanging="115"/>
        <w:spacing w:after="0" w:line="205" w:lineRule="auto"/>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Dividend yield was assumed to be zero as the Company does not anticipate paying dividends.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March 31, 2024, the market condition component of these PRSUs has not been met, so the awards have not been earned. This expense represents most of the PRSU expense recognized for the three months ended March 31, 2024 related to stock-based compensation plans which is presented within Salaries and benefits in the accompanying Condensed Consolidated Statements of Operations and Comprehensive Loss. The Company has also determined the requisite service period for the PRSUs with multiple performance conditions to be the longest of the explicit, implicit, or derived service period for each tranche.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PRSU activity is presented below:</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00" w:type="dxa"/>
            <w:vAlign w:val="bottom"/>
          </w:tcPr>
          <w:p>
            <w:pPr>
              <w:spacing w:after="0"/>
              <w:rPr>
                <w:sz w:val="12"/>
                <w:szCs w:val="12"/>
                <w:color w:val="auto"/>
              </w:rPr>
            </w:pPr>
          </w:p>
        </w:tc>
        <w:tc>
          <w:tcPr>
            <w:tcW w:w="1360" w:type="dxa"/>
            <w:vAlign w:val="bottom"/>
          </w:tcPr>
          <w:p>
            <w:pPr>
              <w:jc w:val="center"/>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71"/>
        </w:trPr>
        <w:tc>
          <w:tcPr>
            <w:tcW w:w="8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January 1, 2024</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32,131,532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8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 during 2024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180"/>
        </w:trPr>
        <w:tc>
          <w:tcPr>
            <w:tcW w:w="8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(290,381)</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31,829,294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2024, there was $31.0 million of unrecognized share-based compensation expense related to PRSUs, which is expected to be recognized over a period of four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2020 Employee Stock Purchase Plan</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March 31, 2024, 13,078,532 shares of Class A common stock were available for issuance under the ESPP.</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that the Company used in the Black-Scholes option-pricing model to determine the fair value of the purchase rights under the ESPP for the most recent offering period, is as follows: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Offering period from November 23, 2023 to May 21,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4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consolidated effective tax rate of the Company for the three months ended March 31, 2024 and 2023, was 0.0%. The Company continues to be in a net operating loss and net deferred tax asset position. As a result, and in accordance with accounting standards, the Company recorded a valuation allowance to reduce the value of the net deferred tax assets to zero. The Company believes that at March 31, 2024, it had no material uncertain tax positions. Interest and penalties related to unrecognized tax expense (benefits) are recognized in income tax expense, when applicable.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liabilities for interest and penalties accrued at March 31, 2024 and December 31, 2023.</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12. Net Loss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 - Continuing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6"/>
        </w:trPr>
        <w:tc>
          <w:tcPr>
            <w:tcW w:w="8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09"/>
        </w:trPr>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3"/>
          </w:tcPr>
          <w:p>
            <w:pPr>
              <w:jc w:val="center"/>
              <w:ind w:left="593"/>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20" w:type="dxa"/>
            <w:vAlign w:val="bottom"/>
          </w:tcPr>
          <w:p>
            <w:pPr>
              <w:spacing w:after="0"/>
              <w:rPr>
                <w:sz w:val="9"/>
                <w:szCs w:val="9"/>
                <w:color w:val="auto"/>
              </w:rPr>
            </w:pPr>
          </w:p>
        </w:tc>
      </w:tr>
      <w:tr>
        <w:trPr>
          <w:trHeight w:val="158"/>
        </w:trPr>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4"/>
          </w:tcPr>
          <w:p>
            <w:pPr>
              <w:jc w:val="center"/>
              <w:ind w:right="89"/>
              <w:spacing w:after="0"/>
              <w:rPr>
                <w:sz w:val="20"/>
                <w:szCs w:val="20"/>
                <w:color w:val="auto"/>
              </w:rPr>
            </w:pPr>
            <w:r>
              <w:rPr>
                <w:rFonts w:ascii="Times New Roman" w:cs="Times New Roman" w:eastAsia="Times New Roman" w:hAnsi="Times New Roman"/>
                <w:sz w:val="11"/>
                <w:szCs w:val="11"/>
                <w:b w:val="1"/>
                <w:bCs w:val="1"/>
                <w:color w:val="auto"/>
              </w:rPr>
              <w:t>except per share and share amounts)</w:t>
            </w:r>
          </w:p>
        </w:tc>
      </w:tr>
      <w:tr>
        <w:trPr>
          <w:trHeight w:val="19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 attributable to Common Stockholders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(79,698)</w:t>
            </w:r>
          </w:p>
        </w:tc>
      </w:tr>
      <w:tr>
        <w:trPr>
          <w:trHeight w:val="180"/>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number of common shares and common share equivalents outstanding</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486,374,644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478,805,067</w:t>
            </w:r>
          </w:p>
        </w:tc>
      </w:tr>
      <w:tr>
        <w:trPr>
          <w:trHeight w:val="196"/>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Because the Company had a Net loss during the three months ended March 31, 2024 and 2023, the Company's potentially dilutive securities, which include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00" w:type="dxa"/>
            <w:vAlign w:val="bottom"/>
          </w:tcPr>
          <w:p>
            <w:pPr>
              <w:spacing w:after="0"/>
              <w:rPr>
                <w:sz w:val="15"/>
                <w:szCs w:val="15"/>
                <w:color w:val="auto"/>
              </w:rPr>
            </w:pPr>
          </w:p>
        </w:tc>
        <w:tc>
          <w:tcPr>
            <w:tcW w:w="25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6"/>
        </w:trPr>
        <w:tc>
          <w:tcPr>
            <w:tcW w:w="8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24,851,924</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25,834,803</w:t>
            </w: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49,186,140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57,742,605</w:t>
            </w: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31,829,294</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29,945,235</w:t>
            </w:r>
          </w:p>
        </w:tc>
      </w:tr>
      <w:tr>
        <w:trPr>
          <w:trHeight w:val="171"/>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anti-dilutive shares excluded from computation of net loss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105,867,358</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113,522,643</w:t>
            </w:r>
          </w:p>
        </w:tc>
      </w:tr>
      <w:tr>
        <w:trPr>
          <w:trHeight w:val="20"/>
        </w:trPr>
        <w:tc>
          <w:tcPr>
            <w:tcW w:w="8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per Share - Discontinued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and diluted net loss per share from discontinued operations attributable to Class A common stockholders and Class B common stockholders (collectively, "Common Stockholders") for the years indicated were calculated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6"/>
        </w:trPr>
        <w:tc>
          <w:tcPr>
            <w:tcW w:w="54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09"/>
        </w:trPr>
        <w:tc>
          <w:tcPr>
            <w:tcW w:w="54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3"/>
          </w:tcPr>
          <w:p>
            <w:pPr>
              <w:jc w:val="center"/>
              <w:ind w:left="592"/>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20" w:type="dxa"/>
            <w:vAlign w:val="bottom"/>
          </w:tcPr>
          <w:p>
            <w:pPr>
              <w:spacing w:after="0"/>
              <w:rPr>
                <w:sz w:val="9"/>
                <w:szCs w:val="9"/>
                <w:color w:val="auto"/>
              </w:rPr>
            </w:pPr>
          </w:p>
        </w:tc>
      </w:tr>
      <w:tr>
        <w:trPr>
          <w:trHeight w:val="158"/>
        </w:trPr>
        <w:tc>
          <w:tcPr>
            <w:tcW w:w="54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4"/>
          </w:tcPr>
          <w:p>
            <w:pPr>
              <w:jc w:val="center"/>
              <w:ind w:right="89"/>
              <w:spacing w:after="0"/>
              <w:rPr>
                <w:sz w:val="20"/>
                <w:szCs w:val="20"/>
                <w:color w:val="auto"/>
              </w:rPr>
            </w:pPr>
            <w:r>
              <w:rPr>
                <w:rFonts w:ascii="Times New Roman" w:cs="Times New Roman" w:eastAsia="Times New Roman" w:hAnsi="Times New Roman"/>
                <w:sz w:val="11"/>
                <w:szCs w:val="11"/>
                <w:b w:val="1"/>
                <w:bCs w:val="1"/>
                <w:color w:val="auto"/>
              </w:rPr>
              <w:t>except per share and share amounts)</w:t>
            </w:r>
          </w:p>
        </w:tc>
      </w:tr>
      <w:tr>
        <w:trPr>
          <w:trHeight w:val="19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discontinued operations attributable to Common Stockholders</w:t>
            </w:r>
          </w:p>
        </w:tc>
        <w:tc>
          <w:tcPr>
            <w:tcW w:w="3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7,092</w:t>
            </w:r>
          </w:p>
        </w:tc>
      </w:tr>
      <w:tr>
        <w:trPr>
          <w:trHeight w:val="202"/>
        </w:trPr>
        <w:tc>
          <w:tcPr>
            <w:tcW w:w="5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 average number of common shares and common share equivalents outstanding</w:t>
            </w:r>
          </w:p>
        </w:tc>
        <w:tc>
          <w:tcPr>
            <w:tcW w:w="3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486,374,644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478,805,067</w:t>
            </w:r>
          </w:p>
        </w:tc>
      </w:tr>
      <w:tr>
        <w:trPr>
          <w:trHeight w:val="18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Potential dilutive shares:</w:t>
            </w:r>
          </w:p>
        </w:tc>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RSU</w:t>
            </w:r>
          </w:p>
        </w:tc>
        <w:tc>
          <w:tcPr>
            <w:tcW w:w="3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49,186,140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57,742,605</w:t>
            </w:r>
          </w:p>
        </w:tc>
      </w:tr>
      <w:tr>
        <w:trPr>
          <w:trHeight w:val="180"/>
        </w:trPr>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PRSU</w:t>
            </w:r>
          </w:p>
        </w:tc>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31,829,294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29,945,235</w:t>
            </w:r>
          </w:p>
        </w:tc>
      </w:tr>
      <w:tr>
        <w:trPr>
          <w:trHeight w:val="180"/>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Options</w:t>
            </w:r>
          </w:p>
        </w:tc>
        <w:tc>
          <w:tcPr>
            <w:tcW w:w="33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136,175</w:t>
            </w:r>
          </w:p>
        </w:tc>
      </w:tr>
      <w:tr>
        <w:trPr>
          <w:trHeight w:val="171"/>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shares used in computing net income per share of common stock, diluted</w:t>
            </w:r>
          </w:p>
        </w:tc>
        <w:tc>
          <w:tcPr>
            <w:tcW w:w="3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567,451,166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566,629,082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3"/>
        </w:trPr>
        <w:tc>
          <w:tcPr>
            <w:tcW w:w="548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583"/>
        </w:trPr>
        <w:tc>
          <w:tcPr>
            <w:tcW w:w="5480" w:type="dxa"/>
            <w:vAlign w:val="bottom"/>
          </w:tcPr>
          <w:p>
            <w:pPr>
              <w:spacing w:after="0"/>
              <w:rPr>
                <w:sz w:val="24"/>
                <w:szCs w:val="24"/>
                <w:color w:val="auto"/>
              </w:rPr>
            </w:pPr>
          </w:p>
        </w:tc>
        <w:tc>
          <w:tcPr>
            <w:tcW w:w="3360" w:type="dxa"/>
            <w:vAlign w:val="bottom"/>
          </w:tcPr>
          <w:p>
            <w:pPr>
              <w:jc w:val="right"/>
              <w:ind w:right="304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548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potentially dilutive shares that were excluded from the computation of diluted net income per share of common stock:</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8700" w:type="dxa"/>
            <w:vAlign w:val="bottom"/>
          </w:tcPr>
          <w:p>
            <w:pPr>
              <w:spacing w:after="0"/>
              <w:rPr>
                <w:sz w:val="17"/>
                <w:szCs w:val="17"/>
                <w:color w:val="auto"/>
              </w:rPr>
            </w:pPr>
          </w:p>
        </w:tc>
        <w:tc>
          <w:tcPr>
            <w:tcW w:w="25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6"/>
        </w:trPr>
        <w:tc>
          <w:tcPr>
            <w:tcW w:w="8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24,790,836</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25,698,628</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March 31, 2024, and December 31, 2023, respectively, there were no material known contingent liabilities arising outside the normal course of business other than as set forth below. In accordance with ASC No. 450-20, “Loss Contingencies”, we will record accruals for loss contingencies when it is probable that a liability has been incurred and the amount of loss can be reasonably estimated.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 Derivative Litigation and Investigations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21, 2023, the parties to the securities class action entered into a memorandum of understanding providing for the settlement of the action. The Court approved the settlement and dismissed the action with prejudice on October 3, 2023. Under the settlement, the class will receive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14"/>
          <w:szCs w:val="14"/>
          <w:color w:val="auto"/>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10, 2021, the Middle District of Tennessee shareholder derivative actions described above were consolidated under Sun v. Garipalli, et al., Case No. 3:21-cv-00311 (M.D. Tenn.) as lead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6" w:name="page27"/>
    <w:bookmarkEnd w:id="26"/>
    <w:p>
      <w:pPr>
        <w:jc w:val="both"/>
        <w:spacing w:after="0" w:line="264" w:lineRule="auto"/>
        <w:rPr>
          <w:sz w:val="20"/>
          <w:szCs w:val="20"/>
          <w:color w:val="auto"/>
        </w:rPr>
      </w:pPr>
      <w:r>
        <w:rPr>
          <w:rFonts w:ascii="Times New Roman" w:cs="Times New Roman" w:eastAsia="Times New Roman" w:hAnsi="Times New Roman"/>
          <w:sz w:val="14"/>
          <w:szCs w:val="14"/>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will provide the defendants in the derivative lawsuits with customary releases and will require the Company to implement a suite of corporate governance enhancements. On March 5, 2024, the United States District Court for the Middle District of Tennessee entered an Order Preliminarily Approving Settlement and Providing for Notice, and scheduled a hearing for July 11, 2024 to determine whether to give final approval to the Settlement. The settlement does not involve any monetary payment, other than payment of an award of fees and expenses to plaintiffs’ counsel in the amount of $2,500,000, which amount is subject to court approval.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Operating Segments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Starting in 2024, the Company manages its operations based on one reportable operating segment: Insurance. Through the Insurance segment, the Company provides PPO and HMO plans to Medicare Advantage members in several states. These segment groupings are consistent with information used by the Chief Executive Officer, the Company's CODM, to assess performance and allocate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operations of the Company are organized into the following one segment:</w:t>
      </w:r>
    </w:p>
    <w:p>
      <w:pPr>
        <w:spacing w:after="0" w:line="20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Segment includes operations related to the Company's MA plans, which generally provide access to a wide network of primary care providers, specialists, and hospitals.</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Corporate/Other includes other clinical services not included in Medicare Advantage and all other corporate overhead. Clinical services is comprised of Clover Home Care and other clinical services that are offered to eligible beneficiaries.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summarizes the Company's results by operating segment:</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Corporate/Other</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c>
          <w:tcPr>
            <w:tcW w:w="0" w:type="dxa"/>
            <w:vAlign w:val="bottom"/>
          </w:tcPr>
          <w:p>
            <w:pPr>
              <w:spacing w:after="0"/>
              <w:rPr>
                <w:sz w:val="1"/>
                <w:szCs w:val="1"/>
                <w:color w:val="auto"/>
              </w:rPr>
            </w:pPr>
          </w:p>
        </w:tc>
      </w:tr>
      <w:tr>
        <w:trPr>
          <w:trHeight w:val="160"/>
        </w:trPr>
        <w:tc>
          <w:tcPr>
            <w:tcW w:w="5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tcPr>
          <w:p>
            <w:pPr>
              <w:ind w:left="9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$101)</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341,722</w:t>
            </w:r>
          </w:p>
        </w:tc>
        <w:tc>
          <w:tcPr>
            <w:tcW w:w="0" w:type="dxa"/>
            <w:vAlign w:val="bottom"/>
          </w:tcPr>
          <w:p>
            <w:pPr>
              <w:spacing w:after="0"/>
              <w:rPr>
                <w:sz w:val="1"/>
                <w:szCs w:val="1"/>
                <w:color w:val="auto"/>
              </w:rPr>
            </w:pP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266,076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265,162</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(loss)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79,373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(56,821)</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81,760</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498,360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(664,635)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671,770</w:t>
            </w:r>
          </w:p>
        </w:tc>
        <w:tc>
          <w:tcPr>
            <w:tcW w:w="0" w:type="dxa"/>
            <w:vAlign w:val="bottom"/>
          </w:tcPr>
          <w:p>
            <w:pPr>
              <w:spacing w:after="0"/>
              <w:rPr>
                <w:sz w:val="1"/>
                <w:szCs w:val="1"/>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Corporate/Other</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c>
          <w:tcPr>
            <w:tcW w:w="0" w:type="dxa"/>
            <w:vAlign w:val="bottom"/>
          </w:tcPr>
          <w:p>
            <w:pPr>
              <w:spacing w:after="0"/>
              <w:rPr>
                <w:sz w:val="1"/>
                <w:szCs w:val="1"/>
                <w:color w:val="auto"/>
              </w:rPr>
            </w:pPr>
          </w:p>
        </w:tc>
      </w:tr>
      <w:tr>
        <w:trPr>
          <w:trHeight w:val="160"/>
        </w:trPr>
        <w:tc>
          <w:tcPr>
            <w:tcW w:w="43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tcPr>
          <w:p>
            <w:pPr>
              <w:ind w:left="9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$122)</w:t>
            </w:r>
          </w:p>
        </w:tc>
        <w:tc>
          <w:tcPr>
            <w:tcW w:w="15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317,086</w:t>
            </w: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1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274,504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274,789</w:t>
            </w:r>
          </w:p>
        </w:tc>
        <w:tc>
          <w:tcPr>
            <w:tcW w:w="0" w:type="dxa"/>
            <w:vAlign w:val="bottom"/>
          </w:tcPr>
          <w:p>
            <w:pPr>
              <w:spacing w:after="0"/>
              <w:rPr>
                <w:sz w:val="1"/>
                <w:szCs w:val="1"/>
                <w:color w:val="auto"/>
              </w:rPr>
            </w:pPr>
          </w:p>
        </w:tc>
      </w:tr>
      <w:tr>
        <w:trPr>
          <w:trHeight w:val="17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(loss)</w:t>
            </w:r>
          </w:p>
        </w:tc>
        <w:tc>
          <w:tcPr>
            <w:tcW w:w="1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(34,739)</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47,203</w:t>
            </w:r>
          </w:p>
        </w:tc>
        <w:tc>
          <w:tcPr>
            <w:tcW w:w="0" w:type="dxa"/>
            <w:vAlign w:val="bottom"/>
          </w:tcPr>
          <w:p>
            <w:pPr>
              <w:spacing w:after="0"/>
              <w:rPr>
                <w:sz w:val="1"/>
                <w:szCs w:val="1"/>
                <w:color w:val="auto"/>
              </w:rPr>
            </w:pPr>
          </w:p>
        </w:tc>
      </w:tr>
      <w:tr>
        <w:trPr>
          <w:trHeight w:val="97"/>
        </w:trPr>
        <w:tc>
          <w:tcPr>
            <w:tcW w:w="4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5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936,903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737,485</w:t>
            </w:r>
          </w:p>
        </w:tc>
        <w:tc>
          <w:tcPr>
            <w:tcW w:w="0" w:type="dxa"/>
            <w:vAlign w:val="bottom"/>
          </w:tcPr>
          <w:p>
            <w:pPr>
              <w:spacing w:after="0"/>
              <w:rPr>
                <w:sz w:val="1"/>
                <w:szCs w:val="1"/>
                <w:color w:val="auto"/>
              </w:rPr>
            </w:pPr>
          </w:p>
        </w:tc>
      </w:tr>
      <w:tr>
        <w:trPr>
          <w:trHeight w:val="572"/>
        </w:trPr>
        <w:tc>
          <w:tcPr>
            <w:tcW w:w="4360" w:type="dxa"/>
            <w:vAlign w:val="bottom"/>
          </w:tcPr>
          <w:p>
            <w:pPr>
              <w:spacing w:after="0"/>
              <w:rPr>
                <w:sz w:val="24"/>
                <w:szCs w:val="24"/>
                <w:color w:val="auto"/>
              </w:rPr>
            </w:pPr>
          </w:p>
        </w:tc>
        <w:tc>
          <w:tcPr>
            <w:tcW w:w="15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27</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7" w:name="page28"/>
    <w:bookmarkEnd w:id="27"/>
    <w:p>
      <w:pPr>
        <w:jc w:val="both"/>
        <w:spacing w:after="0" w:line="287" w:lineRule="auto"/>
        <w:rPr>
          <w:sz w:val="20"/>
          <w:szCs w:val="20"/>
          <w:color w:val="auto"/>
        </w:rPr>
      </w:pPr>
      <w:r>
        <w:rPr>
          <w:rFonts w:ascii="Times New Roman" w:cs="Times New Roman" w:eastAsia="Times New Roman" w:hAnsi="Times New Roman"/>
          <w:sz w:val="14"/>
          <w:szCs w:val="14"/>
          <w:color w:val="auto"/>
        </w:rPr>
        <w:t>A reconciliation of the reportable segments' gross profit to the Net loss from continuing operations included in the Condensed Consolidated Statements of Operations and Comprehensive Loss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8"/>
                <w:szCs w:val="18"/>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Borders>
              <w:top w:val="single" w:sz="8" w:color="auto"/>
            </w:tcBorders>
          </w:tcPr>
          <w:p>
            <w:pPr>
              <w:spacing w:after="0"/>
              <w:rPr>
                <w:sz w:val="12"/>
                <w:szCs w:val="12"/>
                <w:color w:val="auto"/>
              </w:rPr>
            </w:pPr>
          </w:p>
        </w:tc>
      </w:tr>
      <w:tr>
        <w:trPr>
          <w:trHeight w:val="186"/>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47,203</w:t>
            </w:r>
          </w:p>
        </w:tc>
      </w:tr>
      <w:tr>
        <w:trPr>
          <w:trHeight w:val="117"/>
        </w:trPr>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59,223</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68,981</w:t>
            </w:r>
          </w:p>
        </w:tc>
      </w:tr>
      <w:tr>
        <w:trPr>
          <w:trHeight w:val="18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44,569</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57,644</w:t>
            </w:r>
          </w:p>
        </w:tc>
      </w:tr>
      <w:tr>
        <w:trPr>
          <w:trHeight w:val="18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r>
      <w:tr>
        <w:trPr>
          <w:trHeight w:val="18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costs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r>
      <w:tr>
        <w:trPr>
          <w:trHeight w:val="180"/>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(gain) on investment</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(23,170)</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Dividend Restrictions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March 31, 2024 and December 31, 2023, neither of the regulated insurance subsidiaries had been authorized nor paid any dividends.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Restructuring costs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On April 17, 2023, the Company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4"/>
          <w:szCs w:val="14"/>
          <w:i w:val="1"/>
          <w:iCs w:val="1"/>
          <w:color w:val="auto"/>
        </w:rPr>
        <w:t>Exit or Disposal Cost Obligations.</w:t>
      </w:r>
      <w:r>
        <w:rPr>
          <w:rFonts w:ascii="Times New Roman" w:cs="Times New Roman" w:eastAsia="Times New Roman" w:hAnsi="Times New Roman"/>
          <w:sz w:val="14"/>
          <w:szCs w:val="14"/>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 costs are presented in the Company's Condensed Consolidated Statements of Operations and Comprehensive Loss, which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termination benefits</w:t>
            </w:r>
          </w:p>
        </w:tc>
        <w:tc>
          <w:tcPr>
            <w:tcW w:w="504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Vendor related costs</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restructuring costs</w:t>
            </w: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660" w:type="dxa"/>
            <w:vAlign w:val="bottom"/>
            <w:vMerge w:val="restart"/>
          </w:tcPr>
          <w:p>
            <w:pPr>
              <w:jc w:val="right"/>
              <w:ind w:right="262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7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4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UST HealthProof Transition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March 31, 2024, the liability for employee termination benefits was recorded in Accrued salaries and benefits and the liability for vendor related costs and other expenses were recorded in Accounts payable and accrued expenses in the Condensed Consolidated Balance Sheets. The liability recorded reflects the Company's best estimate, which may be revised in subsequent periods as the restructuring progresses. The restructuring costs are recorded within the Corporate/Other operating segment. In addition, the Company incurred costs related to software impairment. These costs are recognized within Depreciation and amortization in the Condensed Consolidated Statements of Operations and Comprehensive Loss, and total $0.1 million for the three months ended March 31, 2024.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Vendor related costs</w:t>
            </w:r>
          </w:p>
        </w:tc>
        <w:tc>
          <w:tcPr>
            <w:tcW w:w="10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Termination Benefits</w:t>
            </w:r>
          </w:p>
        </w:tc>
        <w:tc>
          <w:tcPr>
            <w:tcW w:w="144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as of December 31, 2023</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Liability as of March 31, 2024</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cumulative costs incurred as of March 31, 2024</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Discontinued 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 2023, the Company notified CMS that it would no longer participate as a REACH ACO in connection with the 2024 performance year. The Company’s exit from the ACO REACH Program was made after the Company determined that it is in its best interest to fully exit the ACO REACH Program starting with the 2024 performance year, and follows the Company's November 2022 announcement of a strategic reduction in the number of ACO REACH participating physicians in 2023. The nature of the remaining activities relate to the settlement with CMS related to prior performance years which is expected to be completed during the second half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results from discontinued operations included in the Condensed Consolidated Statements of Operations and Comprehensive Loss follows:</w:t>
      </w:r>
    </w:p>
    <w:p>
      <w:pPr>
        <w:spacing w:after="0" w:line="34"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5"/>
        </w:trPr>
        <w:tc>
          <w:tcPr>
            <w:tcW w:w="3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Non-Insurance revenue</w:t>
            </w:r>
          </w:p>
        </w:tc>
        <w:tc>
          <w:tcPr>
            <w:tcW w:w="5520" w:type="dxa"/>
            <w:vAlign w:val="bottom"/>
            <w:gridSpan w:val="2"/>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6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205,783</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46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205,783</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5520" w:type="dxa"/>
            <w:vAlign w:val="bottom"/>
            <w:gridSpan w:val="2"/>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6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197,701</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4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Restructuring costs</w:t>
            </w:r>
          </w:p>
        </w:tc>
        <w:tc>
          <w:tcPr>
            <w:tcW w:w="46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6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198,691</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Gain from operations</w:t>
            </w:r>
          </w:p>
        </w:tc>
        <w:tc>
          <w:tcPr>
            <w:tcW w:w="4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46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709"/>
              <w:spacing w:after="0"/>
              <w:rPr>
                <w:sz w:val="20"/>
                <w:szCs w:val="20"/>
                <w:color w:val="auto"/>
              </w:rPr>
            </w:pPr>
            <w:r>
              <w:rPr>
                <w:rFonts w:ascii="Times New Roman" w:cs="Times New Roman" w:eastAsia="Times New Roman" w:hAnsi="Times New Roman"/>
                <w:sz w:val="14"/>
                <w:szCs w:val="14"/>
                <w:color w:val="auto"/>
              </w:rPr>
              <w:t>29</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8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46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A summary of the carrying amounts of major assets and liabilities, which were classified as held for settlement in the Condensed Consolidated Balance Sheets,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5"/>
        </w:trPr>
        <w:tc>
          <w:tcPr>
            <w:tcW w:w="34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4"/>
          </w:tcPr>
          <w:p>
            <w:pPr>
              <w:jc w:val="right"/>
              <w:ind w:right="969"/>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86"/>
        </w:trPr>
        <w:tc>
          <w:tcPr>
            <w:tcW w:w="3440" w:type="dxa"/>
            <w:vAlign w:val="bottom"/>
            <w:shd w:val="clear" w:color="auto" w:fill="CCEEFF"/>
          </w:tcPr>
          <w:p>
            <w:pPr>
              <w:spacing w:after="0"/>
              <w:rPr>
                <w:sz w:val="16"/>
                <w:szCs w:val="16"/>
                <w:color w:val="auto"/>
              </w:rPr>
            </w:pPr>
          </w:p>
        </w:tc>
        <w:tc>
          <w:tcPr>
            <w:tcW w:w="5200" w:type="dxa"/>
            <w:vAlign w:val="bottom"/>
            <w:gridSpan w:val="2"/>
            <w:shd w:val="clear" w:color="auto" w:fill="CCEEFF"/>
          </w:tcPr>
          <w:p>
            <w:pPr>
              <w:jc w:val="right"/>
              <w:ind w:right="4069"/>
              <w:spacing w:after="0" w:line="186" w:lineRule="exact"/>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b w:val="1"/>
                <w:bCs w:val="1"/>
                <w:color w:val="auto"/>
                <w:vertAlign w:val="superscript"/>
              </w:rPr>
              <w:t>(1)</w:t>
            </w: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Surety bond and deposits</w:t>
            </w:r>
          </w:p>
        </w:tc>
        <w:tc>
          <w:tcPr>
            <w:tcW w:w="5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55,089</w:t>
            </w:r>
          </w:p>
        </w:tc>
      </w:tr>
      <w:tr>
        <w:trPr>
          <w:trHeight w:val="18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Non-Insurance receivable</w:t>
            </w:r>
          </w:p>
        </w:tc>
        <w:tc>
          <w:tcPr>
            <w:tcW w:w="5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10,926</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10,926</w:t>
            </w:r>
          </w:p>
        </w:tc>
      </w:tr>
      <w:tr>
        <w:trPr>
          <w:trHeight w:val="196"/>
        </w:trPr>
        <w:tc>
          <w:tcPr>
            <w:tcW w:w="3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5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10,926</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4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344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jc w:val="right"/>
              <w:ind w:right="3969"/>
              <w:spacing w:after="0" w:line="181" w:lineRule="exact"/>
              <w:rPr>
                <w:sz w:val="20"/>
                <w:szCs w:val="20"/>
                <w:color w:val="auto"/>
              </w:rPr>
            </w:pP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18"/>
                <w:szCs w:val="18"/>
                <w:b w:val="1"/>
                <w:bCs w:val="1"/>
                <w:color w:val="auto"/>
                <w:vertAlign w:val="superscript"/>
              </w:rPr>
              <w:t>(1)</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Unpaid claims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5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Non-Insurance performance year obligation, current</w:t>
            </w:r>
          </w:p>
        </w:tc>
        <w:tc>
          <w:tcPr>
            <w:tcW w:w="5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15,568</w:t>
            </w:r>
          </w:p>
        </w:tc>
      </w:tr>
      <w:tr>
        <w:trPr>
          <w:trHeight w:val="18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Non-Insurance payable</w:t>
            </w:r>
          </w:p>
        </w:tc>
        <w:tc>
          <w:tcPr>
            <w:tcW w:w="5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39,810</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41,565</w:t>
            </w:r>
          </w:p>
        </w:tc>
      </w:tr>
      <w:tr>
        <w:trPr>
          <w:trHeight w:val="196"/>
        </w:trPr>
        <w:tc>
          <w:tcPr>
            <w:tcW w:w="3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5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firstLine="5"/>
        <w:spacing w:after="0" w:line="230" w:lineRule="auto"/>
        <w:tabs>
          <w:tab w:leader="none" w:pos="15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assets and liabilities of the disposal group classified are classified as current on the March 31, 2024 Condensed Consolidated Balance Sheet as the settlement with CMS is expected to occur within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cash flows from discontinued operations included in the Condensed Consolidated Statements of Cash Flows follows:</w:t>
      </w:r>
    </w:p>
    <w:p>
      <w:pPr>
        <w:spacing w:after="0" w:line="22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11430</wp:posOffset>
            </wp:positionV>
            <wp:extent cx="177165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1650" cy="6985"/>
                    </a:xfrm>
                    <a:prstGeom prst="rect">
                      <a:avLst/>
                    </a:prstGeom>
                    <a:noFill/>
                  </pic:spPr>
                </pic:pic>
              </a:graphicData>
            </a:graphic>
          </wp:anchor>
        </w:drawing>
      </w:r>
    </w:p>
    <w:p>
      <w:pPr>
        <w:spacing w:after="0" w:line="3" w:lineRule="exact"/>
        <w:rPr>
          <w:sz w:val="20"/>
          <w:szCs w:val="20"/>
          <w:color w:val="auto"/>
        </w:rPr>
      </w:pPr>
    </w:p>
    <w:p>
      <w:pPr>
        <w:ind w:left="904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15875</wp:posOffset>
            </wp:positionV>
            <wp:extent cx="17716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71650" cy="6985"/>
                    </a:xfrm>
                    <a:prstGeom prst="rect">
                      <a:avLst/>
                    </a:prstGeom>
                    <a:noFill/>
                  </pic:spPr>
                </pic:pic>
              </a:graphicData>
            </a:graphic>
          </wp:anchor>
        </w:drawing>
      </w:r>
    </w:p>
    <w:p>
      <w:pPr>
        <w:spacing w:after="0" w:line="7"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37" w:lineRule="exact"/>
        <w:rPr>
          <w:sz w:val="20"/>
          <w:szCs w:val="20"/>
          <w:color w:val="auto"/>
        </w:rPr>
      </w:pPr>
    </w:p>
    <w:p>
      <w:pPr>
        <w:ind w:left="20"/>
        <w:spacing w:after="0"/>
        <w:tabs>
          <w:tab w:leader="none" w:pos="8480" w:val="left"/>
          <w:tab w:leader="none" w:pos="9400" w:val="left"/>
          <w:tab w:leader="none" w:pos="10820" w:val="left"/>
        </w:tabs>
        <w:rPr>
          <w:sz w:val="20"/>
          <w:szCs w:val="20"/>
          <w:color w:val="auto"/>
        </w:rPr>
      </w:pPr>
      <w:r>
        <w:rPr>
          <w:rFonts w:ascii="Times New Roman" w:cs="Times New Roman" w:eastAsia="Times New Roman" w:hAnsi="Times New Roman"/>
          <w:sz w:val="14"/>
          <w:szCs w:val="14"/>
          <w:color w:val="auto"/>
        </w:rPr>
        <w:t>Net cash (used in) provided by operating activities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(8,019)  $</w:t>
      </w:r>
      <w:r>
        <w:rPr>
          <w:sz w:val="20"/>
          <w:szCs w:val="20"/>
          <w:color w:val="auto"/>
        </w:rPr>
        <w:tab/>
      </w:r>
      <w:r>
        <w:rPr>
          <w:rFonts w:ascii="Times New Roman" w:cs="Times New Roman" w:eastAsia="Times New Roman" w:hAnsi="Times New Roman"/>
          <w:sz w:val="13"/>
          <w:szCs w:val="13"/>
          <w:color w:val="auto"/>
        </w:rPr>
        <w:t>17,109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guarantees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Certain of the Company's arrangements with third-party providers require it to guarantee the performance of its care network to CMS. As a result of the Company's participation in the ACO REACH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balance sheets.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14"/>
          <w:szCs w:val="14"/>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The ACO has entered into an agreement with CMS and a third-party to cover the financial threshold determined by CMS.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rebranded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assumed the responsibility of guaranteeing the performance of its care network. The ACO REACH Model is intended to reduce administrative burden and support a focus on complex, chronically ill patients. 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For additional information, see Note 2 (Summary of Significant Accounting Policies) and Note 20 (Non-Insurance) in the 2023 Form 10-K.</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40"/>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The tables below include the financial statement impacts of the performance guarantee:</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3"/>
        </w:trPr>
        <w:tc>
          <w:tcPr>
            <w:tcW w:w="8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1"/>
        </w:trPr>
        <w:tc>
          <w:tcPr>
            <w:tcW w:w="8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3"/>
          </w:tcPr>
          <w:p>
            <w:pPr>
              <w:jc w:val="right"/>
              <w:ind w:right="969"/>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79"/>
        </w:trPr>
        <w:tc>
          <w:tcPr>
            <w:tcW w:w="8500" w:type="dxa"/>
            <w:vAlign w:val="bottom"/>
          </w:tcPr>
          <w:p>
            <w:pPr>
              <w:ind w:left="20"/>
              <w:spacing w:after="0" w:line="178" w:lineRule="exact"/>
              <w:rPr>
                <w:sz w:val="20"/>
                <w:szCs w:val="20"/>
                <w:color w:val="auto"/>
              </w:rPr>
            </w:pPr>
            <w:r>
              <w:rPr>
                <w:rFonts w:ascii="Times New Roman" w:cs="Times New Roman" w:eastAsia="Times New Roman" w:hAnsi="Times New Roman"/>
                <w:sz w:val="14"/>
                <w:szCs w:val="14"/>
                <w:color w:val="auto"/>
              </w:rPr>
              <w:t xml:space="preserve">Non-Insurance performance year obligation </w:t>
            </w:r>
            <w:r>
              <w:rPr>
                <w:rFonts w:ascii="Times New Roman" w:cs="Times New Roman" w:eastAsia="Times New Roman" w:hAnsi="Times New Roman"/>
                <w:sz w:val="18"/>
                <w:szCs w:val="18"/>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61530" cy="121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140" w:hanging="121"/>
        <w:spacing w:after="0" w:line="197" w:lineRule="auto"/>
        <w:tabs>
          <w:tab w:leader="none" w:pos="14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This obligation represents the consideration due to providers, net of the shared savings or loss for the period and amortization of the liability.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6"/>
        </w:trPr>
        <w:tc>
          <w:tcPr>
            <w:tcW w:w="4620" w:type="dxa"/>
            <w:vAlign w:val="bottom"/>
          </w:tcPr>
          <w:p>
            <w:pPr>
              <w:spacing w:after="0"/>
              <w:rPr>
                <w:sz w:val="16"/>
                <w:szCs w:val="16"/>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46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tcBorders>
          </w:tcPr>
          <w:p>
            <w:pPr>
              <w:spacing w:after="0"/>
              <w:rPr>
                <w:sz w:val="12"/>
                <w:szCs w:val="12"/>
                <w:color w:val="auto"/>
              </w:rPr>
            </w:pPr>
          </w:p>
        </w:tc>
      </w:tr>
      <w:tr>
        <w:trPr>
          <w:trHeight w:val="18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the Non-Insurance performance year receivable</w:t>
            </w:r>
          </w:p>
        </w:tc>
        <w:tc>
          <w:tcPr>
            <w:tcW w:w="490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(184,207)</w:t>
            </w: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the Non-Insurance performance year obligation</w:t>
            </w:r>
          </w:p>
        </w:tc>
        <w:tc>
          <w:tcPr>
            <w:tcW w:w="4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6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184,207</w:t>
            </w:r>
          </w:p>
        </w:tc>
      </w:tr>
      <w:tr>
        <w:trPr>
          <w:trHeight w:val="117"/>
        </w:trPr>
        <w:tc>
          <w:tcPr>
            <w:tcW w:w="4620" w:type="dxa"/>
            <w:vAlign w:val="bottom"/>
            <w:shd w:val="clear" w:color="auto" w:fill="CCEEFF"/>
          </w:tcPr>
          <w:p>
            <w:pPr>
              <w:spacing w:after="0"/>
              <w:rPr>
                <w:sz w:val="10"/>
                <w:szCs w:val="10"/>
                <w:color w:val="auto"/>
              </w:rPr>
            </w:pPr>
          </w:p>
        </w:tc>
        <w:tc>
          <w:tcPr>
            <w:tcW w:w="4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84"/>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Non-Insurance revenue</w:t>
            </w:r>
          </w:p>
        </w:tc>
        <w:tc>
          <w:tcPr>
            <w:tcW w:w="4900" w:type="dxa"/>
            <w:vAlign w:val="bottom"/>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6,824</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205,783</w:t>
            </w:r>
          </w:p>
        </w:tc>
      </w:tr>
      <w:tr>
        <w:trPr>
          <w:trHeight w:val="770"/>
        </w:trPr>
        <w:tc>
          <w:tcPr>
            <w:tcW w:w="4620" w:type="dxa"/>
            <w:vAlign w:val="bottom"/>
          </w:tcPr>
          <w:p>
            <w:pPr>
              <w:spacing w:after="0"/>
              <w:rPr>
                <w:sz w:val="24"/>
                <w:szCs w:val="24"/>
                <w:color w:val="auto"/>
              </w:rPr>
            </w:pPr>
          </w:p>
        </w:tc>
        <w:tc>
          <w:tcPr>
            <w:tcW w:w="4080" w:type="dxa"/>
            <w:vAlign w:val="bottom"/>
          </w:tcPr>
          <w:p>
            <w:pPr>
              <w:jc w:val="right"/>
              <w:ind w:right="2909"/>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7"/>
        </w:trPr>
        <w:tc>
          <w:tcPr>
            <w:tcW w:w="462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Activities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Restructuring related expenses, which are recorded within Restructuring costs on the Condensed Consolidated Statements of Operations,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Exit or Disposal Cost Obligations ("ASC 420") as these costs meet the criteria of a one-time benefit. Under ASC 420-10, the Company establishes a liability for a cost associated with an exit or disposal 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 The Company incurred costs related to not continuing with the program, which consisted of employee termination benefits and are accounted for as exit and disposal costs and recorded pursuant to ASC 420, </w:t>
      </w:r>
      <w:r>
        <w:rPr>
          <w:rFonts w:ascii="Times New Roman" w:cs="Times New Roman" w:eastAsia="Times New Roman" w:hAnsi="Times New Roman"/>
          <w:sz w:val="14"/>
          <w:szCs w:val="14"/>
          <w:i w:val="1"/>
          <w:iCs w:val="1"/>
          <w:color w:val="auto"/>
        </w:rPr>
        <w:t>Exit or Disposal Cost Obligations.</w:t>
      </w:r>
      <w:r>
        <w:rPr>
          <w:rFonts w:ascii="Times New Roman" w:cs="Times New Roman" w:eastAsia="Times New Roman" w:hAnsi="Times New Roman"/>
          <w:sz w:val="14"/>
          <w:szCs w:val="14"/>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 costs are presented in the Company's Condensed Consolidated Statements of Operations and Comprehensive Loss, which were as follows: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ACO REACH</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March 31, 2024 and December 31, 2023, the liability for employee termination benefits was recorded in Accrued salaries and benefits and the liability for vendor related costs and other expenses were recorded in Accounts payable and accrued expenses in the discontinued operations balance sheets. The liability recorded reflects the Company's best estimate, which may be revised in subsequent periods as the restructuring progresses.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4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Vendor related costs</w:t>
            </w:r>
          </w:p>
        </w:tc>
        <w:tc>
          <w:tcPr>
            <w:tcW w:w="300" w:type="dxa"/>
            <w:vAlign w:val="bottom"/>
          </w:tcPr>
          <w:p>
            <w:pPr>
              <w:spacing w:after="0"/>
              <w:rPr>
                <w:sz w:val="13"/>
                <w:szCs w:val="13"/>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700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44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as of December 31,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5"/>
              </w:rPr>
              <w:t>110</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w w:val="95"/>
              </w:rPr>
              <w:t>297</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8"/>
              </w:rPr>
              <w:t>(110)</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Liability as of March 31, 2024</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5"/>
              </w:rPr>
              <w:t>297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cumulative costs incurred as of March 31, 2024</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5"/>
              </w:rPr>
              <w:t>407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 Authorization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6, 2024, the Board of Directors of the Company authorized the repurchase of up to $20,000,000 in shares of the Company’s outstanding Class A Common Stock over a two year period. The timing, manner, price and amount of any repurchases are determined by the discretion of management, depending on market conditions and other factors. Repurchases may be made through open market purchases or accelerated share repurchases. The exact number of shares to be repurchased by the Company, if any, is not guaranteed. Depending on market conditions and other factors, these repurchases may be commenced or suspended at any time or periodically without prior notice.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three months ended March 31, 2024, contained in this Quarterly Report on Form 10-Q (the "Form 10-Q") and the audited consolidated financial statements and notes thereto for the year ended December 31, 2023, contained in the Company's Annual Report on Form 10-K for the year ended December 31, 2023, filed with the Securities and Exchange Commission (the "SEC") on March 14, 2023 (the "2023 Form 10-K"). This discussion contains forward-looking statements and involves numerous risks and uncertainties, including, but not limited to, those described in the "Risk Factors" section of the 2023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Clover Health, our vision is to empower Medicare physicians to identify and manage chronic diseases early. Our strategy is to improve the care of people with Medicare,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March 31, 2024, we operated our MA plans in five states and 200 counties, with 79,527 members.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subsidiary, Clover Health Partners, LLC ("Health Partners"), participated as a Direct Contracting Entity ("DCE") in the Centers for Medicare and Medicaid Services ("CMS") Accountable Care Organization Realizing Equity, Access, and Community Health Model ("ACO REACH Model" or "ACO REACH"). 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 The remaining activity recognized during 2024 directly relates to prior performance years with CMS.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2024, we partnered with providers to care for 79,527 Lives under Clover Management.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CMS Star Ratings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CMS’s Medicare Advantage Star ratings system, CMS annually awards between 1.0 and 5.0 Stars to Medicare Advantage plans based on performance in several categories. CMS released the Company’s 2024 Star ratings in October 2023, related to the 2022 measurement year, which will impact the 2025 payment year. For both of the Company's plans (PPO and HMO), CMS gave a rating of 3.0 Stars for measurement year 2022, which represents a 0.5 Star rating decrease for both plans from the 2021 measurement year. The 3.0 Star rating will impact the 2025 payment year. In the calendar year 2024, the Company will be paid on the basis of 3.5 Stars for both our PPO and HMO plans, which ratings were previously awarded.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ACO REACH</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starting with the 2024 performance year, and follows the Company's November 2022 announcement of a strategic reduction in the number of ACO REACH participating physicians in 2023. As of January 1, 2024, this line of business meets the definition of discontinued operations, and prior period amounts have been updated to conform to the current period presentation, refer to Note 17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Measures of Our Operating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Segments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Starting in 2024, 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within Corporate/Other.</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segment grouping is consistent with the information used by our Chief Executive Officer (identified as our chief operating decision maker) to assess performance and allocate the Company's resources.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segment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20" w:type="dxa"/>
            <w:vAlign w:val="bottom"/>
            <w:tcBorders>
              <w:bottom w:val="single" w:sz="8" w:color="auto"/>
            </w:tcBorders>
          </w:tcPr>
          <w:p>
            <w:pPr>
              <w:spacing w:after="0"/>
              <w:rPr>
                <w:sz w:val="16"/>
                <w:szCs w:val="16"/>
                <w:color w:val="auto"/>
              </w:rPr>
            </w:pPr>
          </w:p>
        </w:tc>
      </w:tr>
      <w:tr>
        <w:trPr>
          <w:trHeight w:val="203"/>
        </w:trPr>
        <w:tc>
          <w:tcPr>
            <w:tcW w:w="5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4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9"/>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r>
      <w:tr>
        <w:trPr>
          <w:trHeight w:val="145"/>
        </w:trPr>
        <w:tc>
          <w:tcPr>
            <w:tcW w:w="5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gridSpan w:val="7"/>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(Premium and expense amounts in thousands, except PMPM amounts)</w:t>
            </w:r>
          </w:p>
        </w:tc>
        <w:tc>
          <w:tcPr>
            <w:tcW w:w="1020" w:type="dxa"/>
            <w:vAlign w:val="bottom"/>
          </w:tcPr>
          <w:p>
            <w:pPr>
              <w:spacing w:after="0"/>
              <w:rPr>
                <w:sz w:val="12"/>
                <w:szCs w:val="12"/>
                <w:color w:val="auto"/>
              </w:rPr>
            </w:pPr>
          </w:p>
        </w:tc>
      </w:tr>
      <w:tr>
        <w:trPr>
          <w:trHeight w:val="186"/>
        </w:trPr>
        <w:tc>
          <w:tcPr>
            <w:tcW w:w="5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Insurance members at period end (#)</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79,527</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83,794</w:t>
            </w: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Premiums earned, gross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341,823</w:t>
            </w:r>
          </w:p>
        </w:tc>
        <w:tc>
          <w:tcPr>
            <w:tcW w:w="4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317,208</w:t>
            </w: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r>
      <w:tr>
        <w:trPr>
          <w:trHeight w:val="180"/>
        </w:trPr>
        <w:tc>
          <w:tcPr>
            <w:tcW w:w="5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Premiums earned, net</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341,722</w:t>
            </w: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317,086</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r>
      <w:tr>
        <w:trPr>
          <w:trHeight w:val="180"/>
        </w:trPr>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Insurance medical claim expense incurred, gross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267,475</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274,557</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r>
      <w:tr>
        <w:trPr>
          <w:trHeight w:val="180"/>
        </w:trPr>
        <w:tc>
          <w:tcPr>
            <w:tcW w:w="5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Insurance net medical claims incurred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266,076</w:t>
            </w: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274,504</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r>
      <w:tr>
        <w:trPr>
          <w:trHeight w:val="180"/>
        </w:trPr>
        <w:tc>
          <w:tcPr>
            <w:tcW w:w="56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Medical care ratio, gross </w:t>
            </w:r>
            <w:r>
              <w:rPr>
                <w:rFonts w:ascii="Times New Roman" w:cs="Times New Roman" w:eastAsia="Times New Roman" w:hAnsi="Times New Roman"/>
                <w:sz w:val="18"/>
                <w:szCs w:val="18"/>
                <w:color w:val="auto"/>
                <w:vertAlign w:val="superscript"/>
              </w:rPr>
              <w:t>(2)</w:t>
            </w:r>
          </w:p>
        </w:tc>
        <w:tc>
          <w:tcPr>
            <w:tcW w:w="320" w:type="dxa"/>
            <w:vAlign w:val="bottom"/>
          </w:tcPr>
          <w:p>
            <w:pPr>
              <w:spacing w:after="0"/>
              <w:rPr>
                <w:sz w:val="15"/>
                <w:szCs w:val="15"/>
                <w:color w:val="auto"/>
              </w:rPr>
            </w:pPr>
          </w:p>
        </w:tc>
        <w:tc>
          <w:tcPr>
            <w:tcW w:w="140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78.2 %</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tcPr>
          <w:p>
            <w:pPr>
              <w:spacing w:after="0"/>
              <w:rPr>
                <w:sz w:val="15"/>
                <w:szCs w:val="15"/>
                <w:color w:val="auto"/>
              </w:rPr>
            </w:pPr>
          </w:p>
        </w:tc>
        <w:tc>
          <w:tcPr>
            <w:tcW w:w="144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86.6 %</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Medical care ratio, net</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4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142" w:lineRule="exact"/>
        <w:rPr>
          <w:sz w:val="20"/>
          <w:szCs w:val="20"/>
          <w:color w:val="auto"/>
        </w:rPr>
      </w:pPr>
    </w:p>
    <w:p>
      <w:pPr>
        <w:ind w:left="140" w:hanging="135"/>
        <w:spacing w:after="0"/>
        <w:tabs>
          <w:tab w:leader="none" w:pos="117"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189" w:lineRule="exact"/>
        <w:rPr>
          <w:rFonts w:ascii="Times New Roman" w:cs="Times New Roman" w:eastAsia="Times New Roman" w:hAnsi="Times New Roman"/>
          <w:sz w:val="14"/>
          <w:szCs w:val="14"/>
          <w:color w:val="auto"/>
          <w:vertAlign w:val="superscript"/>
        </w:rPr>
      </w:pPr>
    </w:p>
    <w:p>
      <w:pPr>
        <w:ind w:left="160" w:hanging="155"/>
        <w:spacing w:after="0"/>
        <w:tabs>
          <w:tab w:leader="none" w:pos="160" w:val="left"/>
        </w:tabs>
        <w:numPr>
          <w:ilvl w:val="0"/>
          <w:numId w:val="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Defined as Insurance gross medical claims incurred divided by premiums earned, gross.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color w:val="auto"/>
        </w:rPr>
        <w:t>Membership and associated premiums earned and medical claim expenses.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gross.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net.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gross medical claims incurred.</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net medical claims incurred.</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color w:val="auto"/>
        </w:rPr>
        <w:t>Medical care ratio, gross and net.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2024 and 2023</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unaudited condensed consolidated results of operations for the three months ended March 31, 2024 and 2023. The period-to-period comparison of results is not necessarily indicative of results for future periods.</w:t>
      </w:r>
    </w:p>
    <w:p>
      <w:pPr>
        <w:spacing w:after="0" w:line="137" w:lineRule="exact"/>
        <w:rPr>
          <w:sz w:val="20"/>
          <w:szCs w:val="20"/>
          <w:color w:val="auto"/>
        </w:rPr>
      </w:pPr>
    </w:p>
    <w:tbl>
      <w:tblPr>
        <w:tblLayout w:type="fixed"/>
        <w:tblInd w:w="6520" w:type="dxa"/>
        <w:tblCellMar>
          <w:top w:w="0" w:type="dxa"/>
          <w:left w:w="0" w:type="dxa"/>
          <w:bottom w:w="0" w:type="dxa"/>
          <w:right w:w="0" w:type="dxa"/>
        </w:tblCellMar>
      </w:tblPr>
      <w:tr>
        <w:trPr>
          <w:trHeight w:val="161"/>
        </w:trPr>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3"/>
                <w:szCs w:val="13"/>
                <w:color w:val="auto"/>
              </w:rPr>
            </w:pPr>
          </w:p>
        </w:tc>
        <w:tc>
          <w:tcPr>
            <w:tcW w:w="17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Change between</w:t>
            </w:r>
          </w:p>
        </w:tc>
      </w:tr>
      <w:tr>
        <w:trPr>
          <w:trHeight w:val="188"/>
        </w:trPr>
        <w:tc>
          <w:tcPr>
            <w:tcW w:w="760" w:type="dxa"/>
            <w:vAlign w:val="bottom"/>
          </w:tcPr>
          <w:p>
            <w:pPr>
              <w:spacing w:after="0"/>
              <w:rPr>
                <w:sz w:val="16"/>
                <w:szCs w:val="16"/>
                <w:color w:val="auto"/>
              </w:rPr>
            </w:pPr>
          </w:p>
        </w:tc>
        <w:tc>
          <w:tcPr>
            <w:tcW w:w="16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6"/>
                <w:szCs w:val="16"/>
                <w:color w:val="auto"/>
              </w:rPr>
            </w:pPr>
          </w:p>
        </w:tc>
        <w:tc>
          <w:tcPr>
            <w:tcW w:w="17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2024 and 2023</w:t>
            </w:r>
          </w:p>
        </w:tc>
      </w:tr>
      <w:tr>
        <w:trPr>
          <w:trHeight w:val="173"/>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9"/>
        </w:trPr>
        <w:tc>
          <w:tcPr>
            <w:tcW w:w="7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29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-100330</wp:posOffset>
            </wp:positionV>
            <wp:extent cx="469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Premiums earned, net (Net of ceded premiums of $101 and $122 for the three months ended March 31, 2024 and</w:t>
      </w:r>
    </w:p>
    <w:p>
      <w:pPr>
        <w:ind w:left="100"/>
        <w:spacing w:after="0" w:line="275" w:lineRule="auto"/>
        <w:rPr>
          <w:sz w:val="20"/>
          <w:szCs w:val="20"/>
          <w:color w:val="auto"/>
        </w:rPr>
      </w:pPr>
      <w:r>
        <w:rPr>
          <w:rFonts w:ascii="Times New Roman" w:cs="Times New Roman" w:eastAsia="Times New Roman" w:hAnsi="Times New Roman"/>
          <w:sz w:val="14"/>
          <w:szCs w:val="14"/>
          <w:color w:val="auto"/>
        </w:rPr>
        <w:t>2023, respectively) $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61530"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medical claims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Salaries and benefits</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Premium deficiency reserve benefit</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Restructuring costs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Loss from continuing operations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341,722</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317,086</w:t>
            </w:r>
          </w:p>
        </w:tc>
        <w:tc>
          <w:tcPr>
            <w:tcW w:w="6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24,636</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5,200</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6.0</w:t>
            </w:r>
          </w:p>
        </w:tc>
      </w:tr>
      <w:tr>
        <w:trPr>
          <w:trHeight w:val="17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346,922</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321,992</w:t>
            </w: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24,930</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7.7</w:t>
            </w:r>
          </w:p>
        </w:tc>
      </w:tr>
      <w:tr>
        <w:trPr>
          <w:trHeight w:val="54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265,162</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(9,627)</w:t>
            </w:r>
          </w:p>
        </w:tc>
        <w:tc>
          <w:tcPr>
            <w:tcW w:w="80" w:type="dxa"/>
            <w:vAlign w:val="bottom"/>
          </w:tcPr>
          <w:p>
            <w:pPr>
              <w:spacing w:after="0"/>
              <w:rPr>
                <w:sz w:val="24"/>
                <w:szCs w:val="24"/>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r>
      <w:tr>
        <w:trPr>
          <w:trHeight w:val="209"/>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59,223</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80" w:type="dxa"/>
            <w:vAlign w:val="bottom"/>
          </w:tcPr>
          <w:p>
            <w:pPr>
              <w:spacing w:after="0"/>
              <w:rPr>
                <w:sz w:val="18"/>
                <w:szCs w:val="18"/>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44,569</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57,644</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8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(22.7)</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318</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14.0</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353</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6"/>
                <w:szCs w:val="16"/>
                <w:color w:val="auto"/>
              </w:rPr>
            </w:pPr>
          </w:p>
        </w:tc>
        <w:tc>
          <w:tcPr>
            <w:tcW w:w="1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(80.5)</w:t>
            </w:r>
          </w:p>
        </w:tc>
      </w:tr>
      <w:tr>
        <w:trPr>
          <w:trHeight w:val="17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369,625</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401,690</w:t>
            </w: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(32,065)</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(8.0)</w:t>
            </w:r>
          </w:p>
        </w:tc>
      </w:tr>
      <w:tr>
        <w:trPr>
          <w:trHeight w:val="171"/>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(22,703)</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56,995</w:t>
            </w:r>
          </w:p>
        </w:tc>
        <w:tc>
          <w:tcPr>
            <w:tcW w:w="80" w:type="dxa"/>
            <w:vAlign w:val="bottom"/>
          </w:tcPr>
          <w:p>
            <w:pPr>
              <w:spacing w:after="0"/>
              <w:rPr>
                <w:sz w:val="14"/>
                <w:szCs w:val="14"/>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-120650</wp:posOffset>
            </wp:positionV>
            <wp:extent cx="70040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405" cy="698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-1313180</wp:posOffset>
            </wp:positionV>
            <wp:extent cx="70040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405" cy="69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500"/>
            <w:col w:w="4180"/>
          </w:cols>
          <w:pgMar w:left="300" w:top="802" w:right="31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6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on investment</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(79,698)</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18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income from discontinued operations (Note 17)</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196"/>
        </w:trPr>
        <w:tc>
          <w:tcPr>
            <w:tcW w:w="6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(72,606)</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53,436</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6343015</wp:posOffset>
            </wp:positionH>
            <wp:positionV relativeFrom="paragraph">
              <wp:posOffset>-19685</wp:posOffset>
            </wp:positionV>
            <wp:extent cx="4699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-19685</wp:posOffset>
            </wp:positionV>
            <wp:extent cx="4699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990" cy="13335"/>
                    </a:xfrm>
                    <a:prstGeom prst="rect">
                      <a:avLst/>
                    </a:prstGeom>
                    <a:noFill/>
                  </pic:spPr>
                </pic:pic>
              </a:graphicData>
            </a:graphic>
          </wp:anchor>
        </w:drawing>
      </w:r>
    </w:p>
    <w:p>
      <w:pPr>
        <w:spacing w:after="0" w:line="128"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Not presented because the current or prior period amount is zero or the amount for the line item changed from a gain to a loss (or vice versa) and thus yields a result that is not meaningful.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Premiums earned, net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Premiums earned, net increased $24.6 million, or 8%, to $24.6 million for the three months ended March 31, 2024, compared to the three months ended March 31, 2023. The increase was primarily due to an increase in our risk adjustment revenue driving favorability as a result of the Company focusing on member retention.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increased $0.3 million, or 6%, to $5.2 million for the three months ended March 31, 2024, compared to the three months ended March 31, 2023. The increase was primarily attributable to a higher interest rate environment as compared to the prior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medical claims incurred</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Net medical claims incurred decreased $9.6 million, or 4%, to $265.2 million for the three months ended March 31, 2024, compared to the three months ended March 31, 2023. The decrease was primarily driven by lower membership as compared to the prior period.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benefits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Salaries and benefits decreased $9.8 million, or 14%, to $59.2 million for the three months ended March 31, 2024, compared to the three months ended March 31, 2023. This decrease was primarily driven by a decrease in share based compensation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$13.1 million, or 23%, to $44.6 million for the three months ended March 31, 2024, compared to the three months ended March 31, 2023. The decrease was primarily driven by a reduction in live healthy program expenses and lower broker commission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investment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Loss on investment increased $0.5 million, or 100%, as compared to the prior for the three months ended March 31, 2024, compared to the three months ended March 31, 2023. The increase is driven by the Company's proportional share of net losses incurred. Refer to Note 9 “Variable Interest Entity and Equity Method of Accounting” of the notes to unaudited condensed consolidated financial statements included in Part I, Item 1 of this 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costs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Restructuring costs decreased by $1.5 million, or 80%, to $0.4 million for the three months ended March 31, 2024, compared to the three months ended March 31, 2023. This decrease was primarily driven by a decrease in employee termination related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Consolidated Entities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cash equivalents and investment securities consist primarily of money market funds, U.S. government debt securities, and corporate debt securities. At March 31, 2024 and December 31, 2023, total restricted and unrestricted cash, cash equivalents, and investments for all entities, inclusive of discontinued operations, were $440.3 million and $417.3 million, respectively. These totals consist of $222.9 million and $228.6 million at March 31, 2024 and December 31, 2023, respectively, that specifically related to available-for-sale and held-to-maturity investment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Unregulated Entities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At March 31, 2024 and December 31, 2023, total restricted and unrestricted cash, cash equivalents, and investments for the parent company, Clover Health Investments, Corp., and unregulated subsidiaries (inclusive of discontinued operations) were $132.6 million and $136.8 million, respectively, with the decrease for December 31, 2023 primarily reflecting operating expenses.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were $127.9 million and $74.0 million at March 31, 2024 and December 31, 2023, respectively. Our unregulated subsidiaries held $4.7 million and $62.8 million of cash, cash equivalents, restricted cash, and investments at March 31, 2024 and December 31, 2023,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color w:val="auto"/>
        </w:rPr>
        <w:t>Regulated Entities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At March 31, 2024 and December 31, 2023 total cash, cash equivalents, restricted cash, and investments for our regulated subsidiaries were $307.7 million and $280.5 million, respectively. Additionally, our regulated insurance subsidiaries held $210.3 million and $203.4 million of available-for-sale and held-to-maturity investment securities at March 31, 2024 and December 31, 2023,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detailed discussion of our regulatory requirements, including aggregate statutory capital and surplus as well as dividends paid from the subsidiaries to the parent, please refer to Notes 22 (Dividend Restrictions), 24 (Statutory Equity), and 25 (Regulatory Matters) in the 2023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unaudited condensed consolidated cash flows for the three months ended March 31,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Borders>
              <w:top w:val="single" w:sz="8" w:color="auto"/>
            </w:tcBorders>
          </w:tcPr>
          <w:p>
            <w:pPr>
              <w:spacing w:after="0"/>
              <w:rPr>
                <w:sz w:val="12"/>
                <w:szCs w:val="12"/>
                <w:color w:val="auto"/>
              </w:rPr>
            </w:pPr>
          </w:p>
        </w:tc>
      </w:tr>
      <w:tr>
        <w:trPr>
          <w:trHeight w:val="186"/>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Data:</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25,935</w:t>
            </w:r>
          </w:p>
        </w:tc>
        <w:tc>
          <w:tcPr>
            <w:tcW w:w="6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79,032</w:t>
            </w:r>
          </w:p>
        </w:tc>
      </w:tr>
      <w:tr>
        <w:trPr>
          <w:trHeight w:val="180"/>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9,185</w:t>
            </w:r>
          </w:p>
        </w:tc>
        <w:tc>
          <w:tcPr>
            <w:tcW w:w="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10,181</w:t>
            </w:r>
          </w:p>
        </w:tc>
      </w:tr>
      <w:tr>
        <w:trPr>
          <w:trHeight w:val="180"/>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(2,134)</w:t>
            </w:r>
          </w:p>
        </w:tc>
      </w:tr>
      <w:tr>
        <w:trPr>
          <w:trHeight w:val="171"/>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31,761</w:t>
            </w: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87,079</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Requirements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largest source of operating cash flows is capitated payments from CMS. Our primary uses of cash from operating activities are payments for medical benefits and payments of operating expenses.</w:t>
      </w:r>
    </w:p>
    <w:p>
      <w:pPr>
        <w:spacing w:after="0" w:line="3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2024, Net cash provided by operating activities was $25.9 million, which reflects a Net loss of $19.2 million. Non-cash activities included a $28.8 million charge to Stock-based compensation expense and Unpaid claims increased by $102.4 million.</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2023, Net cash provided by operating activities was $79.0 million, which reflects a Net loss of $72.6 million. Non-cash activities included a $38.6 million charge to Stock-based compensation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2024 of $9.2 million was primarily due to $33.7 million provided from the sale and maturity of investment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was offset by $24.1 million used to purchase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2023, of $10.2 million was primarily due to $78.3 million provided from the sale and maturity of investment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was offset by $67.9 million used to purchase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investing activities, please refer to Note 3 (Investment Securities) to our unaudited condensed consolidated financial statements included in this Form 10-Q.</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for the three months ended March 31, 2024 of $3.4 million was primarily the result of the acquisition of $3.4 million in Treasury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for the three months ended March 31, 2023 of $2.1 million was primarily the result of the acquisition of $3.0 million in Treasury stock.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financing arrangements at March 31, 2024, as compared to those disclosed in the 2023 Form 10-K.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Material cash requirements from known contractual obligations and commitments at March 31, 2024 include: (1) the recognition of a performance guarantee of $9.7 million in connection with the Company's participation in the ACO REACH Model and (2) operating lease obligations of $4.3 million. These commitments are associated with contracts that were enforceable and legally binding at March 31, 2024,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March 31, 2024. For additional information regarding our remaining estimated contractual obligations and commitments, see Note 13 (Commitments and Contingencies) and Note 17 (Discontinued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the accounting policies and estimates involve a significant degree of judgment and complexity. There have been no significant changes in our critical accounting policies and estimates during the three months ended March 31, 2024, as compared to the critical accounting policies and estimates disclosed in the section titled "Management's Discussion and Analysis of Financial Condition and Results of Operations" included in the 2023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and Adopted Accounting Pronouncements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to the financial statements included in this report for a discussion of accounting pronouncements recently adopted and recently issued accounting pronouncements not yet adopted and their potential impact to our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exposed to credit risk on our investment portfolio. We manage the exposure to credit risk in our portfolio by investing in high quality securities and diversifying our holdings.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March 31, 2024, none of our fixed maturity securities portfolio was unrated or rated below investment grade.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March 31, 2024, pursuant to Rule 13a-15(b) under the Securities Exchange Act of 1934, as amended (the "Exchange Act"). Based upon that evaluation, our Certifying Officers concluded that, at March 31, 2024, our disclosure controls and procedures were effective.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4"/>
          <w:szCs w:val="14"/>
          <w:color w:val="000000"/>
        </w:rPr>
        <w:t>results</w:t>
      </w:r>
      <w:r>
        <w:rPr>
          <w:rFonts w:ascii="Times New Roman" w:cs="Times New Roman" w:eastAsia="Times New Roman" w:hAnsi="Times New Roman"/>
          <w:sz w:val="14"/>
          <w:szCs w:val="14"/>
          <w:color w:val="231F20"/>
        </w:rPr>
        <w:t xml:space="preserve"> of operation.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concerning legal proceedings can be found in Note 13 (Commitments and Contingencies) to the unaudited condensed consolidated financial statements included in Part I, Item 1 of this Form 10-Q, which information is incorporated by reference into this item.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Except as set forth below, there have been no material changes in our risk factors from those disclosed in Part I, Item 1A of the 2023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2023 Form 10-K, as well as the factors identified under "Cautionary Note Regarding Forward-Looking Statements" at the beginning of Part I, Item 1 of this Form 10-Q and as may be updated in subsequent filings with the SEC.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risk factor is intended to update the risk factors of the Company previously disclosed in the 2023 Form 10-K.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have been notified by The Nasdaq Stock Market LLC of our failure to comply with certain continued listing requirements and, if we are unable to regain compliance with all applicable continued listing requirements and standards of Nasdaq, our Class A common stock could be delisted from Nasdaq, which would have an adverse impact on the trading, liquidity, and market price of our Class A common stock.</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April 2, 2024, we received a written notice from The Nasdaq Stock Market LLC ("Nasdaq") notifying us that, because the bid price for our Class A common stock has fallen below $1.00 per share for 30 consecutive business days, we no longer comply with the $1.00 Minimum Bid Price requirement set forth in Nasdaq Listing Rule 5450(a)(1) for continued listing on The Nasdaq Global Select Market (the "Minimum Bid Price Requirement"). In accordance with Nasdaq Listing Rule 5810(c)(3)(A), the Company has a period of 180 calendar days, or until September 30, 2024, to regain compliance with the Minimum Bid Price Requirement. To regain compliance, the closing bid price of the Company's Class A common stock must be at least $1.00 per share for a minimum of 10 consecutive business days as required under Nasdaq Listing Rule 5810(c)(3)(A) (unless the Nasdaq staff exercises its discretion to extend this 10-day period pursuant to Nasdaq Listing Rule 5810(c)(3)(H)) during the 180-day period ending September 30, 2024.</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If the Company does not regain compliance by September 30, 2024, the Company may be eligible for an additional 180-calendar day compliance period if it elects (and meets the listing standards) to transfer to The Nasdaq Capital Market to take advantage of the additional compliance period offered on that market. To qualify, the Company would be required, among other things, to meet the continued listing requirement for market value of publicly held shares as well as all other standards for initial listing on The Nasdaq Capital Market, with the exception of the bid price requirement, and would need to provide written notice of its intention to cure the bid price deficiency during the second compliance period. If the Company fails to regain compliance during the compliance period (including a second compliance period provided by a transfer to The Nasdaq Capital Market, if applicable), then Nasdaq will notify the Company of its determination to delist its Class A common stock, at which point the Company may appeal Nasdaq's delisting determination to a Nasdaq hearing panel.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1" w:name="page42"/>
    <w:bookmarkEnd w:id="41"/>
    <w:p>
      <w:pPr>
        <w:jc w:val="both"/>
        <w:spacing w:after="0" w:line="239" w:lineRule="auto"/>
        <w:rPr>
          <w:sz w:val="20"/>
          <w:szCs w:val="20"/>
          <w:color w:val="auto"/>
        </w:rPr>
      </w:pPr>
      <w:r>
        <w:rPr>
          <w:rFonts w:ascii="Times New Roman" w:cs="Times New Roman" w:eastAsia="Times New Roman" w:hAnsi="Times New Roman"/>
          <w:sz w:val="14"/>
          <w:szCs w:val="14"/>
          <w:color w:val="auto"/>
        </w:rPr>
        <w:t>We will continue to monitor the bid price levels for our Class A common stock and will consider appropriate alternatives to achieve compliance with the Minimum Bid Price Requirement within the compliance period, including, among other things, a potential reverse stock split. However, we cannot assure you that the price of our Class A common stock will subsequently remain in compliance with the required listing standard or that we will remain in compliance with any of the other applicable continued listing standards of Nasdaq. Any continuing failure to remain in compliance with Nasdaq's continued listing standards, and any subsequent failure to timely resume compliance with Nasdaq's continued listing standards within the applicable cure period could have adverse consequences, and among other things, substantially impair our ability to raise additional funds and could result in a loss of institutional investor interest and fewer development opportunities for us. Furthermore, a delisting would likely have a negative effect on the price of our Class A common stock and would impair the ability of stockholders to sell or purchase our Class A common stock when they wish to do so. In the event of a delisting, we would expect to take actions to restore our compliance with Nasdaq's listing requirements, but we can provide no assurance that any such action taken by us would allow our Class A common stock to become listed again, lead to stability in the market price of our Class A common stock, improve the liquidity of our Class A common stock, prevent our Class A common stock from dropping below the Nasdaq minimum bid price requirement, or prevent future non-compliance with Nasdaq's listing requirements. As a result of these factors, a delisting of our Class A common stock from Nasdaq would have an adverse impact on the trading, liquidity, and market price of our Class A common stock.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three months ended March 31, 2024, none of the Company’s directors or officers (as defined in Rule 16a-1(f) of the Exchange Act) adopted or terminated a Rule 10b5-1 trading arrangement or non-Rule 10b5-1 trading arrangement (as such terms are defined in Item 408(a) of Regulation S-K of the Securities Act).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6. Exhibits and Financial Statement Schedules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list of exhibits to this Form 10-Q is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80" w:type="dxa"/>
            <w:vAlign w:val="bottom"/>
            <w:gridSpan w:val="5"/>
          </w:tcPr>
          <w:p>
            <w:pPr>
              <w:ind w:left="22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9"/>
        </w:trPr>
        <w:tc>
          <w:tcPr>
            <w:tcW w:w="88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20" w:type="dxa"/>
            <w:vAlign w:val="bottom"/>
            <w:tcBorders>
              <w:top w:val="single" w:sz="8" w:color="auto"/>
              <w:bottom w:val="single" w:sz="8" w:color="0000FF"/>
            </w:tcBorders>
            <w:gridSpan w:val="2"/>
          </w:tcPr>
          <w:p>
            <w:pPr>
              <w:spacing w:after="0" w:line="159" w:lineRule="exact"/>
              <w:rPr>
                <w:sz w:val="20"/>
                <w:szCs w:val="20"/>
                <w:color w:val="auto"/>
              </w:rPr>
            </w:pPr>
            <w:r>
              <w:rPr>
                <w:rFonts w:ascii="Times New Roman" w:cs="Times New Roman" w:eastAsia="Times New Roman" w:hAnsi="Times New Roman"/>
                <w:sz w:val="14"/>
                <w:szCs w:val="14"/>
                <w:color w:val="0000FF"/>
              </w:rPr>
              <w:t>Non-Employee Director Compensation Policy</w:t>
            </w:r>
          </w:p>
        </w:tc>
        <w:tc>
          <w:tcPr>
            <w:tcW w:w="7680" w:type="dxa"/>
            <w:vAlign w:val="bottom"/>
            <w:tcBorders>
              <w:top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 Act of 1934, as Adopted Pursuant to Section 302 of the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 Act of 1934, as Adopted Pursuant to Section 302 of the</w:t>
            </w:r>
          </w:p>
        </w:tc>
        <w:tc>
          <w:tcPr>
            <w:tcW w:w="5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 the Sarbanes-Oxley Act of 2002</w:t>
            </w:r>
          </w:p>
        </w:tc>
        <w:tc>
          <w:tcPr>
            <w:tcW w:w="17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16"/>
                <w:szCs w:val="16"/>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8"/>
                <w:szCs w:val="18"/>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p>
      <w:pPr>
        <w:spacing w:after="0" w:line="234" w:lineRule="exact"/>
        <w:rPr>
          <w:sz w:val="20"/>
          <w:szCs w:val="20"/>
          <w:color w:val="auto"/>
        </w:rPr>
      </w:pPr>
    </w:p>
    <w:p>
      <w:pPr>
        <w:ind w:left="20"/>
        <w:spacing w:after="0"/>
        <w:tabs>
          <w:tab w:leader="none" w:pos="5360" w:val="left"/>
          <w:tab w:leader="none" w:pos="8120" w:val="left"/>
        </w:tabs>
        <w:rPr>
          <w:sz w:val="20"/>
          <w:szCs w:val="20"/>
          <w:color w:val="auto"/>
        </w:rPr>
      </w:pPr>
      <w:r>
        <w:rPr>
          <w:rFonts w:ascii="Times New Roman" w:cs="Times New Roman" w:eastAsia="Times New Roman" w:hAnsi="Times New Roman"/>
          <w:sz w:val="14"/>
          <w:szCs w:val="14"/>
          <w:color w:val="auto"/>
        </w:rPr>
        <w:t>Date: May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14605</wp:posOffset>
            </wp:positionV>
            <wp:extent cx="340931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360" w:val="left"/>
          <w:tab w:leader="none" w:pos="8020" w:val="left"/>
        </w:tabs>
        <w:rPr>
          <w:sz w:val="20"/>
          <w:szCs w:val="20"/>
          <w:color w:val="auto"/>
        </w:rPr>
      </w:pPr>
      <w:r>
        <w:rPr>
          <w:rFonts w:ascii="Times New Roman" w:cs="Times New Roman" w:eastAsia="Times New Roman" w:hAnsi="Times New Roman"/>
          <w:sz w:val="14"/>
          <w:szCs w:val="14"/>
          <w:color w:val="auto"/>
        </w:rPr>
        <w:t>Date: May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Terrence Ronan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14605</wp:posOffset>
            </wp:positionV>
            <wp:extent cx="340931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8"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Terrence Ronan</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Interim Chief Financial Officer (Principal Financial Officer and Principal Accounting</w:t>
      </w:r>
    </w:p>
    <w:p>
      <w:pPr>
        <w:ind w:left="8340"/>
        <w:spacing w:after="0"/>
        <w:rPr>
          <w:sz w:val="20"/>
          <w:szCs w:val="20"/>
          <w:color w:val="auto"/>
        </w:rPr>
      </w:pPr>
      <w:r>
        <w:rPr>
          <w:rFonts w:ascii="Times New Roman" w:cs="Times New Roman" w:eastAsia="Times New Roman" w:hAnsi="Times New Roman"/>
          <w:sz w:val="14"/>
          <w:szCs w:val="14"/>
          <w:b w:val="1"/>
          <w:bCs w:val="1"/>
          <w:color w:val="auto"/>
        </w:rPr>
        <w:t>Officer)</w:t>
      </w:r>
    </w:p>
    <w:p>
      <w:pPr>
        <w:sectPr>
          <w:pgSz w:w="11900" w:h="16838" w:orient="portrait"/>
          <w:cols w:equalWidth="0" w:num="1">
            <w:col w:w="11180"/>
          </w:cols>
          <w:pgMar w:left="300" w:top="675" w:right="41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Toy, certify that:</w:t>
      </w:r>
    </w:p>
    <w:p>
      <w:pPr>
        <w:spacing w:after="0" w:line="179" w:lineRule="exact"/>
        <w:rPr>
          <w:sz w:val="20"/>
          <w:szCs w:val="20"/>
          <w:color w:val="auto"/>
        </w:rPr>
      </w:pPr>
    </w:p>
    <w:p>
      <w:pPr>
        <w:ind w:left="340" w:hanging="335"/>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three months ended March 31, 2024, of Clover Health Investments, Corp.;</w:t>
      </w:r>
    </w:p>
    <w:p>
      <w:pPr>
        <w:spacing w:after="0" w:line="178" w:lineRule="exact"/>
        <w:rPr>
          <w:rFonts w:ascii="Times New Roman" w:cs="Times New Roman" w:eastAsia="Times New Roman" w:hAnsi="Times New Roman"/>
          <w:sz w:val="14"/>
          <w:szCs w:val="14"/>
          <w:color w:val="auto"/>
        </w:rPr>
      </w:pPr>
    </w:p>
    <w:p>
      <w:pPr>
        <w:ind w:left="360" w:right="60" w:hanging="355"/>
        <w:spacing w:after="0" w:line="287" w:lineRule="auto"/>
        <w:tabs>
          <w:tab w:leader="none" w:pos="35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4" w:lineRule="exact"/>
        <w:rPr>
          <w:rFonts w:ascii="Times New Roman" w:cs="Times New Roman" w:eastAsia="Times New Roman" w:hAnsi="Times New Roman"/>
          <w:sz w:val="14"/>
          <w:szCs w:val="14"/>
          <w:color w:val="auto"/>
        </w:rPr>
      </w:pPr>
    </w:p>
    <w:p>
      <w:pPr>
        <w:ind w:left="360" w:right="120" w:hanging="355"/>
        <w:spacing w:after="0" w:line="287" w:lineRule="auto"/>
        <w:tabs>
          <w:tab w:leader="none" w:pos="35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60" w:right="80" w:hanging="355"/>
        <w:spacing w:after="0" w:line="287" w:lineRule="auto"/>
        <w:tabs>
          <w:tab w:leader="none" w:pos="35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00" w:hanging="348"/>
        <w:spacing w:after="0" w:line="287" w:lineRule="auto"/>
        <w:tabs>
          <w:tab w:leader="none" w:pos="691"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20" w:hanging="348"/>
        <w:spacing w:after="0" w:line="287" w:lineRule="auto"/>
        <w:tabs>
          <w:tab w:leader="none" w:pos="699"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20" w:hanging="348"/>
        <w:spacing w:after="0" w:line="287" w:lineRule="auto"/>
        <w:tabs>
          <w:tab w:leader="none" w:pos="691"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99"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60" w:right="580" w:hanging="355"/>
        <w:spacing w:after="0" w:line="287" w:lineRule="auto"/>
        <w:tabs>
          <w:tab w:leader="none" w:pos="35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00" w:hanging="348"/>
        <w:spacing w:after="0" w:line="287" w:lineRule="auto"/>
        <w:tabs>
          <w:tab w:leader="none" w:pos="691"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940" w:val="left"/>
          <w:tab w:leader="none" w:pos="7440" w:val="left"/>
        </w:tabs>
        <w:rPr>
          <w:sz w:val="20"/>
          <w:szCs w:val="20"/>
          <w:color w:val="auto"/>
        </w:rPr>
      </w:pPr>
      <w:r>
        <w:rPr>
          <w:rFonts w:ascii="Times New Roman" w:cs="Times New Roman" w:eastAsia="Times New Roman" w:hAnsi="Times New Roman"/>
          <w:sz w:val="14"/>
          <w:szCs w:val="14"/>
          <w:color w:val="auto"/>
        </w:rPr>
        <w:t>Date: May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632"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Terrence Ronan, certify that:</w:t>
      </w:r>
    </w:p>
    <w:p>
      <w:pPr>
        <w:spacing w:after="0" w:line="179" w:lineRule="exact"/>
        <w:rPr>
          <w:sz w:val="20"/>
          <w:szCs w:val="20"/>
          <w:color w:val="auto"/>
        </w:rPr>
      </w:pPr>
    </w:p>
    <w:p>
      <w:pPr>
        <w:ind w:left="340" w:hanging="335"/>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three months ended March 31, 2024, of Clover Health Investments, Corp.;</w:t>
      </w:r>
    </w:p>
    <w:p>
      <w:pPr>
        <w:spacing w:after="0" w:line="178" w:lineRule="exact"/>
        <w:rPr>
          <w:rFonts w:ascii="Times New Roman" w:cs="Times New Roman" w:eastAsia="Times New Roman" w:hAnsi="Times New Roman"/>
          <w:sz w:val="14"/>
          <w:szCs w:val="14"/>
          <w:color w:val="auto"/>
        </w:rPr>
      </w:pPr>
    </w:p>
    <w:p>
      <w:pPr>
        <w:ind w:left="360" w:right="60" w:hanging="355"/>
        <w:spacing w:after="0" w:line="287" w:lineRule="auto"/>
        <w:tabs>
          <w:tab w:leader="none" w:pos="3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4" w:lineRule="exact"/>
        <w:rPr>
          <w:rFonts w:ascii="Times New Roman" w:cs="Times New Roman" w:eastAsia="Times New Roman" w:hAnsi="Times New Roman"/>
          <w:sz w:val="14"/>
          <w:szCs w:val="14"/>
          <w:color w:val="auto"/>
        </w:rPr>
      </w:pPr>
    </w:p>
    <w:p>
      <w:pPr>
        <w:ind w:left="360" w:right="120" w:hanging="355"/>
        <w:spacing w:after="0" w:line="287" w:lineRule="auto"/>
        <w:tabs>
          <w:tab w:leader="none" w:pos="3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60" w:right="80" w:hanging="355"/>
        <w:spacing w:after="0" w:line="287" w:lineRule="auto"/>
        <w:tabs>
          <w:tab w:leader="none" w:pos="3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00" w:hanging="348"/>
        <w:spacing w:after="0" w:line="287" w:lineRule="auto"/>
        <w:tabs>
          <w:tab w:leader="none" w:pos="691"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20" w:hanging="348"/>
        <w:spacing w:after="0" w:line="287" w:lineRule="auto"/>
        <w:tabs>
          <w:tab w:leader="none" w:pos="699"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20" w:hanging="348"/>
        <w:spacing w:after="0" w:line="287" w:lineRule="auto"/>
        <w:tabs>
          <w:tab w:leader="none" w:pos="691"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99"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60" w:right="580" w:hanging="355"/>
        <w:spacing w:after="0" w:line="287" w:lineRule="auto"/>
        <w:tabs>
          <w:tab w:leader="none" w:pos="3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00" w:hanging="348"/>
        <w:spacing w:after="0" w:line="287" w:lineRule="auto"/>
        <w:tabs>
          <w:tab w:leader="none" w:pos="691"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940" w:val="left"/>
          <w:tab w:leader="none" w:pos="7360" w:val="left"/>
        </w:tabs>
        <w:rPr>
          <w:sz w:val="20"/>
          <w:szCs w:val="20"/>
          <w:color w:val="auto"/>
        </w:rPr>
      </w:pPr>
      <w:r>
        <w:rPr>
          <w:rFonts w:ascii="Times New Roman" w:cs="Times New Roman" w:eastAsia="Times New Roman" w:hAnsi="Times New Roman"/>
          <w:sz w:val="14"/>
          <w:szCs w:val="14"/>
          <w:color w:val="auto"/>
        </w:rPr>
        <w:t>Date: May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Terrence Ronan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Terrence Ronan</w:t>
      </w:r>
    </w:p>
    <w:p>
      <w:pPr>
        <w:spacing w:after="0" w:line="1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Interim Chief Financial Officer (Principal Financial Officer and Principal</w:t>
      </w:r>
    </w:p>
    <w:p>
      <w:pPr>
        <w:ind w:left="7300"/>
        <w:spacing w:after="0"/>
        <w:rPr>
          <w:sz w:val="20"/>
          <w:szCs w:val="20"/>
          <w:color w:val="auto"/>
        </w:rPr>
      </w:pPr>
      <w:r>
        <w:rPr>
          <w:rFonts w:ascii="Times New Roman" w:cs="Times New Roman" w:eastAsia="Times New Roman" w:hAnsi="Times New Roman"/>
          <w:sz w:val="14"/>
          <w:szCs w:val="14"/>
          <w:b w:val="1"/>
          <w:bCs w:val="1"/>
          <w:color w:val="auto"/>
        </w:rPr>
        <w:t>Accounting Officer)</w:t>
      </w:r>
    </w:p>
    <w:p>
      <w:pPr>
        <w:sectPr>
          <w:pgSz w:w="11900" w:h="16838" w:orient="portrait"/>
          <w:cols w:equalWidth="0" w:num="1">
            <w:col w:w="11280"/>
          </w:cols>
          <w:pgMar w:left="300" w:top="632"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Quarterly Report on Form 10-Q of Clover Health Investments, Corp. (the “Company”) for the three months ended March 31, 2024, as filed with the Securities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700" w:hanging="348"/>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4940" w:val="left"/>
          <w:tab w:leader="none" w:pos="7440" w:val="left"/>
        </w:tabs>
        <w:rPr>
          <w:sz w:val="20"/>
          <w:szCs w:val="20"/>
          <w:color w:val="auto"/>
        </w:rPr>
      </w:pPr>
      <w:r>
        <w:rPr>
          <w:rFonts w:ascii="Times New Roman" w:cs="Times New Roman" w:eastAsia="Times New Roman" w:hAnsi="Times New Roman"/>
          <w:sz w:val="14"/>
          <w:szCs w:val="14"/>
          <w:color w:val="auto"/>
        </w:rPr>
        <w:t>Dated: May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632"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Quarterly Report on Form 10-Q of Clover Health Investments, Corp. (the “Company”) for the three months ended March 31, 2024, as filed with the Securities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700" w:hanging="348"/>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4940" w:val="left"/>
          <w:tab w:leader="none" w:pos="7360" w:val="left"/>
        </w:tabs>
        <w:rPr>
          <w:sz w:val="20"/>
          <w:szCs w:val="20"/>
          <w:color w:val="auto"/>
        </w:rPr>
      </w:pPr>
      <w:r>
        <w:rPr>
          <w:rFonts w:ascii="Times New Roman" w:cs="Times New Roman" w:eastAsia="Times New Roman" w:hAnsi="Times New Roman"/>
          <w:sz w:val="14"/>
          <w:szCs w:val="14"/>
          <w:color w:val="auto"/>
        </w:rPr>
        <w:t>Dated: May 7,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Terrence Ronan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Terrence Ronan</w:t>
      </w:r>
    </w:p>
    <w:p>
      <w:pPr>
        <w:spacing w:after="0" w:line="1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Interim Chief Financial Officer (Principal Financial Officer and Principal</w:t>
      </w:r>
    </w:p>
    <w:p>
      <w:pPr>
        <w:ind w:left="7300"/>
        <w:spacing w:after="0"/>
        <w:rPr>
          <w:sz w:val="20"/>
          <w:szCs w:val="20"/>
          <w:color w:val="auto"/>
        </w:rPr>
      </w:pPr>
      <w:r>
        <w:rPr>
          <w:rFonts w:ascii="Times New Roman" w:cs="Times New Roman" w:eastAsia="Times New Roman" w:hAnsi="Times New Roman"/>
          <w:sz w:val="14"/>
          <w:szCs w:val="14"/>
          <w:b w:val="1"/>
          <w:bCs w:val="1"/>
          <w:color w:val="auto"/>
        </w:rPr>
        <w:t>Accounting Officer)</w:t>
      </w: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2024-05-07T15:40:01Z</dcterms:created>
  <dcterms:modified xsi:type="dcterms:W3CDTF">2024-05-07T15:40:01Z</dcterms:modified>
</cp:coreProperties>
</file>