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13, 2021.</w:t>
      </w:r>
    </w:p>
    <w:p>
      <w:pPr>
        <w:spacing w:after="0" w:line="24"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218440</wp:posOffset>
            </wp:positionV>
            <wp:extent cx="1494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218440</wp:posOffset>
            </wp:positionV>
            <wp:extent cx="1494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CLOVER HEALTH INVESTMENTS, CORP.</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220345</wp:posOffset>
            </wp:positionV>
            <wp:extent cx="1494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2900" w:type="dxa"/>
            <w:vAlign w:val="bottom"/>
          </w:tcPr>
          <w:p>
            <w:pPr>
              <w:jc w:val="center"/>
              <w:ind w:right="9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40" w:type="dxa"/>
            <w:vAlign w:val="bottom"/>
          </w:tcPr>
          <w:p>
            <w:pPr>
              <w:jc w:val="center"/>
              <w:ind w:right="4"/>
              <w:spacing w:after="0"/>
              <w:rPr>
                <w:sz w:val="20"/>
                <w:szCs w:val="20"/>
                <w:color w:val="auto"/>
              </w:rPr>
            </w:pPr>
            <w:r>
              <w:rPr>
                <w:rFonts w:ascii="Times New Roman" w:cs="Times New Roman" w:eastAsia="Times New Roman" w:hAnsi="Times New Roman"/>
                <w:sz w:val="18"/>
                <w:szCs w:val="18"/>
                <w:b w:val="1"/>
                <w:bCs w:val="1"/>
                <w:color w:val="auto"/>
                <w:w w:val="99"/>
              </w:rPr>
              <w:t>6324</w:t>
            </w:r>
          </w:p>
        </w:tc>
        <w:tc>
          <w:tcPr>
            <w:tcW w:w="2440" w:type="dxa"/>
            <w:vAlign w:val="bottom"/>
          </w:tcPr>
          <w:p>
            <w:pPr>
              <w:jc w:val="center"/>
              <w:ind w:left="984"/>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145"/>
        </w:trPr>
        <w:tc>
          <w:tcPr>
            <w:tcW w:w="2900" w:type="dxa"/>
            <w:vAlign w:val="bottom"/>
          </w:tcPr>
          <w:p>
            <w:pPr>
              <w:jc w:val="center"/>
              <w:ind w:right="924"/>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40" w:type="dxa"/>
            <w:vAlign w:val="bottom"/>
          </w:tcPr>
          <w:p>
            <w:pPr>
              <w:jc w:val="center"/>
              <w:ind w:right="4"/>
              <w:spacing w:after="0" w:line="145"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40" w:type="dxa"/>
            <w:vAlign w:val="bottom"/>
          </w:tcPr>
          <w:p>
            <w:pPr>
              <w:jc w:val="center"/>
              <w:ind w:left="984"/>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900" w:type="dxa"/>
            <w:vAlign w:val="bottom"/>
          </w:tcPr>
          <w:p>
            <w:pPr>
              <w:jc w:val="center"/>
              <w:ind w:righ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40" w:type="dxa"/>
            <w:vAlign w:val="bottom"/>
          </w:tcPr>
          <w:p>
            <w:pPr>
              <w:jc w:val="center"/>
              <w:ind w:left="96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725 Cool Springs Blvd, Suite 320</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Franklin, Tennessee 37067</w:t>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212725</wp:posOffset>
            </wp:positionV>
            <wp:extent cx="1494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Vivek Garipalli</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725 Cool Springs Blvd, Suite 320</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Franklin, Tennessee 37067</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Telephone: (201) 432-2133</w:t>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220980</wp:posOffset>
            </wp:positionV>
            <wp:extent cx="1494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tbl>
      <w:tblPr>
        <w:tblLayout w:type="fixed"/>
        <w:tblInd w:w="1480" w:type="dxa"/>
        <w:tblCellMar>
          <w:top w:w="0" w:type="dxa"/>
          <w:left w:w="0" w:type="dxa"/>
          <w:bottom w:w="0" w:type="dxa"/>
          <w:right w:w="0" w:type="dxa"/>
        </w:tblCellMar>
      </w:tblPr>
      <w:tr>
        <w:trPr>
          <w:trHeight w:val="233"/>
        </w:trPr>
        <w:tc>
          <w:tcPr>
            <w:tcW w:w="3240" w:type="dxa"/>
            <w:vAlign w:val="bottom"/>
          </w:tcPr>
          <w:p>
            <w:pPr>
              <w:spacing w:after="0"/>
              <w:rPr>
                <w:sz w:val="20"/>
                <w:szCs w:val="20"/>
                <w:color w:val="auto"/>
              </w:rPr>
            </w:pPr>
          </w:p>
        </w:tc>
        <w:tc>
          <w:tcPr>
            <w:tcW w:w="50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0"/>
        </w:trPr>
        <w:tc>
          <w:tcPr>
            <w:tcW w:w="32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Stephen Thau, Esq.</w:t>
            </w:r>
          </w:p>
        </w:tc>
        <w:tc>
          <w:tcPr>
            <w:tcW w:w="5060" w:type="dxa"/>
            <w:vAlign w:val="bottom"/>
          </w:tcPr>
          <w:p>
            <w:pPr>
              <w:jc w:val="center"/>
              <w:ind w:left="2432"/>
              <w:spacing w:after="0"/>
              <w:rPr>
                <w:sz w:val="20"/>
                <w:szCs w:val="20"/>
                <w:color w:val="auto"/>
              </w:rPr>
            </w:pPr>
            <w:r>
              <w:rPr>
                <w:rFonts w:ascii="Times New Roman" w:cs="Times New Roman" w:eastAsia="Times New Roman" w:hAnsi="Times New Roman"/>
                <w:sz w:val="18"/>
                <w:szCs w:val="18"/>
                <w:b w:val="1"/>
                <w:bCs w:val="1"/>
                <w:color w:val="auto"/>
                <w:w w:val="98"/>
              </w:rPr>
              <w:t>Gia Lee, Esq.</w:t>
            </w:r>
          </w:p>
        </w:tc>
      </w:tr>
      <w:tr>
        <w:trPr>
          <w:trHeight w:val="212"/>
        </w:trPr>
        <w:tc>
          <w:tcPr>
            <w:tcW w:w="32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William L. Hughes, Esq.</w:t>
            </w:r>
          </w:p>
        </w:tc>
        <w:tc>
          <w:tcPr>
            <w:tcW w:w="5060" w:type="dxa"/>
            <w:vAlign w:val="bottom"/>
          </w:tcPr>
          <w:p>
            <w:pPr>
              <w:jc w:val="center"/>
              <w:ind w:left="2432"/>
              <w:spacing w:after="0"/>
              <w:rPr>
                <w:sz w:val="20"/>
                <w:szCs w:val="20"/>
                <w:color w:val="auto"/>
              </w:rPr>
            </w:pPr>
            <w:r>
              <w:rPr>
                <w:rFonts w:ascii="Times New Roman" w:cs="Times New Roman" w:eastAsia="Times New Roman" w:hAnsi="Times New Roman"/>
                <w:sz w:val="18"/>
                <w:szCs w:val="18"/>
                <w:b w:val="1"/>
                <w:bCs w:val="1"/>
                <w:color w:val="auto"/>
                <w:w w:val="97"/>
              </w:rPr>
              <w:t>General Counsel and Secretary</w:t>
            </w:r>
          </w:p>
        </w:tc>
      </w:tr>
      <w:tr>
        <w:trPr>
          <w:trHeight w:val="212"/>
        </w:trPr>
        <w:tc>
          <w:tcPr>
            <w:tcW w:w="32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Niki Fang, Esq.</w:t>
            </w:r>
          </w:p>
        </w:tc>
        <w:tc>
          <w:tcPr>
            <w:tcW w:w="5060" w:type="dxa"/>
            <w:vAlign w:val="bottom"/>
          </w:tcPr>
          <w:p>
            <w:pPr>
              <w:jc w:val="center"/>
              <w:ind w:left="2432"/>
              <w:spacing w:after="0"/>
              <w:rPr>
                <w:sz w:val="20"/>
                <w:szCs w:val="20"/>
                <w:color w:val="auto"/>
              </w:rPr>
            </w:pPr>
            <w:r>
              <w:rPr>
                <w:rFonts w:ascii="Times New Roman" w:cs="Times New Roman" w:eastAsia="Times New Roman" w:hAnsi="Times New Roman"/>
                <w:sz w:val="18"/>
                <w:szCs w:val="18"/>
                <w:b w:val="1"/>
                <w:bCs w:val="1"/>
                <w:color w:val="auto"/>
                <w:w w:val="97"/>
              </w:rPr>
              <w:t>Clover Health Investments, Corp.</w:t>
            </w:r>
          </w:p>
        </w:tc>
      </w:tr>
      <w:tr>
        <w:trPr>
          <w:trHeight w:val="212"/>
        </w:trPr>
        <w:tc>
          <w:tcPr>
            <w:tcW w:w="32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Orrick, Herrington &amp; Sutcliffe LLP</w:t>
            </w:r>
          </w:p>
        </w:tc>
        <w:tc>
          <w:tcPr>
            <w:tcW w:w="5060" w:type="dxa"/>
            <w:vAlign w:val="bottom"/>
          </w:tcPr>
          <w:p>
            <w:pPr>
              <w:jc w:val="center"/>
              <w:ind w:left="2432"/>
              <w:spacing w:after="0"/>
              <w:rPr>
                <w:sz w:val="20"/>
                <w:szCs w:val="20"/>
                <w:color w:val="auto"/>
              </w:rPr>
            </w:pPr>
            <w:r>
              <w:rPr>
                <w:rFonts w:ascii="Times New Roman" w:cs="Times New Roman" w:eastAsia="Times New Roman" w:hAnsi="Times New Roman"/>
                <w:sz w:val="18"/>
                <w:szCs w:val="18"/>
                <w:b w:val="1"/>
                <w:bCs w:val="1"/>
                <w:color w:val="auto"/>
                <w:w w:val="97"/>
              </w:rPr>
              <w:t>725 Cool Springs Blvd, Suite 320</w:t>
            </w:r>
          </w:p>
        </w:tc>
      </w:tr>
      <w:tr>
        <w:trPr>
          <w:trHeight w:val="212"/>
        </w:trPr>
        <w:tc>
          <w:tcPr>
            <w:tcW w:w="32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The Orrick Building</w:t>
            </w:r>
          </w:p>
        </w:tc>
        <w:tc>
          <w:tcPr>
            <w:tcW w:w="5060" w:type="dxa"/>
            <w:vAlign w:val="bottom"/>
          </w:tcPr>
          <w:p>
            <w:pPr>
              <w:jc w:val="center"/>
              <w:ind w:left="2432"/>
              <w:spacing w:after="0"/>
              <w:rPr>
                <w:sz w:val="20"/>
                <w:szCs w:val="20"/>
                <w:color w:val="auto"/>
              </w:rPr>
            </w:pPr>
            <w:r>
              <w:rPr>
                <w:rFonts w:ascii="Times New Roman" w:cs="Times New Roman" w:eastAsia="Times New Roman" w:hAnsi="Times New Roman"/>
                <w:sz w:val="18"/>
                <w:szCs w:val="18"/>
                <w:b w:val="1"/>
                <w:bCs w:val="1"/>
                <w:color w:val="auto"/>
                <w:w w:val="96"/>
              </w:rPr>
              <w:t>Franklin, Tennessee 37067</w:t>
            </w:r>
          </w:p>
        </w:tc>
      </w:tr>
      <w:tr>
        <w:trPr>
          <w:trHeight w:val="212"/>
        </w:trPr>
        <w:tc>
          <w:tcPr>
            <w:tcW w:w="32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6"/>
              </w:rPr>
              <w:t>405 Howard Street</w:t>
            </w:r>
          </w:p>
        </w:tc>
        <w:tc>
          <w:tcPr>
            <w:tcW w:w="5060" w:type="dxa"/>
            <w:vAlign w:val="bottom"/>
          </w:tcPr>
          <w:p>
            <w:pPr>
              <w:jc w:val="center"/>
              <w:ind w:left="2432"/>
              <w:spacing w:after="0"/>
              <w:rPr>
                <w:sz w:val="20"/>
                <w:szCs w:val="20"/>
                <w:color w:val="auto"/>
              </w:rPr>
            </w:pPr>
            <w:r>
              <w:rPr>
                <w:rFonts w:ascii="Times New Roman" w:cs="Times New Roman" w:eastAsia="Times New Roman" w:hAnsi="Times New Roman"/>
                <w:sz w:val="18"/>
                <w:szCs w:val="18"/>
                <w:b w:val="1"/>
                <w:bCs w:val="1"/>
                <w:color w:val="auto"/>
                <w:w w:val="97"/>
              </w:rPr>
              <w:t>(201) 432-2133</w:t>
            </w:r>
          </w:p>
        </w:tc>
      </w:tr>
      <w:tr>
        <w:trPr>
          <w:trHeight w:val="212"/>
        </w:trPr>
        <w:tc>
          <w:tcPr>
            <w:tcW w:w="32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San Francisco, California 94105</w:t>
            </w:r>
          </w:p>
        </w:tc>
        <w:tc>
          <w:tcPr>
            <w:tcW w:w="5060" w:type="dxa"/>
            <w:vAlign w:val="bottom"/>
          </w:tcPr>
          <w:p>
            <w:pPr>
              <w:spacing w:after="0"/>
              <w:rPr>
                <w:sz w:val="18"/>
                <w:szCs w:val="18"/>
                <w:color w:val="auto"/>
              </w:rPr>
            </w:pPr>
          </w:p>
        </w:tc>
      </w:tr>
      <w:tr>
        <w:trPr>
          <w:trHeight w:val="231"/>
        </w:trPr>
        <w:tc>
          <w:tcPr>
            <w:tcW w:w="32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Tel: (415) 773-5700</w:t>
            </w:r>
          </w:p>
        </w:tc>
        <w:tc>
          <w:tcPr>
            <w:tcW w:w="50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227330</wp:posOffset>
            </wp:positionV>
            <wp:extent cx="1494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218" w:lineRule="exact"/>
        <w:rPr>
          <w:sz w:val="24"/>
          <w:szCs w:val="24"/>
          <w:color w:val="auto"/>
        </w:rPr>
      </w:pPr>
    </w:p>
    <w:p>
      <w:pPr>
        <w:ind w:right="40" w:firstLine="449"/>
        <w:spacing w:after="0" w:line="230"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6" w:lineRule="exact"/>
        <w:rPr>
          <w:sz w:val="24"/>
          <w:szCs w:val="24"/>
          <w:color w:val="auto"/>
        </w:rPr>
      </w:pPr>
    </w:p>
    <w:p>
      <w:pPr>
        <w:ind w:firstLine="449"/>
        <w:spacing w:after="0" w:line="230"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6" w:lineRule="exact"/>
        <w:rPr>
          <w:sz w:val="24"/>
          <w:szCs w:val="24"/>
          <w:color w:val="auto"/>
        </w:rPr>
      </w:pPr>
    </w:p>
    <w:p>
      <w:pPr>
        <w:ind w:right="260" w:firstLine="449"/>
        <w:spacing w:after="0" w:line="230"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6" w:lineRule="exact"/>
        <w:rPr>
          <w:sz w:val="24"/>
          <w:szCs w:val="24"/>
          <w:color w:val="auto"/>
        </w:rPr>
      </w:pPr>
    </w:p>
    <w:p>
      <w:pPr>
        <w:ind w:right="240" w:firstLine="449"/>
        <w:spacing w:after="0" w:line="230"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180"/>
          </w:cols>
          <w:pgMar w:left="320" w:top="225" w:right="399" w:bottom="1112"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120" w:firstLine="44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1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0"/>
          <w:szCs w:val="20"/>
          <w:color w:val="auto"/>
        </w:rPr>
      </w:pPr>
    </w:p>
    <w:p>
      <w:pPr>
        <w:ind w:right="280" w:firstLine="449"/>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215900</wp:posOffset>
            </wp:positionV>
            <wp:extent cx="1494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4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442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Proposed</w:t>
            </w:r>
          </w:p>
        </w:tc>
        <w:tc>
          <w:tcPr>
            <w:tcW w:w="2120" w:type="dxa"/>
            <w:vAlign w:val="bottom"/>
            <w:tcBorders>
              <w:right w:val="single" w:sz="8" w:color="auto"/>
            </w:tcBorders>
          </w:tcPr>
          <w:p>
            <w:pPr>
              <w:jc w:val="center"/>
              <w:ind w:left="3"/>
              <w:spacing w:after="0" w:line="101" w:lineRule="exact"/>
              <w:rPr>
                <w:sz w:val="20"/>
                <w:szCs w:val="20"/>
                <w:color w:val="auto"/>
              </w:rPr>
            </w:pPr>
            <w:r>
              <w:rPr>
                <w:rFonts w:ascii="Times New Roman" w:cs="Times New Roman" w:eastAsia="Times New Roman" w:hAnsi="Times New Roman"/>
                <w:sz w:val="11"/>
                <w:szCs w:val="11"/>
                <w:b w:val="1"/>
                <w:bCs w:val="1"/>
                <w:color w:val="auto"/>
              </w:rPr>
              <w:t>Proposed</w:t>
            </w: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42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ind w:left="4"/>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21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42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80" w:type="dxa"/>
            <w:vAlign w:val="bottom"/>
            <w:tcBorders>
              <w:right w:val="single" w:sz="8" w:color="auto"/>
            </w:tcBorders>
          </w:tcPr>
          <w:p>
            <w:pPr>
              <w:jc w:val="center"/>
              <w:ind w:left="1"/>
              <w:spacing w:after="0" w:line="157" w:lineRule="exact"/>
              <w:rPr>
                <w:sz w:val="20"/>
                <w:szCs w:val="20"/>
                <w:color w:val="auto"/>
              </w:rPr>
            </w:pPr>
            <w:r>
              <w:rPr>
                <w:rFonts w:ascii="Times New Roman" w:cs="Times New Roman" w:eastAsia="Times New Roman" w:hAnsi="Times New Roman"/>
                <w:sz w:val="14"/>
                <w:szCs w:val="14"/>
                <w:b w:val="1"/>
                <w:bCs w:val="1"/>
                <w:color w:val="auto"/>
              </w:rPr>
              <w:t>to be</w:t>
            </w:r>
          </w:p>
        </w:tc>
        <w:tc>
          <w:tcPr>
            <w:tcW w:w="1580" w:type="dxa"/>
            <w:vAlign w:val="bottom"/>
            <w:tcBorders>
              <w:right w:val="single" w:sz="8" w:color="auto"/>
            </w:tcBorders>
          </w:tcPr>
          <w:p>
            <w:pPr>
              <w:jc w:val="center"/>
              <w:ind w:left="4"/>
              <w:spacing w:after="0" w:line="157"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212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40" w:type="dxa"/>
            <w:vAlign w:val="bottom"/>
          </w:tcPr>
          <w:p>
            <w:pPr>
              <w:jc w:val="center"/>
              <w:ind w:left="18"/>
              <w:spacing w:after="0" w:line="157" w:lineRule="exact"/>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172"/>
        </w:trPr>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8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1"/>
                <w:szCs w:val="11"/>
                <w:b w:val="1"/>
                <w:bCs w:val="1"/>
                <w:color w:val="auto"/>
              </w:rPr>
              <w:t>(1)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05"/>
        </w:trPr>
        <w:tc>
          <w:tcPr>
            <w:tcW w:w="4420" w:type="dxa"/>
            <w:vAlign w:val="bottom"/>
            <w:tcBorders>
              <w:bottom w:val="single" w:sz="8" w:color="auto"/>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Class A common stock, par value $0.0001 per share</w:t>
            </w:r>
            <w:r>
              <w:rPr>
                <w:rFonts w:ascii="Times New Roman" w:cs="Times New Roman" w:eastAsia="Times New Roman" w:hAnsi="Times New Roman"/>
                <w:sz w:val="14"/>
                <w:szCs w:val="14"/>
                <w:color w:val="auto"/>
              </w:rPr>
              <w:t>(2)(3)</w:t>
            </w:r>
          </w:p>
        </w:tc>
        <w:tc>
          <w:tcPr>
            <w:tcW w:w="1580" w:type="dxa"/>
            <w:vAlign w:val="bottom"/>
            <w:tcBorders>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303,904,202</w:t>
            </w:r>
          </w:p>
        </w:tc>
        <w:tc>
          <w:tcPr>
            <w:tcW w:w="1580" w:type="dxa"/>
            <w:vAlign w:val="bottom"/>
            <w:tcBorders>
              <w:bottom w:val="single" w:sz="8" w:color="auto"/>
              <w:right w:val="single" w:sz="8" w:color="auto"/>
            </w:tcBorders>
          </w:tcPr>
          <w:p>
            <w:pPr>
              <w:jc w:val="center"/>
              <w:ind w:left="4"/>
              <w:spacing w:after="0" w:line="205" w:lineRule="exact"/>
              <w:rPr>
                <w:sz w:val="20"/>
                <w:szCs w:val="20"/>
                <w:color w:val="auto"/>
              </w:rPr>
            </w:pPr>
            <w:r>
              <w:rPr>
                <w:rFonts w:ascii="Times New Roman" w:cs="Times New Roman" w:eastAsia="Times New Roman" w:hAnsi="Times New Roman"/>
                <w:sz w:val="18"/>
                <w:szCs w:val="18"/>
                <w:color w:val="auto"/>
              </w:rPr>
              <w:t>$14.86</w:t>
            </w:r>
            <w:r>
              <w:rPr>
                <w:rFonts w:ascii="Times New Roman" w:cs="Times New Roman" w:eastAsia="Times New Roman" w:hAnsi="Times New Roman"/>
                <w:sz w:val="14"/>
                <w:szCs w:val="14"/>
                <w:color w:val="auto"/>
              </w:rPr>
              <w:t>(4)</w:t>
            </w:r>
          </w:p>
        </w:tc>
        <w:tc>
          <w:tcPr>
            <w:tcW w:w="2120" w:type="dxa"/>
            <w:vAlign w:val="bottom"/>
            <w:tcBorders>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$4,516,016,441.72</w:t>
            </w:r>
            <w:r>
              <w:rPr>
                <w:rFonts w:ascii="Times New Roman" w:cs="Times New Roman" w:eastAsia="Times New Roman" w:hAnsi="Times New Roman"/>
                <w:sz w:val="14"/>
                <w:szCs w:val="14"/>
                <w:color w:val="auto"/>
                <w:w w:val="99"/>
              </w:rPr>
              <w:t>(4)</w:t>
            </w:r>
          </w:p>
        </w:tc>
        <w:tc>
          <w:tcPr>
            <w:tcW w:w="1540" w:type="dxa"/>
            <w:vAlign w:val="bottom"/>
            <w:tcBorders>
              <w:bottom w:val="single" w:sz="8" w:color="auto"/>
            </w:tcBorders>
          </w:tcPr>
          <w:p>
            <w:pPr>
              <w:jc w:val="center"/>
              <w:ind w:left="18"/>
              <w:spacing w:after="0" w:line="205" w:lineRule="exact"/>
              <w:rPr>
                <w:sz w:val="20"/>
                <w:szCs w:val="20"/>
                <w:color w:val="auto"/>
              </w:rPr>
            </w:pPr>
            <w:r>
              <w:rPr>
                <w:rFonts w:ascii="Times New Roman" w:cs="Times New Roman" w:eastAsia="Times New Roman" w:hAnsi="Times New Roman"/>
                <w:sz w:val="18"/>
                <w:szCs w:val="18"/>
                <w:color w:val="auto"/>
                <w:w w:val="97"/>
              </w:rPr>
              <w:t>$492,697.39</w:t>
            </w:r>
          </w:p>
        </w:tc>
        <w:tc>
          <w:tcPr>
            <w:tcW w:w="0" w:type="dxa"/>
            <w:vAlign w:val="bottom"/>
          </w:tcPr>
          <w:p>
            <w:pPr>
              <w:spacing w:after="0"/>
              <w:rPr>
                <w:sz w:val="1"/>
                <w:szCs w:val="1"/>
                <w:color w:val="auto"/>
              </w:rPr>
            </w:pPr>
          </w:p>
        </w:tc>
      </w:tr>
      <w:tr>
        <w:trPr>
          <w:trHeight w:val="205"/>
        </w:trPr>
        <w:tc>
          <w:tcPr>
            <w:tcW w:w="4420" w:type="dxa"/>
            <w:vAlign w:val="bottom"/>
            <w:tcBorders>
              <w:bottom w:val="single" w:sz="8" w:color="auto"/>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Warrants to purchase Class A common stock</w:t>
            </w:r>
            <w:r>
              <w:rPr>
                <w:rFonts w:ascii="Times New Roman" w:cs="Times New Roman" w:eastAsia="Times New Roman" w:hAnsi="Times New Roman"/>
                <w:sz w:val="14"/>
                <w:szCs w:val="14"/>
                <w:color w:val="auto"/>
              </w:rPr>
              <w:t>(2)</w:t>
            </w:r>
          </w:p>
        </w:tc>
        <w:tc>
          <w:tcPr>
            <w:tcW w:w="1580" w:type="dxa"/>
            <w:vAlign w:val="bottom"/>
            <w:tcBorders>
              <w:bottom w:val="single" w:sz="8" w:color="auto"/>
              <w:right w:val="single" w:sz="8" w:color="auto"/>
            </w:tcBorders>
          </w:tcPr>
          <w:p>
            <w:pPr>
              <w:jc w:val="center"/>
              <w:ind w:left="1"/>
              <w:spacing w:after="0" w:line="205" w:lineRule="exact"/>
              <w:rPr>
                <w:sz w:val="20"/>
                <w:szCs w:val="20"/>
                <w:color w:val="auto"/>
              </w:rPr>
            </w:pPr>
            <w:r>
              <w:rPr>
                <w:rFonts w:ascii="Times New Roman" w:cs="Times New Roman" w:eastAsia="Times New Roman" w:hAnsi="Times New Roman"/>
                <w:sz w:val="18"/>
                <w:szCs w:val="18"/>
                <w:color w:val="auto"/>
                <w:w w:val="96"/>
              </w:rPr>
              <w:t>10,933,333</w:t>
            </w:r>
          </w:p>
        </w:tc>
        <w:tc>
          <w:tcPr>
            <w:tcW w:w="1580" w:type="dxa"/>
            <w:vAlign w:val="bottom"/>
            <w:tcBorders>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(5)</w:t>
            </w:r>
          </w:p>
        </w:tc>
        <w:tc>
          <w:tcPr>
            <w:tcW w:w="2120" w:type="dxa"/>
            <w:vAlign w:val="bottom"/>
            <w:tcBorders>
              <w:bottom w:val="single" w:sz="8" w:color="auto"/>
              <w:right w:val="single" w:sz="8" w:color="auto"/>
            </w:tcBorders>
          </w:tcPr>
          <w:p>
            <w:pPr>
              <w:jc w:val="center"/>
              <w:ind w:left="3"/>
              <w:spacing w:after="0" w:line="205"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(5)</w:t>
            </w:r>
          </w:p>
        </w:tc>
        <w:tc>
          <w:tcPr>
            <w:tcW w:w="1540" w:type="dxa"/>
            <w:vAlign w:val="bottom"/>
            <w:tcBorders>
              <w:bottom w:val="single" w:sz="8" w:color="auto"/>
            </w:tcBorders>
          </w:tcPr>
          <w:p>
            <w:pPr>
              <w:jc w:val="center"/>
              <w:ind w:left="18"/>
              <w:spacing w:after="0" w:line="205"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5"/>
        </w:trPr>
        <w:tc>
          <w:tcPr>
            <w:tcW w:w="4420" w:type="dxa"/>
            <w:vAlign w:val="bottom"/>
            <w:tcBorders>
              <w:bottom w:val="single" w:sz="8" w:color="auto"/>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Class A common stock, par value $0.0001 per share</w:t>
            </w:r>
            <w:r>
              <w:rPr>
                <w:rFonts w:ascii="Times New Roman" w:cs="Times New Roman" w:eastAsia="Times New Roman" w:hAnsi="Times New Roman"/>
                <w:sz w:val="14"/>
                <w:szCs w:val="14"/>
                <w:color w:val="auto"/>
              </w:rPr>
              <w:t>(2)(7)</w:t>
            </w:r>
          </w:p>
        </w:tc>
        <w:tc>
          <w:tcPr>
            <w:tcW w:w="1580" w:type="dxa"/>
            <w:vAlign w:val="bottom"/>
            <w:tcBorders>
              <w:bottom w:val="single" w:sz="8" w:color="auto"/>
              <w:right w:val="single" w:sz="8" w:color="auto"/>
            </w:tcBorders>
          </w:tcPr>
          <w:p>
            <w:pPr>
              <w:jc w:val="center"/>
              <w:ind w:left="1"/>
              <w:spacing w:after="0" w:line="205" w:lineRule="exact"/>
              <w:rPr>
                <w:sz w:val="20"/>
                <w:szCs w:val="20"/>
                <w:color w:val="auto"/>
              </w:rPr>
            </w:pPr>
            <w:r>
              <w:rPr>
                <w:rFonts w:ascii="Times New Roman" w:cs="Times New Roman" w:eastAsia="Times New Roman" w:hAnsi="Times New Roman"/>
                <w:sz w:val="18"/>
                <w:szCs w:val="18"/>
                <w:color w:val="auto"/>
                <w:w w:val="96"/>
              </w:rPr>
              <w:t>38,533,271</w:t>
            </w:r>
          </w:p>
        </w:tc>
        <w:tc>
          <w:tcPr>
            <w:tcW w:w="1580" w:type="dxa"/>
            <w:vAlign w:val="bottom"/>
            <w:tcBorders>
              <w:bottom w:val="single" w:sz="8" w:color="auto"/>
              <w:right w:val="single" w:sz="8" w:color="auto"/>
            </w:tcBorders>
          </w:tcPr>
          <w:p>
            <w:pPr>
              <w:jc w:val="center"/>
              <w:ind w:left="4"/>
              <w:spacing w:after="0" w:line="205" w:lineRule="exact"/>
              <w:rPr>
                <w:sz w:val="20"/>
                <w:szCs w:val="20"/>
                <w:color w:val="auto"/>
              </w:rPr>
            </w:pPr>
            <w:r>
              <w:rPr>
                <w:rFonts w:ascii="Times New Roman" w:cs="Times New Roman" w:eastAsia="Times New Roman" w:hAnsi="Times New Roman"/>
                <w:sz w:val="18"/>
                <w:szCs w:val="18"/>
                <w:color w:val="auto"/>
              </w:rPr>
              <w:t>$11.50</w:t>
            </w:r>
            <w:r>
              <w:rPr>
                <w:rFonts w:ascii="Times New Roman" w:cs="Times New Roman" w:eastAsia="Times New Roman" w:hAnsi="Times New Roman"/>
                <w:sz w:val="14"/>
                <w:szCs w:val="14"/>
                <w:color w:val="auto"/>
              </w:rPr>
              <w:t>(6)</w:t>
            </w:r>
          </w:p>
        </w:tc>
        <w:tc>
          <w:tcPr>
            <w:tcW w:w="2120" w:type="dxa"/>
            <w:vAlign w:val="bottom"/>
            <w:tcBorders>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$443,132,616.50</w:t>
            </w:r>
            <w:r>
              <w:rPr>
                <w:rFonts w:ascii="Times New Roman" w:cs="Times New Roman" w:eastAsia="Times New Roman" w:hAnsi="Times New Roman"/>
                <w:sz w:val="14"/>
                <w:szCs w:val="14"/>
                <w:color w:val="auto"/>
              </w:rPr>
              <w:t>(6)</w:t>
            </w:r>
          </w:p>
        </w:tc>
        <w:tc>
          <w:tcPr>
            <w:tcW w:w="1540" w:type="dxa"/>
            <w:vAlign w:val="bottom"/>
            <w:tcBorders>
              <w:bottom w:val="single" w:sz="8" w:color="auto"/>
            </w:tcBorders>
          </w:tcPr>
          <w:p>
            <w:pPr>
              <w:jc w:val="center"/>
              <w:ind w:left="18"/>
              <w:spacing w:after="0" w:line="205" w:lineRule="exact"/>
              <w:rPr>
                <w:sz w:val="20"/>
                <w:szCs w:val="20"/>
                <w:color w:val="auto"/>
              </w:rPr>
            </w:pPr>
            <w:r>
              <w:rPr>
                <w:rFonts w:ascii="Times New Roman" w:cs="Times New Roman" w:eastAsia="Times New Roman" w:hAnsi="Times New Roman"/>
                <w:sz w:val="18"/>
                <w:szCs w:val="18"/>
                <w:color w:val="auto"/>
                <w:w w:val="98"/>
              </w:rPr>
              <w:t>$48,345.77</w:t>
            </w:r>
          </w:p>
        </w:tc>
        <w:tc>
          <w:tcPr>
            <w:tcW w:w="0" w:type="dxa"/>
            <w:vAlign w:val="bottom"/>
          </w:tcPr>
          <w:p>
            <w:pPr>
              <w:spacing w:after="0"/>
              <w:rPr>
                <w:sz w:val="1"/>
                <w:szCs w:val="1"/>
                <w:color w:val="auto"/>
              </w:rPr>
            </w:pPr>
          </w:p>
        </w:tc>
      </w:tr>
      <w:tr>
        <w:trPr>
          <w:trHeight w:val="205"/>
        </w:trPr>
        <w:tc>
          <w:tcPr>
            <w:tcW w:w="4420" w:type="dxa"/>
            <w:vAlign w:val="bottom"/>
            <w:tcBorders>
              <w:bottom w:val="single" w:sz="8" w:color="auto"/>
              <w:right w:val="single" w:sz="8" w:color="auto"/>
            </w:tcBorders>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jc w:val="center"/>
              <w:ind w:left="3"/>
              <w:spacing w:after="0" w:line="205" w:lineRule="exact"/>
              <w:rPr>
                <w:sz w:val="20"/>
                <w:szCs w:val="20"/>
                <w:color w:val="auto"/>
              </w:rPr>
            </w:pPr>
            <w:r>
              <w:rPr>
                <w:rFonts w:ascii="Times New Roman" w:cs="Times New Roman" w:eastAsia="Times New Roman" w:hAnsi="Times New Roman"/>
                <w:sz w:val="18"/>
                <w:szCs w:val="18"/>
                <w:color w:val="auto"/>
                <w:w w:val="97"/>
              </w:rPr>
              <w:t>$4,959,149,058.22</w:t>
            </w:r>
          </w:p>
        </w:tc>
        <w:tc>
          <w:tcPr>
            <w:tcW w:w="154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$254,745.85</w:t>
            </w:r>
            <w:r>
              <w:rPr>
                <w:rFonts w:ascii="Times New Roman" w:cs="Times New Roman" w:eastAsia="Times New Roman" w:hAnsi="Times New Roman"/>
                <w:sz w:val="14"/>
                <w:szCs w:val="14"/>
                <w:color w:val="auto"/>
                <w:w w:val="99"/>
              </w:rPr>
              <w:t>(8)</w:t>
            </w:r>
          </w:p>
        </w:tc>
        <w:tc>
          <w:tcPr>
            <w:tcW w:w="0" w:type="dxa"/>
            <w:vAlign w:val="bottom"/>
          </w:tcPr>
          <w:p>
            <w:pPr>
              <w:spacing w:after="0"/>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20" w:hanging="454"/>
        <w:spacing w:after="0" w:line="262"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consummation of the Merger described in the prospectus forming part of this registration statement (the “prospectus”), Social Capital Hedosophia Holdings Corp. III, a Cayman Islands exempted company (“SCH”), effected a deregistration under the Cayman Islands Companies Law (2020 Revision) and a domestication under Section 388 of the Delaware General Corporation Law, pursuant to which SCH’s jurisdiction of incorporation was changed from the Cayman Islands to the State of Delaware (the “Domestication”), and was renamed “Clover Health Investments, Corp.” (“Clover Health”), as further described in the prospectus. All securities being registered were or will be issued by Clover Health.</w:t>
      </w:r>
    </w:p>
    <w:p>
      <w:pPr>
        <w:spacing w:after="0" w:line="2" w:lineRule="exact"/>
        <w:rPr>
          <w:rFonts w:ascii="Times New Roman" w:cs="Times New Roman" w:eastAsia="Times New Roman" w:hAnsi="Times New Roman"/>
          <w:sz w:val="17"/>
          <w:szCs w:val="17"/>
          <w:color w:val="auto"/>
        </w:rPr>
      </w:pPr>
    </w:p>
    <w:p>
      <w:pPr>
        <w:ind w:left="460" w:right="460" w:hanging="454"/>
        <w:spacing w:after="0" w:line="24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there are also being registered an indeterminable number of additional securities as may be issued to prevent dilution resulting from stock splits, stock dividends or similar transactions.</w:t>
      </w:r>
    </w:p>
    <w:p>
      <w:pPr>
        <w:ind w:left="460" w:right="80" w:hanging="454"/>
        <w:spacing w:after="0" w:line="24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being registered represents the sum of (a) 203,181,835 shares of Class A common stock issued in or reserved for issuance upon the conversion of Class B common stock issued in connection with the Business Combination described herein, (b) 40,000,000 shares of Class A common stock issued to certain qualified institutional buyers and accredited investors in private placements consummated in connection with the Business Combination, (c) 16,548,512 shares of Class B common stock reserved for issuance upon the conversion of Class B common stock issuable upon exercise of options to purchase Class B common stock and (d) 44,173,855 shares of Class B common stock reserved for issuance upon the conversion of Class B common stock issuable upon settlement of restricted stock units.</w:t>
      </w:r>
    </w:p>
    <w:p>
      <w:pPr>
        <w:spacing w:after="0" w:line="1" w:lineRule="exact"/>
        <w:rPr>
          <w:rFonts w:ascii="Times New Roman" w:cs="Times New Roman" w:eastAsia="Times New Roman" w:hAnsi="Times New Roman"/>
          <w:sz w:val="18"/>
          <w:szCs w:val="18"/>
          <w:color w:val="auto"/>
        </w:rPr>
      </w:pPr>
    </w:p>
    <w:p>
      <w:pPr>
        <w:ind w:left="460" w:right="260" w:hanging="454"/>
        <w:spacing w:after="0" w:line="24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based on the average of the high and low prices of the Class A ordinary shares of SCH on the Nasdaq Global Select Market (“Nasdaq”) on January 12, 2021 (such date being within five business days of the date that this registration statement was first filed with the SEC). This calculation is in accordance with Rule 457(c) of the Securities Act.</w:t>
      </w:r>
    </w:p>
    <w:p>
      <w:pPr>
        <w:ind w:left="460" w:hanging="454"/>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fee due in accordance with Rule 457(g).</w:t>
      </w:r>
    </w:p>
    <w:p>
      <w:pPr>
        <w:spacing w:after="0" w:line="4"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457(g) under the Securities Act, based on the exercise price of the warrants.</w:t>
      </w:r>
    </w:p>
    <w:p>
      <w:pPr>
        <w:spacing w:after="0" w:line="4" w:lineRule="exact"/>
        <w:rPr>
          <w:rFonts w:ascii="Times New Roman" w:cs="Times New Roman" w:eastAsia="Times New Roman" w:hAnsi="Times New Roman"/>
          <w:sz w:val="18"/>
          <w:szCs w:val="18"/>
          <w:color w:val="auto"/>
        </w:rPr>
      </w:pPr>
    </w:p>
    <w:p>
      <w:pPr>
        <w:ind w:left="460" w:right="120" w:hanging="454"/>
        <w:spacing w:after="0" w:line="24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shares of common stock that may be issued upon exercise of outstanding warrants, with each warrant exercisable for one share of common stock, subject to adjustment, for an exercise price of $11.50 per share.</w:t>
      </w:r>
    </w:p>
    <w:p>
      <w:pPr>
        <w:ind w:left="460" w:right="300" w:hanging="454"/>
        <w:spacing w:after="0" w:line="24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457(p) under the Securities Act, the registrant is offsetting the registration fee due under this registration statement by $286,297.31, which represents the portion of the registration fee previously paid with respect to securities that had previously been included in the registrant’s registration statement on Form S-4 (Registration Statement No. 333-249558) initially filed on October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215900</wp:posOffset>
            </wp:positionV>
            <wp:extent cx="1494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178435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FF4338"/>
        </w:rPr>
        <w:t>Subject to Completion. Dated January 13,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19050</wp:posOffset>
            </wp:positionV>
            <wp:extent cx="1678940" cy="915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8940" cy="91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41"/>
          <w:szCs w:val="41"/>
          <w:b w:val="1"/>
          <w:bCs w:val="1"/>
          <w:color w:val="auto"/>
        </w:rPr>
        <w:t>Clover Health Investments, Corp.</w:t>
      </w:r>
    </w:p>
    <w:p>
      <w:pPr>
        <w:spacing w:after="0" w:line="7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b w:val="1"/>
          <w:bCs w:val="1"/>
          <w:color w:val="auto"/>
        </w:rPr>
        <w:t>303,904,202 Shares of Class A Common Stock</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b w:val="1"/>
          <w:bCs w:val="1"/>
          <w:color w:val="auto"/>
        </w:rPr>
        <w:t>10,933,333 Warrants to Purchase Shares of Class A Common Stock</w:t>
      </w:r>
    </w:p>
    <w:p>
      <w:pPr>
        <w:ind w:left="2620"/>
        <w:spacing w:after="0"/>
        <w:rPr>
          <w:sz w:val="20"/>
          <w:szCs w:val="20"/>
          <w:color w:val="auto"/>
        </w:rPr>
      </w:pPr>
      <w:r>
        <w:rPr>
          <w:rFonts w:ascii="Times New Roman" w:cs="Times New Roman" w:eastAsia="Times New Roman" w:hAnsi="Times New Roman"/>
          <w:sz w:val="21"/>
          <w:szCs w:val="21"/>
          <w:b w:val="1"/>
          <w:bCs w:val="1"/>
          <w:color w:val="auto"/>
        </w:rPr>
        <w:t>38,533,271 Shares of Class A Common Stock 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151130</wp:posOffset>
            </wp:positionV>
            <wp:extent cx="1494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32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6"/>
          <w:szCs w:val="16"/>
          <w:color w:val="auto"/>
        </w:rPr>
        <w:t>This prospectus relates to the offer and sale from time to time by the selling securityholders named in this prospectus (the “Selling Securityholders”) of (A) up to 314,837,535 shares of Class A common stock, par value $0.0001 per share (“Class A common stock”), consisting of (i) up to 40,000,000 shares of Class A common stock (the “PIPE shares”) issued in a private placement pursuant to subscription agreements entered into on October 5, 2020 (the “PIPE Investment”); (ii) up to 20,700,000 shares of Class A common stock (the “founder shares”) issued upon consummation of the Business Combination (defined below), in exchange for shares of our Class A ordinary shares originally issued in a private placement to SCH Sponsor III LLC (the “Sponsor”) and subsequently distributed to the previous independent directors of Social Capital Hedosophia Holdings Corp. III, a Cayman Islands exempted Company (“SCH”); (iii) up to 182,481,835 shares of Class A common stock reserved for issuance by us upon conversion of Class B common stock held by certain of our affiliates, including our officers, directors and greater than 10% stockholders, and their affiliated entities; (iv) up to 16,548,512 shares of Class A common stock reserved for issuance by us upon conversion of Class B common stock issuable upon exercise of options to purchase Class B common stock; (v) up to 44,173,855 shares of Class A common stock reserved for issuance by us upon conversion of Class B common stock issuable upon settlement of restricted stock units; and (vi) up to 10,933,333 shares of Class A common stock upon exercise of warrants to purchase shares of Class A common stock (the “private placement warrants”) originally issued in a private placement to the Sponsor, and (B) up to 10,933,333 private placement warrants.</w:t>
      </w:r>
    </w:p>
    <w:p>
      <w:pPr>
        <w:spacing w:after="0" w:line="86" w:lineRule="exact"/>
        <w:rPr>
          <w:sz w:val="20"/>
          <w:szCs w:val="20"/>
          <w:color w:val="auto"/>
        </w:rPr>
      </w:pPr>
    </w:p>
    <w:p>
      <w:pPr>
        <w:ind w:right="360" w:firstLine="449"/>
        <w:spacing w:after="0" w:line="289" w:lineRule="auto"/>
        <w:rPr>
          <w:sz w:val="20"/>
          <w:szCs w:val="20"/>
          <w:color w:val="auto"/>
        </w:rPr>
      </w:pPr>
      <w:r>
        <w:rPr>
          <w:rFonts w:ascii="Times New Roman" w:cs="Times New Roman" w:eastAsia="Times New Roman" w:hAnsi="Times New Roman"/>
          <w:sz w:val="16"/>
          <w:szCs w:val="16"/>
          <w:color w:val="auto"/>
        </w:rPr>
        <w:t>In addition, this prospectus relates to the offer and sale of up to 27,599,938 shares of Class A common stock that are issuable by us upon the exercise of 27,599,938 warrants (the “public warrants” and, together with the private placement warrants, the “warrants”) that were previously registered.</w:t>
      </w:r>
    </w:p>
    <w:p>
      <w:pPr>
        <w:spacing w:after="0" w:line="59"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5"/>
          <w:szCs w:val="15"/>
          <w:color w:val="auto"/>
        </w:rPr>
        <w:t>On January 7, 2021, we consummated the transactions contemplated by that certain Agreement and Plan of Merger, dated as of October 5, 2020 (as amended, the “Merger Agreement”), by and among SCH, Asclepius Merger Sub Inc., a Delaware corporation and a direct wholly owned subsidiary of SCH (“Merger Sub”), and Clover Health Investments, Corp., a Delaware corporation (“Clover”). As contemplated by the Merger Agreement, 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continues as a Delaware corporation (the “Domestication”). Further, on January 7, 2021, as contemplated by the Merger Agreement, SCH consummated the merger transactions contemplated by the Merger Agreement, whereby (x) Merger Sub merged with and into Clover, the separate corporate existence of Merger Sub ceasing and Clover became the surviving corporation and a wholly owned subsidiary of Clover Health (the “First Merger”) and (y) Clover merged with and into SCH, the separate corporate existence of Clover ceasing and SCH became the surviving corporation, changing its name to “Clover Health Investments, Corp.” (“Clover Health”) (together with the First Merger, the “Mergers”, and collectively with the “Domestication,” the “Business Combination”).</w:t>
      </w:r>
    </w:p>
    <w:p>
      <w:pPr>
        <w:spacing w:after="0" w:line="73"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6"/>
          <w:szCs w:val="16"/>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Class A common stock or warrants, except with respect to amounts received by us upon the exercise of the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Class A common stock or warrants.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beginning on page 195 of this prospectus.</w:t>
      </w:r>
    </w:p>
    <w:p>
      <w:pPr>
        <w:spacing w:after="0" w:line="78" w:lineRule="exact"/>
        <w:rPr>
          <w:sz w:val="20"/>
          <w:szCs w:val="20"/>
          <w:color w:val="auto"/>
        </w:rPr>
      </w:pPr>
    </w:p>
    <w:p>
      <w:pPr>
        <w:jc w:val="both"/>
        <w:ind w:right="40" w:firstLine="449"/>
        <w:spacing w:after="0" w:line="324" w:lineRule="auto"/>
        <w:rPr>
          <w:sz w:val="20"/>
          <w:szCs w:val="20"/>
          <w:color w:val="auto"/>
        </w:rPr>
      </w:pPr>
      <w:r>
        <w:rPr>
          <w:rFonts w:ascii="Times New Roman" w:cs="Times New Roman" w:eastAsia="Times New Roman" w:hAnsi="Times New Roman"/>
          <w:sz w:val="15"/>
          <w:szCs w:val="15"/>
          <w:color w:val="auto"/>
        </w:rPr>
        <w:t>Our Class A common stock and public warrants are listed on the Nasdaq Global Select Market (“Nasdaq”) under the symbols “CLOV” and “CLOVW,” respectively. On January 12, 2021, the last reported sales price of our Class A common stock was $14.62 per share and the last reported sales price of our public warrants was $3.34 per warrant.</w:t>
      </w:r>
    </w:p>
    <w:p>
      <w:pPr>
        <w:spacing w:after="0" w:line="37" w:lineRule="exact"/>
        <w:rPr>
          <w:sz w:val="20"/>
          <w:szCs w:val="20"/>
          <w:color w:val="auto"/>
        </w:rPr>
      </w:pPr>
    </w:p>
    <w:p>
      <w:pPr>
        <w:ind w:right="140" w:firstLine="449"/>
        <w:spacing w:after="0" w:line="289" w:lineRule="auto"/>
        <w:rPr>
          <w:sz w:val="20"/>
          <w:szCs w:val="20"/>
          <w:color w:val="auto"/>
        </w:rPr>
      </w:pPr>
      <w:r>
        <w:rPr>
          <w:rFonts w:ascii="Times New Roman" w:cs="Times New Roman" w:eastAsia="Times New Roman" w:hAnsi="Times New Roman"/>
          <w:sz w:val="16"/>
          <w:szCs w:val="16"/>
          <w:color w:val="auto"/>
        </w:rPr>
        <w:t>We are an “emerging growth company” as defined in Section 2(a) of the Securities Act of 1933, as amended, and, as such, have elected to comply with certain reduced disclosure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96520</wp:posOffset>
            </wp:positionV>
            <wp:extent cx="1494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189" w:lineRule="exact"/>
        <w:rPr>
          <w:sz w:val="20"/>
          <w:szCs w:val="20"/>
          <w:color w:val="auto"/>
        </w:rPr>
      </w:pPr>
    </w:p>
    <w:p>
      <w:pPr>
        <w:ind w:right="240" w:firstLine="449"/>
        <w:spacing w:after="0" w:line="27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w:t>
      </w:r>
      <w:hyperlink w:anchor="page17">
        <w:r>
          <w:rPr>
            <w:rFonts w:ascii="Times New Roman" w:cs="Times New Roman" w:eastAsia="Times New Roman" w:hAnsi="Times New Roman"/>
            <w:sz w:val="18"/>
            <w:szCs w:val="18"/>
            <w:b w:val="1"/>
            <w:bCs w:val="1"/>
            <w:i w:val="1"/>
            <w:iCs w:val="1"/>
            <w:u w:val="single" w:color="auto"/>
            <w:color w:val="0000EE"/>
          </w:rPr>
          <w:t>Risk Factors</w:t>
        </w:r>
      </w:hyperlink>
      <w:r>
        <w:rPr>
          <w:rFonts w:ascii="Times New Roman" w:cs="Times New Roman" w:eastAsia="Times New Roman" w:hAnsi="Times New Roman"/>
          <w:sz w:val="18"/>
          <w:szCs w:val="18"/>
          <w:b w:val="1"/>
          <w:bCs w:val="1"/>
          <w:i w:val="1"/>
          <w:iCs w:val="1"/>
          <w:color w:val="auto"/>
        </w:rPr>
        <w:t>” beginning on page 9 of this prospectus to read about factors you should consider before buying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107315</wp:posOffset>
            </wp:positionV>
            <wp:extent cx="1494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13" w:lineRule="exact"/>
        <w:rPr>
          <w:sz w:val="20"/>
          <w:szCs w:val="20"/>
          <w:color w:val="auto"/>
        </w:rPr>
      </w:pPr>
    </w:p>
    <w:p>
      <w:pPr>
        <w:ind w:right="320" w:firstLine="449"/>
        <w:spacing w:after="0" w:line="29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6" w:lineRule="exact"/>
        <w:rPr>
          <w:sz w:val="20"/>
          <w:szCs w:val="20"/>
          <w:color w:val="auto"/>
        </w:rPr>
      </w:pPr>
    </w:p>
    <w:tbl>
      <w:tblPr>
        <w:tblLayout w:type="fixed"/>
        <w:tblInd w:w="4000" w:type="dxa"/>
        <w:tblCellMar>
          <w:top w:w="0" w:type="dxa"/>
          <w:left w:w="0" w:type="dxa"/>
          <w:bottom w:w="0" w:type="dxa"/>
          <w:right w:w="0" w:type="dxa"/>
        </w:tblCellMar>
      </w:tblP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2021.</w:t>
            </w:r>
          </w:p>
        </w:tc>
      </w:tr>
    </w:tbl>
    <w:p>
      <w:pPr>
        <w:sectPr>
          <w:pgSz w:w="11900" w:h="16838" w:orient="portrait"/>
          <w:cols w:equalWidth="0" w:num="1">
            <w:col w:w="11200"/>
          </w:cols>
          <w:pgMar w:left="320" w:top="450" w:right="3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78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ABOUT THIS PROSPECTUS</w:t>
              </w:r>
            </w:hyperlink>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6"/>
        </w:trPr>
        <w:tc>
          <w:tcPr>
            <w:tcW w:w="1078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MARKET AND INDUSTRY DATA</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CAUTIONARY NOTE REGARDING FORWARD-LOOKING STATEMENTS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DETERMINATION OF OFFERING PRICE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MARKET INFORMATION FOR CLASS A COMMON STOCK AND DIVIDEND POLICY</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SELECTED HISTORICAL FINANCIAL INFORMATION OF SCH</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SELECTED HISTORICAL FINANCIAL INFORMATION OF CLOVER</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SELECTED UNAUDITED PRO FORMA CONDENSED COMBINED FINANCIAL INFORMATION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UNAUDITED PRO FORMA CONDENSED COMBINED FINANCIAL INFORMATION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BUSINESS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MANAGEMENT</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CLOVER’s EXECUTIVE COMPENSATION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177">
              <w:r>
                <w:rPr>
                  <w:rFonts w:ascii="Times New Roman" w:cs="Times New Roman" w:eastAsia="Times New Roman" w:hAnsi="Times New Roman"/>
                  <w:sz w:val="18"/>
                  <w:szCs w:val="18"/>
                  <w:u w:val="single" w:color="auto"/>
                  <w:color w:val="0000EE"/>
                </w:rPr>
                <w:t>CERTAIN RELATIONSHIPS AND RELATED PERSON TRANSACTIONS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PRINCIPAL AND SELLING SECURITYHOLDERS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DESCRIPTION OF SECURITIES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SECURITIES ACT RESTRICTIONS ON RESALE OF OUR SECURITIES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PLAN OF DISTRIBUTION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205">
              <w:r>
                <w:rPr>
                  <w:rFonts w:ascii="Times New Roman" w:cs="Times New Roman" w:eastAsia="Times New Roman" w:hAnsi="Times New Roman"/>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205">
              <w:r>
                <w:rPr>
                  <w:rFonts w:ascii="Times New Roman" w:cs="Times New Roman" w:eastAsia="Times New Roman" w:hAnsi="Times New Roman"/>
                  <w:sz w:val="18"/>
                  <w:szCs w:val="18"/>
                  <w:u w:val="single" w:color="auto"/>
                  <w:color w:val="0000EE"/>
                </w:rPr>
                <w:t>EXPERTS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205">
              <w:r>
                <w:rPr>
                  <w:rFonts w:ascii="Times New Roman" w:cs="Times New Roman" w:eastAsia="Times New Roman" w:hAnsi="Times New Roman"/>
                  <w:sz w:val="18"/>
                  <w:szCs w:val="18"/>
                  <w:u w:val="single" w:color="auto"/>
                  <w:color w:val="0000EE"/>
                </w:rPr>
                <w:t>WHERE YOU CAN FIND MORE INFORMATION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2"/>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SOCIAL CAPITAL HEDOSOPHIA HOLDINGS CORP. III INDEX TO FINANCIAL STATEMENTS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29"/>
        </w:trPr>
        <w:tc>
          <w:tcPr>
            <w:tcW w:w="10780" w:type="dxa"/>
            <w:vAlign w:val="bottom"/>
          </w:tcPr>
          <w:p>
            <w:pPr>
              <w:spacing w:after="0"/>
              <w:rPr>
                <w:rFonts w:ascii="Times New Roman" w:cs="Times New Roman" w:eastAsia="Times New Roman" w:hAnsi="Times New Roman"/>
                <w:sz w:val="18"/>
                <w:szCs w:val="18"/>
                <w:u w:val="single" w:color="auto"/>
                <w:color w:val="0000EE"/>
              </w:rPr>
            </w:pPr>
            <w:hyperlink w:anchor="page242">
              <w:r>
                <w:rPr>
                  <w:rFonts w:ascii="Times New Roman" w:cs="Times New Roman" w:eastAsia="Times New Roman" w:hAnsi="Times New Roman"/>
                  <w:sz w:val="18"/>
                  <w:szCs w:val="18"/>
                  <w:u w:val="single" w:color="auto"/>
                  <w:color w:val="0000EE"/>
                </w:rPr>
                <w:t>CLOVER HEALTH INVESTMENTS, CORP. INDEX TO FINANCIAL STATEMENTS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F-37</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450"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18"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the exercise of any warrants. We will receive proceeds from any exercise of the warrants for cash.</w:t>
      </w:r>
    </w:p>
    <w:p>
      <w:pPr>
        <w:spacing w:after="0" w:line="187"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87"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80" w:firstLine="449"/>
        <w:spacing w:after="0" w:line="253"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“Clover Health,” “we,” “us,” “our” and similar terms refer to Clover Health Investments, Corp. (f/k/a Social Capital Hedosophia Holdings Corp. III) and its consolidated subsidiaries. References to “SCH” refer to our predecessor company prior to the consummation of the Business Combination (the “Closing,” and such date of the consummation of the Business Combination, the “Closing Date”). References to “Clover” refer to Clover Health Investments, Corp. prior to the Closing.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450"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18"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This prospectus contains estimates and information concerning our industry, our business, and the market for our products and solutions,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and other factors could cause results to differ materially from those expressed in these publications and reports.</w:t>
      </w:r>
    </w:p>
    <w:p>
      <w:pPr>
        <w:spacing w:after="0" w:line="193" w:lineRule="exact"/>
        <w:rPr>
          <w:sz w:val="20"/>
          <w:szCs w:val="20"/>
          <w:color w:val="auto"/>
        </w:rPr>
      </w:pPr>
    </w:p>
    <w:p>
      <w:pPr>
        <w:ind w:right="280" w:firstLine="449"/>
        <w:spacing w:after="0" w:line="270"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industry publications or reports that have been prepared by independent third parties:</w:t>
      </w:r>
    </w:p>
    <w:p>
      <w:pPr>
        <w:spacing w:after="0" w:line="76" w:lineRule="exact"/>
        <w:rPr>
          <w:sz w:val="20"/>
          <w:szCs w:val="20"/>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L.E.K. Consulting LLC, Executive Insights: Key Drivers Behind Continued Medicare Advantage Penetration, June 2019;</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Prophet and GE Healthcare Camden Group, The State of Consumer Healthcare: A Study of Patient Experience, March 2016; The</w:t>
      </w:r>
    </w:p>
    <w:p>
      <w:pPr>
        <w:spacing w:after="0" w:line="22"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Commonwealth Fund, Mirror, Mirror on the Wall: How the Performance of the U.S. Health Care System Compares Internationally, June 2014;</w:t>
      </w:r>
    </w:p>
    <w:p>
      <w:pPr>
        <w:spacing w:after="0" w:line="11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Academies Press, Best Care at Lower Cost: The Path to Continuously Learning Health Care in America, 2013;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publicly available reports.</w:t>
      </w:r>
    </w:p>
    <w:p>
      <w:pPr>
        <w:spacing w:after="0" w:line="216"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Throughout this prospectus, all references to “Net Promoter Score” or “NPS” are to a standardized tool that is widely used across various industries to measure customer satisfaction. It is calculated by asking customers to answer, on a 0 - 10 scale, “How likely is it that you would recommend [brand] to a friend or colleague?” Respondents who provide a score of 9 or 10 are designated “Promoters”, those who provide a score of 7 or 8 are designated “Passive,” and those who provide a score of 0 to 6 are “Detractors.” The overall Net Promoter Score is then calculated by subtracting the percentage of Detractors from the percentage of Promoters. We use this metric to determine how providers are responding to the Clover Assistant. Through provider surveys, administered initially through email and now directly through the Clover Assistant we ask the provider to rank, on a scale of one to 10, how likely the provider would be to recommend the Clover Assistant to a friend. We believe that this metric is meaningful for investors because of the correlation between Net Promoter Score and provider satisfaction.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450" w:right="3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8" w:lineRule="exact"/>
        <w:rPr>
          <w:sz w:val="20"/>
          <w:szCs w:val="20"/>
          <w:color w:val="auto"/>
        </w:rPr>
      </w:pPr>
    </w:p>
    <w:p>
      <w:pPr>
        <w:ind w:right="40" w:firstLine="449"/>
        <w:spacing w:after="0" w:line="247"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“would,” “expect,”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include, but are not limited to, statements about:</w:t>
      </w:r>
    </w:p>
    <w:p>
      <w:pPr>
        <w:spacing w:after="0" w:line="99" w:lineRule="exact"/>
        <w:rPr>
          <w:sz w:val="20"/>
          <w:szCs w:val="20"/>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results of operations, financial condition and cash flows;</w:t>
      </w:r>
    </w:p>
    <w:p>
      <w:pPr>
        <w:spacing w:after="0" w:line="123" w:lineRule="exact"/>
        <w:rPr>
          <w:rFonts w:ascii="Times New Roman" w:cs="Times New Roman" w:eastAsia="Times New Roman" w:hAnsi="Times New Roman"/>
          <w:sz w:val="18"/>
          <w:szCs w:val="18"/>
          <w:color w:val="auto"/>
        </w:rPr>
      </w:pPr>
    </w:p>
    <w:p>
      <w:pPr>
        <w:ind w:left="1000" w:right="220" w:hanging="439"/>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Business Combination, which may be affected by, among other things, competition and our ability to manage our growth following the Business Combination;</w:t>
      </w:r>
    </w:p>
    <w:p>
      <w:pPr>
        <w:spacing w:after="0" w:line="76" w:lineRule="exact"/>
        <w:rPr>
          <w:rFonts w:ascii="Times New Roman" w:cs="Times New Roman" w:eastAsia="Times New Roman" w:hAnsi="Times New Roman"/>
          <w:sz w:val="18"/>
          <w:szCs w:val="18"/>
          <w:color w:val="auto"/>
        </w:rPr>
      </w:pPr>
    </w:p>
    <w:p>
      <w:pPr>
        <w:ind w:left="1000" w:right="900" w:hanging="439"/>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the listing of our Class A common stock and our public warrants on Nasdaq following the Business Combination;</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23" w:lineRule="exact"/>
        <w:rPr>
          <w:rFonts w:ascii="Times New Roman" w:cs="Times New Roman" w:eastAsia="Times New Roman" w:hAnsi="Times New Roman"/>
          <w:sz w:val="18"/>
          <w:szCs w:val="18"/>
          <w:color w:val="auto"/>
        </w:rPr>
      </w:pPr>
    </w:p>
    <w:p>
      <w:pPr>
        <w:ind w:left="1000" w:right="100" w:hanging="439"/>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the Clover Assistant platform, including our ability to utilize the platform to manage medical costs of our members;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expansion of our business;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member base and provider network;</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adoption and use of the Clover Assistant;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uncertainties related to the global COVID-19 pandemic on our business, results of operations, and financial condition;</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and</w:t>
      </w:r>
    </w:p>
    <w:p>
      <w:pPr>
        <w:spacing w:after="0" w:line="123" w:lineRule="exact"/>
        <w:rPr>
          <w:rFonts w:ascii="Times New Roman" w:cs="Times New Roman" w:eastAsia="Times New Roman" w:hAnsi="Times New Roman"/>
          <w:sz w:val="18"/>
          <w:szCs w:val="18"/>
          <w:color w:val="auto"/>
        </w:rPr>
      </w:pPr>
    </w:p>
    <w:p>
      <w:pPr>
        <w:ind w:left="1000" w:right="640" w:hanging="439"/>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societal and economic impact of the COVID-19 pandemic, and geopolitical uncertainty and instability.</w:t>
      </w:r>
    </w:p>
    <w:p>
      <w:pPr>
        <w:spacing w:after="0" w:line="16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You should not rely upon forward-looking statements as predictions of future events. The events and circumstances reflected in the forward-looking statements may not be achieved or occur. Although we believe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80"/>
          </w:cols>
          <w:pgMar w:left="320" w:top="450" w:right="3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7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80"/>
          </w:cols>
          <w:pgMar w:left="320" w:top="450" w:right="4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39305" cy="6174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61741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6" w:lineRule="exact"/>
        <w:rPr>
          <w:sz w:val="20"/>
          <w:szCs w:val="20"/>
          <w:color w:val="auto"/>
        </w:rPr>
      </w:pPr>
    </w:p>
    <w:p>
      <w:pPr>
        <w:ind w:left="200" w:firstLine="435"/>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related notes and the sections titled “Risk Factors” and “Management’s Discussion and Analysis of Financial Condition and Results of Operations.” included elsewhere in this prospectus.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12" w:lineRule="exact"/>
        <w:rPr>
          <w:sz w:val="20"/>
          <w:szCs w:val="20"/>
          <w:color w:val="auto"/>
        </w:rPr>
      </w:pPr>
    </w:p>
    <w:p>
      <w:pPr>
        <w:ind w:left="200" w:right="20" w:firstLine="435"/>
        <w:spacing w:after="0" w:line="264" w:lineRule="auto"/>
        <w:rPr>
          <w:sz w:val="20"/>
          <w:szCs w:val="20"/>
          <w:color w:val="auto"/>
        </w:rPr>
      </w:pPr>
      <w:r>
        <w:rPr>
          <w:rFonts w:ascii="Times New Roman" w:cs="Times New Roman" w:eastAsia="Times New Roman" w:hAnsi="Times New Roman"/>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insurer, we leverage our flagship software platform, the Clover Assistant, to provide America’s seniors with PPO and HMO plans that are the obvious choice for Medicare-eligible consumers. We call our plans “Obvious” because we believe they are highly affordable—offering most of our members the lowest average out-of-pocket costs for PCP co-pays, specialist co-pays, drug deductibles and drug costs in their markets—and provide peace of mind with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Today, we have the highest membership growth rate among Medicare Advantage plans in the United States with over 50,000 members, based on CMS enrollment data, and reach a broad array of consumers, including traditionally underserved populations. We believe our growth potential in existing and future markets is high.</w:t>
      </w:r>
    </w:p>
    <w:p>
      <w:pPr>
        <w:spacing w:after="0" w:line="176" w:lineRule="exact"/>
        <w:rPr>
          <w:sz w:val="20"/>
          <w:szCs w:val="20"/>
          <w:color w:val="auto"/>
        </w:rPr>
      </w:pPr>
    </w:p>
    <w:p>
      <w:pPr>
        <w:ind w:left="200" w:right="240" w:firstLine="435"/>
        <w:spacing w:after="0" w:line="253" w:lineRule="auto"/>
        <w:rPr>
          <w:sz w:val="20"/>
          <w:szCs w:val="20"/>
          <w:color w:val="auto"/>
        </w:rPr>
      </w:pPr>
      <w:r>
        <w:rPr>
          <w:rFonts w:ascii="Times New Roman" w:cs="Times New Roman" w:eastAsia="Times New Roman" w:hAnsi="Times New Roman"/>
          <w:sz w:val="18"/>
          <w:szCs w:val="18"/>
          <w:color w:val="auto"/>
        </w:rPr>
        <w:t>Like successful technology innovators in other sectors, we are seeking to disrupt our industry from within by building a technology-centric ecosystem, enabling rapid software iteration and dramatic value creation. Our internally-developed technology platform could have been built only because we operate it ourselves, within our own MA plan. This approach uniquely positions us to close the healthcare feedback loop with technology, linking clinical data and physician action.</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Clover Assistant enables us to succeed via a scalable technology-driven virtuous growth cycle:</w:t>
      </w:r>
    </w:p>
    <w:p>
      <w:pPr>
        <w:spacing w:after="0" w:line="124" w:lineRule="exact"/>
        <w:rPr>
          <w:sz w:val="20"/>
          <w:szCs w:val="20"/>
          <w:color w:val="auto"/>
        </w:rPr>
      </w:pPr>
    </w:p>
    <w:p>
      <w:pPr>
        <w:ind w:left="1160" w:right="460" w:hanging="427"/>
        <w:spacing w:after="0" w:line="270"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broadly disseminate the Clover Assistant free-of-charge to primary care physicians (“PCPs”) who use it at the point of care while treating our members.</w:t>
      </w:r>
    </w:p>
    <w:p>
      <w:pPr>
        <w:spacing w:after="0" w:line="76" w:lineRule="exact"/>
        <w:rPr>
          <w:rFonts w:ascii="Times New Roman" w:cs="Times New Roman" w:eastAsia="Times New Roman" w:hAnsi="Times New Roman"/>
          <w:sz w:val="18"/>
          <w:szCs w:val="18"/>
          <w:color w:val="auto"/>
        </w:rPr>
      </w:pPr>
    </w:p>
    <w:p>
      <w:pPr>
        <w:ind w:left="1160" w:right="420" w:hanging="427"/>
        <w:spacing w:after="0" w:line="258"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Clover Assistant provides essential information and personalized care recommendations to PCPs, driving real-time, data-driven decision-making, which results in better care for our members and strong plan performance. Powered by its closed feedback loop, our platform continuously improves as we collect more data from growth in engagement and continue to iterate.</w:t>
      </w:r>
    </w:p>
    <w:p>
      <w:pPr>
        <w:spacing w:after="0" w:line="85" w:lineRule="exact"/>
        <w:rPr>
          <w:rFonts w:ascii="Times New Roman" w:cs="Times New Roman" w:eastAsia="Times New Roman" w:hAnsi="Times New Roman"/>
          <w:sz w:val="18"/>
          <w:szCs w:val="18"/>
          <w:color w:val="auto"/>
        </w:rPr>
      </w:pPr>
    </w:p>
    <w:p>
      <w:pPr>
        <w:ind w:left="1160" w:right="200" w:hanging="427"/>
        <w:spacing w:after="0" w:line="270"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our improved plan economics into lowering our members’ out-of-pocket costs while improving their benefits, including broad freedom of choice in selecting their physicians.</w:t>
      </w:r>
    </w:p>
    <w:p>
      <w:pPr>
        <w:spacing w:after="0" w:line="76" w:lineRule="exact"/>
        <w:rPr>
          <w:rFonts w:ascii="Times New Roman" w:cs="Times New Roman" w:eastAsia="Times New Roman" w:hAnsi="Times New Roman"/>
          <w:sz w:val="18"/>
          <w:szCs w:val="18"/>
          <w:color w:val="auto"/>
        </w:rPr>
      </w:pPr>
    </w:p>
    <w:p>
      <w:pPr>
        <w:ind w:left="1160" w:right="200" w:hanging="427"/>
        <w:spacing w:after="0" w:line="270"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our improved plan economics into lowering our members’ out-of-pocket costs while improving their benefits, including broad freedom of choice in selecting their physicians.</w:t>
      </w:r>
    </w:p>
    <w:p>
      <w:pPr>
        <w:spacing w:after="0" w:line="76" w:lineRule="exact"/>
        <w:rPr>
          <w:rFonts w:ascii="Times New Roman" w:cs="Times New Roman" w:eastAsia="Times New Roman" w:hAnsi="Times New Roman"/>
          <w:sz w:val="18"/>
          <w:szCs w:val="18"/>
          <w:color w:val="auto"/>
        </w:rPr>
      </w:pPr>
    </w:p>
    <w:p>
      <w:pPr>
        <w:ind w:left="1160" w:right="180" w:hanging="427"/>
        <w:spacing w:after="0" w:line="258"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drive strong, industry-leading organic membership growth, as compared to other MA plans with over 50,000 members, as consumers select our “Obvious” plans and receive care from physicians on the Clover Assistant, generating broader usage of the platform and thus restarting the cycle.</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succeeded with this approach in our established markets and seek to replicate it in all markets that we enter.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320" w:top="450" w:right="5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39305" cy="5393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305" cy="53936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0" w:right="20" w:firstLine="435"/>
        <w:spacing w:after="0" w:line="266" w:lineRule="auto"/>
        <w:rPr>
          <w:sz w:val="20"/>
          <w:szCs w:val="20"/>
          <w:color w:val="auto"/>
        </w:rPr>
      </w:pPr>
      <w:r>
        <w:rPr>
          <w:rFonts w:ascii="Times New Roman" w:cs="Times New Roman" w:eastAsia="Times New Roman" w:hAnsi="Times New Roman"/>
          <w:sz w:val="17"/>
          <w:szCs w:val="17"/>
          <w:color w:val="auto"/>
        </w:rPr>
        <w:t>We drive adoption and use of the Clover Assistant across our PCP network by focusing on continuously improving its user-centric design, highly actionable and real-time clinical content, enhanced and rapid payment for Clover Assistant visits and simple onboarding. As of September 30, 2020, over 2,300 PCPs, who already treat our members and are responsible for caring for 65% of our total membership, had contracted to use the Clover Assistant to manage our members’ care. In addition, the Clover Assistant delights physicians, as evidenced by our positive NPS of 59 for the six months ended September 30, 2020. The Clover Assistant’s NPS is comparable to those of leading consumer technology platforms, such as Netflix and Amazon, and stands in stark contrast to the average negative NPS of -44 of legacy medical record software products, including EHRs such as athenahealth, Epic or NextGen, in 2016. Additionally, onboarded physicians are highly engaged, using the Clover Assistant for 92% of their member visits in 2019.</w:t>
      </w:r>
    </w:p>
    <w:p>
      <w:pPr>
        <w:spacing w:after="0" w:line="175" w:lineRule="exact"/>
        <w:rPr>
          <w:sz w:val="20"/>
          <w:szCs w:val="20"/>
          <w:color w:val="auto"/>
        </w:rPr>
      </w:pPr>
    </w:p>
    <w:p>
      <w:pPr>
        <w:ind w:left="200" w:firstLine="435"/>
        <w:spacing w:after="0" w:line="247" w:lineRule="auto"/>
        <w:rPr>
          <w:sz w:val="20"/>
          <w:szCs w:val="20"/>
          <w:color w:val="auto"/>
        </w:rPr>
      </w:pPr>
      <w:r>
        <w:rPr>
          <w:rFonts w:ascii="Times New Roman" w:cs="Times New Roman" w:eastAsia="Times New Roman" w:hAnsi="Times New Roman"/>
          <w:sz w:val="18"/>
          <w:szCs w:val="18"/>
          <w:color w:val="auto"/>
        </w:rPr>
        <w:t>High PCP engagement with the Clover Assistant enables real-time, data-driven decision-making for our members at the point of care and drives rapid software iteration: the more that physicians use the Clover Assistant, the more it learns and furthers the precision of personalized data-driven recommendations. We combine our payor data with physician-generated data and use this powerful closed feedback loop to continuously tune our clinical rules and machine learning models, as well as to select and prioritize future software capabilities. On average, we have released an updated version once every three weeks since the launch of the Clover Assistant in July 2018. The use and continuous improvement of the Clover Assistant has resulted in not only improved clinical decision-making but also strong plan performance, which is evident in improvements to our MCR, a measure defined as our total net medical claims expenses incurred divided by premiums earned. We use MCR to assess gross profit for our plans and reduce medical expenses through the use of the Clover Assistant. For the three and twelve months ended March 31, 2020, our MCR for returning members with a PCP who used the Clover Assistant was 82.0% and 85.6%, respectively, which was on average, 1,100 and 730 basis points lower, respectively, than the MCR for returning members with a PCP who did not use the Clover Assistant. These MCRs already take into account our attractive plan design, so if we were to offer narrow-network plans at competitor benefits, we believe our MCR would be significantly better. The platform also facilitates identifying and engaging with our most at-risk members for our many clinical programs designed to provide additional targeted care support, which further drives better plan performance. For example, since the inception of our in-home complex care program on May 1, 2017, until March 31, 2020, inpatient admissions and the MCR of the 1,061 program enrollees were 12% and 1,900 basis points lower, respectively, than the admissions and MCR of 716 people in a matched control group.</w:t>
      </w:r>
    </w:p>
    <w:p>
      <w:pPr>
        <w:spacing w:after="0" w:line="189" w:lineRule="exact"/>
        <w:rPr>
          <w:sz w:val="20"/>
          <w:szCs w:val="20"/>
          <w:color w:val="auto"/>
        </w:rPr>
      </w:pPr>
    </w:p>
    <w:p>
      <w:pPr>
        <w:ind w:left="200" w:right="20" w:firstLine="435"/>
        <w:spacing w:after="0" w:line="248" w:lineRule="auto"/>
        <w:rPr>
          <w:sz w:val="20"/>
          <w:szCs w:val="20"/>
          <w:color w:val="auto"/>
        </w:rPr>
      </w:pPr>
      <w:r>
        <w:rPr>
          <w:rFonts w:ascii="Times New Roman" w:cs="Times New Roman" w:eastAsia="Times New Roman" w:hAnsi="Times New Roman"/>
          <w:sz w:val="18"/>
          <w:szCs w:val="18"/>
          <w:color w:val="auto"/>
        </w:rPr>
        <w:t>As the improved care made possible by the Clover Assistant results in improved plan economics, we are able to return a material portion of our savings to members through our “Obvious” plans. We strive to continuously lower our members’ out-of-pocket costs and provide them with market-leading benefits. Most of our members are enrolled in plans that offer the lowest average out-of-pocket costs for PCP co-pays, specialist co-pays, drug deductibles and drug costs in their markets while also providing peace of mind with broad network access and with the same in- and out-of-network costs for physician visits. For example, based on a company analysis that assumes a lifetime of seven years on Medicare, we estimate that our highest enrolled plan offers a 17% average lifetime cost savings compared to the highest enrolled MA competitor plan in our five largest markets. Likewise, based on a similar company analysis, we estimate that our highest enrolled plan offers a 41% average lifetime cost savings compared to Original Medicare, taking into account the Kaiser Family Foundation’s reported average Original Medicare enrollee’s out-of-pocket spending on medical and long-term care services in 2016.</w:t>
      </w:r>
    </w:p>
    <w:p>
      <w:pPr>
        <w:spacing w:after="0" w:line="190" w:lineRule="exact"/>
        <w:rPr>
          <w:sz w:val="20"/>
          <w:szCs w:val="20"/>
          <w:color w:val="auto"/>
        </w:rPr>
      </w:pPr>
    </w:p>
    <w:p>
      <w:pPr>
        <w:ind w:left="200" w:firstLine="435"/>
        <w:spacing w:after="0" w:line="253" w:lineRule="auto"/>
        <w:rPr>
          <w:sz w:val="20"/>
          <w:szCs w:val="20"/>
          <w:color w:val="auto"/>
        </w:rPr>
      </w:pPr>
      <w:r>
        <w:rPr>
          <w:rFonts w:ascii="Times New Roman" w:cs="Times New Roman" w:eastAsia="Times New Roman" w:hAnsi="Times New Roman"/>
          <w:sz w:val="18"/>
          <w:szCs w:val="18"/>
          <w:color w:val="auto"/>
        </w:rPr>
        <w:t>As a result of our “Obvious” plans, we have achieved significant organic membership growth. Our membership has expanded from 30,677 as of January 1, 2018, to 57,503 as of September 30, 2020, representing 25% share of the individual, non-SNP MA market in our established markets, which we define as markets where an insurer has over 500 members as of the end of the prior year. This expansion has largely been driven by our nation-leading established market take rate, which has averaged more than 50% over the past three years across 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0"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39305" cy="579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579628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0"/>
        <w:spacing w:after="0" w:line="263" w:lineRule="auto"/>
        <w:rPr>
          <w:sz w:val="20"/>
          <w:szCs w:val="20"/>
          <w:color w:val="auto"/>
        </w:rPr>
      </w:pPr>
      <w:r>
        <w:rPr>
          <w:rFonts w:ascii="Times New Roman" w:cs="Times New Roman" w:eastAsia="Times New Roman" w:hAnsi="Times New Roman"/>
          <w:sz w:val="17"/>
          <w:szCs w:val="17"/>
          <w:color w:val="auto"/>
        </w:rPr>
        <w:t>group of counties in New Jersey that grew from eight to 13 over the period. Established market take rate is derived from publicly available CMS data and represents the number of members gained by an insurer as a percentage of the total number of incremental MA members added to comparable plans in established markets. This rapid growth generated a 59.1% increase in our total revenues from $290.6 million for the year ended December 31, 2018, to $462.3 million for the year ended December 31, 2019, and our gross premiums earned, before the impact of premiums ceded to third party reinsurers under reinsurance agreements, grew 29.4%, from $353.9 million to $457.8 million over the same period. For the nine months ended September 30, 2020, our total revenues were $506.7 million and gross premiums earned were $501.5 million as compared to $347.0 million in total revenues and</w:t>
      </w:r>
    </w:p>
    <w:p>
      <w:pPr>
        <w:spacing w:after="0" w:line="1" w:lineRule="exact"/>
        <w:rPr>
          <w:sz w:val="20"/>
          <w:szCs w:val="20"/>
          <w:color w:val="auto"/>
        </w:rPr>
      </w:pPr>
    </w:p>
    <w:p>
      <w:pPr>
        <w:ind w:left="200" w:right="60"/>
        <w:spacing w:after="0" w:line="245" w:lineRule="auto"/>
        <w:rPr>
          <w:sz w:val="20"/>
          <w:szCs w:val="20"/>
          <w:color w:val="auto"/>
        </w:rPr>
      </w:pPr>
      <w:r>
        <w:rPr>
          <w:rFonts w:ascii="Times New Roman" w:cs="Times New Roman" w:eastAsia="Times New Roman" w:hAnsi="Times New Roman"/>
          <w:sz w:val="18"/>
          <w:szCs w:val="18"/>
          <w:color w:val="auto"/>
        </w:rPr>
        <w:t>$344.3 million in gross premiums earned for the nine months ended September 30, 2019, in each case, representing a 46% increase. During 2018 and 2019, we also built the infrastructure to deliver on a more efficient healthcare experience for our members, resulting in net losses of $(201.9) million and $(363.7) million for the years ended December 31, 2018 and 2019. For the years ended December 31, 2018 and 2019, our adjusted EBITDA was</w:t>
      </w:r>
    </w:p>
    <w:p>
      <w:pPr>
        <w:spacing w:after="0" w:line="1" w:lineRule="exact"/>
        <w:rPr>
          <w:sz w:val="20"/>
          <w:szCs w:val="20"/>
          <w:color w:val="auto"/>
        </w:rPr>
      </w:pPr>
    </w:p>
    <w:p>
      <w:pPr>
        <w:ind w:left="200" w:right="160"/>
        <w:spacing w:after="0" w:line="246" w:lineRule="auto"/>
        <w:rPr>
          <w:sz w:val="20"/>
          <w:szCs w:val="20"/>
          <w:color w:val="auto"/>
        </w:rPr>
      </w:pPr>
      <w:r>
        <w:rPr>
          <w:rFonts w:ascii="Times New Roman" w:cs="Times New Roman" w:eastAsia="Times New Roman" w:hAnsi="Times New Roman"/>
          <w:sz w:val="18"/>
          <w:szCs w:val="18"/>
          <w:color w:val="auto"/>
        </w:rPr>
        <w:t>$(177.1) million and $(175.5) million, respectively, and our Adjusted EBITDA Margin was (50.1)% and (38.3)%, respectively. For the nine months ended September 30, 2020, our net loss was $(10.0) million, our adjusted EBITDA was $(11.0) million and our Adjusted EBITDA Margin was (2.2)%. Our improved results in the current year were the result of operational execution as well as reduced utilization of healthcare services as a result of COVID-19. Adjusted EBITDA and Adjusted EBITDA Margin are financial measures not presented in accordance with GAAP. See the section entitled “</w:t>
      </w:r>
      <w:r>
        <w:rPr>
          <w:rFonts w:ascii="Times New Roman" w:cs="Times New Roman" w:eastAsia="Times New Roman" w:hAnsi="Times New Roman"/>
          <w:sz w:val="18"/>
          <w:szCs w:val="18"/>
          <w:i w:val="1"/>
          <w:iCs w:val="1"/>
          <w:color w:val="auto"/>
        </w:rPr>
        <w:t>Selected Historical Financial Information of Clover—Certain Non-GAAP Financial Measures</w:t>
      </w:r>
      <w:r>
        <w:rPr>
          <w:rFonts w:ascii="Times New Roman" w:cs="Times New Roman" w:eastAsia="Times New Roman" w:hAnsi="Times New Roman"/>
          <w:sz w:val="18"/>
          <w:szCs w:val="18"/>
          <w:color w:val="auto"/>
        </w:rPr>
        <w:t>” for information regarding the limitations of using Adjusted EBITDA and Adjusted EBITDA Margin as financial measures and for a reconciliation of Adjusted EBITDA to net loss, the most directly comparable financial measure calculated in accordance with GAAP.</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2" w:lineRule="exact"/>
        <w:rPr>
          <w:sz w:val="20"/>
          <w:szCs w:val="20"/>
          <w:color w:val="auto"/>
        </w:rPr>
      </w:pPr>
    </w:p>
    <w:p>
      <w:pPr>
        <w:ind w:left="200" w:right="80" w:firstLine="435"/>
        <w:spacing w:after="0" w:line="253" w:lineRule="auto"/>
        <w:rPr>
          <w:sz w:val="20"/>
          <w:szCs w:val="20"/>
          <w:color w:val="auto"/>
        </w:rPr>
      </w:pPr>
      <w:r>
        <w:rPr>
          <w:rFonts w:ascii="Times New Roman" w:cs="Times New Roman" w:eastAsia="Times New Roman" w:hAnsi="Times New Roman"/>
          <w:sz w:val="18"/>
          <w:szCs w:val="18"/>
          <w:color w:val="auto"/>
        </w:rPr>
        <w:t>We were incorporated in October 18, 2019 as a special purpose acquisition company and a Cayman Islands exempted company under the name Social Capital Hedosophia Holdings Corp. III. On April 24, 2020, SCH completed its initial public offering. On January 7, 2021, SCH consummated the Business Combination with Clover pursuant to the Merger Agreement. In connection with the Business Combination, SCH changed its name to Clover Health Investments, Corp.</w:t>
      </w:r>
    </w:p>
    <w:p>
      <w:pPr>
        <w:spacing w:after="0" w:line="185" w:lineRule="exact"/>
        <w:rPr>
          <w:sz w:val="20"/>
          <w:szCs w:val="20"/>
          <w:color w:val="auto"/>
        </w:rPr>
      </w:pPr>
    </w:p>
    <w:p>
      <w:pPr>
        <w:jc w:val="both"/>
        <w:ind w:left="200" w:right="180" w:firstLine="435"/>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725 Cool Springs Boulevard, Suite 320, Franklin, Tennessee 37067. Our telephone number is (201) 432-2133. Our website address is www.cloverhealth.com. Information contained on our website or connected thereto does not constitute part of, and is not incorporated by reference into, this prospectus or the registration statement of which it forms a part.</w:t>
      </w:r>
    </w:p>
    <w:p>
      <w:pPr>
        <w:spacing w:after="0" w:line="179" w:lineRule="exact"/>
        <w:rPr>
          <w:sz w:val="20"/>
          <w:szCs w:val="20"/>
          <w:color w:val="auto"/>
        </w:rPr>
      </w:pPr>
    </w:p>
    <w:p>
      <w:pPr>
        <w:ind w:left="200" w:right="40" w:firstLine="435"/>
        <w:spacing w:after="0" w:line="251" w:lineRule="auto"/>
        <w:rPr>
          <w:sz w:val="20"/>
          <w:szCs w:val="20"/>
          <w:color w:val="auto"/>
        </w:rPr>
      </w:pPr>
      <w:r>
        <w:rPr>
          <w:rFonts w:ascii="Times New Roman" w:cs="Times New Roman" w:eastAsia="Times New Roman" w:hAnsi="Times New Roman"/>
          <w:sz w:val="18"/>
          <w:szCs w:val="18"/>
          <w:color w:val="auto"/>
        </w:rPr>
        <w:t xml:space="preserve">Clover Health, the Clover Health logo, the Clover Assistant and our other registered or common law trademarks, tradenames and service marks appearing in this prospectus are our property. Solely for convenience, our trademarks, tradenames and service marks referred to in this prospectus appear without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and SM symbols, but those references are not intended to indicate, in any way, that we will not assert, to the fullest extent under applicable law, our rights to these trademarks and tradenames. This prospectus contains additional trademarks, tradenames and service marks of other companies that are the property of their respective owners.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12" w:lineRule="exact"/>
        <w:rPr>
          <w:sz w:val="20"/>
          <w:szCs w:val="20"/>
          <w:color w:val="auto"/>
        </w:rPr>
      </w:pPr>
    </w:p>
    <w:p>
      <w:pPr>
        <w:ind w:left="200" w:right="600" w:firstLine="435"/>
        <w:spacing w:after="0" w:line="300" w:lineRule="auto"/>
        <w:rPr>
          <w:sz w:val="20"/>
          <w:szCs w:val="20"/>
          <w:color w:val="auto"/>
        </w:rPr>
      </w:pPr>
      <w:r>
        <w:rPr>
          <w:rFonts w:ascii="Times New Roman" w:cs="Times New Roman" w:eastAsia="Times New Roman" w:hAnsi="Times New Roman"/>
          <w:sz w:val="17"/>
          <w:szCs w:val="17"/>
          <w:color w:val="auto"/>
        </w:rPr>
        <w:t>Investors, the media, and others should note that we announce material information to the public through filings with the SEC, the investor relations page on our website, blog posts on our website, press releases, public conference calls, webcasts, our twitter feed (@Clover_Health).</w:t>
      </w:r>
    </w:p>
    <w:p>
      <w:pPr>
        <w:spacing w:after="0" w:line="146" w:lineRule="exact"/>
        <w:rPr>
          <w:sz w:val="20"/>
          <w:szCs w:val="20"/>
          <w:color w:val="auto"/>
        </w:rPr>
      </w:pPr>
    </w:p>
    <w:p>
      <w:pPr>
        <w:ind w:left="200" w:right="40" w:firstLine="435"/>
        <w:spacing w:after="0" w:line="270"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450" w:right="5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39305" cy="4083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305" cy="40836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0" w:right="320" w:firstLine="435"/>
        <w:spacing w:after="0" w:line="270"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2" w:lineRule="exact"/>
        <w:rPr>
          <w:sz w:val="20"/>
          <w:szCs w:val="20"/>
          <w:color w:val="auto"/>
        </w:rPr>
      </w:pPr>
    </w:p>
    <w:p>
      <w:pPr>
        <w:ind w:left="200" w:right="220" w:firstLine="435"/>
        <w:spacing w:after="0" w:line="258" w:lineRule="auto"/>
        <w:rPr>
          <w:sz w:val="20"/>
          <w:szCs w:val="20"/>
          <w:color w:val="auto"/>
        </w:rPr>
      </w:pPr>
      <w:r>
        <w:rPr>
          <w:rFonts w:ascii="Times New Roman" w:cs="Times New Roman" w:eastAsia="Times New Roman" w:hAnsi="Times New Roman"/>
          <w:sz w:val="18"/>
          <w:szCs w:val="18"/>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86" w:lineRule="exact"/>
        <w:rPr>
          <w:sz w:val="20"/>
          <w:szCs w:val="20"/>
          <w:color w:val="auto"/>
        </w:rPr>
      </w:pPr>
    </w:p>
    <w:p>
      <w:pPr>
        <w:ind w:left="1160" w:hanging="427"/>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compliance with the auditor attestation requirement on the effectiveness of our internal control over financial reporting;</w:t>
      </w:r>
    </w:p>
    <w:p>
      <w:pPr>
        <w:spacing w:after="0" w:line="135" w:lineRule="exact"/>
        <w:rPr>
          <w:rFonts w:ascii="Times New Roman" w:cs="Times New Roman" w:eastAsia="Times New Roman" w:hAnsi="Times New Roman"/>
          <w:sz w:val="17"/>
          <w:szCs w:val="17"/>
          <w:color w:val="auto"/>
        </w:rPr>
      </w:pPr>
    </w:p>
    <w:p>
      <w:pPr>
        <w:ind w:left="1160" w:right="620" w:hanging="427"/>
        <w:spacing w:after="0" w:line="270"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requirement that the Public Company Accounting Oversight Board may adopt regarding a supplement to the auditor’s report providing additional information about the audit and the financial statements;</w:t>
      </w:r>
    </w:p>
    <w:p>
      <w:pPr>
        <w:spacing w:after="0" w:line="76" w:lineRule="exact"/>
        <w:rPr>
          <w:rFonts w:ascii="Times New Roman" w:cs="Times New Roman" w:eastAsia="Times New Roman" w:hAnsi="Times New Roman"/>
          <w:sz w:val="18"/>
          <w:szCs w:val="18"/>
          <w:color w:val="auto"/>
        </w:rPr>
      </w:pPr>
    </w:p>
    <w:p>
      <w:pPr>
        <w:ind w:left="1160" w:hanging="427"/>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23" w:lineRule="exact"/>
        <w:rPr>
          <w:rFonts w:ascii="Times New Roman" w:cs="Times New Roman" w:eastAsia="Times New Roman" w:hAnsi="Times New Roman"/>
          <w:sz w:val="18"/>
          <w:szCs w:val="18"/>
          <w:color w:val="auto"/>
        </w:rPr>
      </w:pPr>
    </w:p>
    <w:p>
      <w:pPr>
        <w:ind w:left="1160" w:right="320" w:hanging="427"/>
        <w:spacing w:after="0" w:line="270"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requirements to obtain a non-binding advisory vote on executive compensation or a stockholder approval of any golden parachute arrangements.</w:t>
      </w:r>
    </w:p>
    <w:p>
      <w:pPr>
        <w:spacing w:after="0" w:line="169" w:lineRule="exact"/>
        <w:rPr>
          <w:sz w:val="20"/>
          <w:szCs w:val="20"/>
          <w:color w:val="auto"/>
        </w:rPr>
      </w:pPr>
    </w:p>
    <w:p>
      <w:pPr>
        <w:ind w:left="200" w:firstLine="435"/>
        <w:spacing w:after="0" w:line="250"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benefits under the JOBS Act. Accordingly, the information contained herein may be different from the information you receive from other public companies in which you hold stock. Further,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187" w:lineRule="exact"/>
        <w:rPr>
          <w:sz w:val="20"/>
          <w:szCs w:val="20"/>
          <w:color w:val="auto"/>
        </w:rPr>
      </w:pPr>
    </w:p>
    <w:p>
      <w:pPr>
        <w:ind w:left="200" w:right="20" w:firstLine="435"/>
        <w:spacing w:after="0" w:line="253"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December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50" w:right="5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39305" cy="5695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305" cy="56959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4" w:lineRule="exact"/>
        <w:rPr>
          <w:sz w:val="20"/>
          <w:szCs w:val="20"/>
          <w:color w:val="auto"/>
        </w:rPr>
      </w:pPr>
    </w:p>
    <w:p>
      <w:pPr>
        <w:ind w:left="200"/>
        <w:spacing w:after="0"/>
        <w:tabs>
          <w:tab w:leader="none" w:pos="428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Clover Health Investments, Corp. (f/k/a Social Capital Hedosophia Holdings Corp. III).</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pacing w:after="0" w:line="200" w:lineRule="exact"/>
        <w:rPr>
          <w:sz w:val="20"/>
          <w:szCs w:val="20"/>
          <w:color w:val="auto"/>
        </w:rPr>
      </w:pPr>
    </w:p>
    <w:p>
      <w:pPr>
        <w:spacing w:after="0" w:line="256" w:lineRule="exact"/>
        <w:rPr>
          <w:sz w:val="20"/>
          <w:szCs w:val="20"/>
          <w:color w:val="auto"/>
        </w:rPr>
      </w:pPr>
    </w:p>
    <w:p>
      <w:pPr>
        <w:ind w:left="200"/>
        <w:spacing w:after="0"/>
        <w:tabs>
          <w:tab w:leader="none" w:pos="4280" w:val="left"/>
        </w:tabs>
        <w:rPr>
          <w:sz w:val="20"/>
          <w:szCs w:val="20"/>
          <w:color w:val="auto"/>
        </w:rPr>
      </w:pPr>
      <w:r>
        <w:rPr>
          <w:rFonts w:ascii="Times New Roman" w:cs="Times New Roman" w:eastAsia="Times New Roman" w:hAnsi="Times New Roman"/>
          <w:sz w:val="18"/>
          <w:szCs w:val="18"/>
          <w:color w:val="auto"/>
        </w:rPr>
        <w:t>Shares of Class A common stock offered by us</w:t>
      </w:r>
      <w:r>
        <w:rPr>
          <w:sz w:val="20"/>
          <w:szCs w:val="20"/>
          <w:color w:val="auto"/>
        </w:rPr>
        <w:tab/>
      </w:r>
      <w:r>
        <w:rPr>
          <w:rFonts w:ascii="Times New Roman" w:cs="Times New Roman" w:eastAsia="Times New Roman" w:hAnsi="Times New Roman"/>
          <w:sz w:val="17"/>
          <w:szCs w:val="17"/>
          <w:color w:val="auto"/>
        </w:rPr>
        <w:t>281,737,535 shares, consisting of:</w:t>
      </w:r>
    </w:p>
    <w:p>
      <w:pPr>
        <w:spacing w:after="0" w:line="137" w:lineRule="exact"/>
        <w:rPr>
          <w:sz w:val="20"/>
          <w:szCs w:val="20"/>
          <w:color w:val="auto"/>
        </w:rPr>
      </w:pPr>
    </w:p>
    <w:p>
      <w:pPr>
        <w:ind w:left="4680"/>
        <w:spacing w:after="0"/>
        <w:tabs>
          <w:tab w:leader="none" w:pos="4940" w:val="left"/>
        </w:tabs>
        <w:rPr>
          <w:sz w:val="20"/>
          <w:szCs w:val="20"/>
          <w:color w:val="auto"/>
        </w:rPr>
      </w:pPr>
      <w:r>
        <w:rPr>
          <w:rFonts w:ascii="Times New Roman" w:cs="Times New Roman" w:eastAsia="Times New Roman" w:hAnsi="Times New Roman"/>
          <w:sz w:val="18"/>
          <w:szCs w:val="18"/>
          <w:color w:val="auto"/>
        </w:rPr>
        <w:t>•</w:t>
        <w:tab/>
        <w:t>182,481,835 shares of Class A common stock reserved for issuance by us upon</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conversion of Class B common stock held by certain of our affiliates, including our</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officers, directors and greater than 10% stockholders, and their affiliated entities;</w:t>
      </w:r>
    </w:p>
    <w:p>
      <w:pPr>
        <w:spacing w:after="0" w:line="106" w:lineRule="exact"/>
        <w:rPr>
          <w:sz w:val="20"/>
          <w:szCs w:val="20"/>
          <w:color w:val="auto"/>
        </w:rPr>
      </w:pPr>
    </w:p>
    <w:p>
      <w:pPr>
        <w:ind w:left="4680"/>
        <w:spacing w:after="0"/>
        <w:tabs>
          <w:tab w:leader="none" w:pos="4940" w:val="left"/>
        </w:tabs>
        <w:rPr>
          <w:sz w:val="20"/>
          <w:szCs w:val="20"/>
          <w:color w:val="auto"/>
        </w:rPr>
      </w:pPr>
      <w:r>
        <w:rPr>
          <w:rFonts w:ascii="Times New Roman" w:cs="Times New Roman" w:eastAsia="Times New Roman" w:hAnsi="Times New Roman"/>
          <w:sz w:val="18"/>
          <w:szCs w:val="18"/>
          <w:color w:val="auto"/>
        </w:rPr>
        <w:t>•</w:t>
        <w:tab/>
        <w:t>16,548,512 shares of Class A common stock reserved for issuance by us upon</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conversion of Class B common stock issuable upon exercise of options to purchase</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Class B common stock;</w:t>
      </w:r>
    </w:p>
    <w:p>
      <w:pPr>
        <w:spacing w:after="0" w:line="106" w:lineRule="exact"/>
        <w:rPr>
          <w:sz w:val="20"/>
          <w:szCs w:val="20"/>
          <w:color w:val="auto"/>
        </w:rPr>
      </w:pPr>
    </w:p>
    <w:p>
      <w:pPr>
        <w:ind w:left="4680"/>
        <w:spacing w:after="0"/>
        <w:tabs>
          <w:tab w:leader="none" w:pos="4940" w:val="left"/>
        </w:tabs>
        <w:rPr>
          <w:sz w:val="20"/>
          <w:szCs w:val="20"/>
          <w:color w:val="auto"/>
        </w:rPr>
      </w:pPr>
      <w:r>
        <w:rPr>
          <w:rFonts w:ascii="Times New Roman" w:cs="Times New Roman" w:eastAsia="Times New Roman" w:hAnsi="Times New Roman"/>
          <w:sz w:val="18"/>
          <w:szCs w:val="18"/>
          <w:color w:val="auto"/>
        </w:rPr>
        <w:t>•</w:t>
        <w:tab/>
        <w:t>44,173,855 shares of Class A common stock reserved for issuance by us upon</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conversion of Class B common stock issuable upon settlement of restricted stock</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units; and</w:t>
      </w:r>
    </w:p>
    <w:p>
      <w:pPr>
        <w:spacing w:after="0" w:line="106" w:lineRule="exact"/>
        <w:rPr>
          <w:sz w:val="20"/>
          <w:szCs w:val="20"/>
          <w:color w:val="auto"/>
        </w:rPr>
      </w:pPr>
    </w:p>
    <w:p>
      <w:pPr>
        <w:jc w:val="both"/>
        <w:ind w:left="4680"/>
        <w:spacing w:after="0"/>
        <w:tabs>
          <w:tab w:leader="none" w:pos="4940" w:val="left"/>
        </w:tabs>
        <w:rPr>
          <w:sz w:val="20"/>
          <w:szCs w:val="20"/>
          <w:color w:val="auto"/>
        </w:rPr>
      </w:pPr>
      <w:r>
        <w:rPr>
          <w:rFonts w:ascii="Times New Roman" w:cs="Times New Roman" w:eastAsia="Times New Roman" w:hAnsi="Times New Roman"/>
          <w:sz w:val="18"/>
          <w:szCs w:val="18"/>
          <w:color w:val="auto"/>
        </w:rPr>
        <w:t>•</w:t>
        <w:tab/>
        <w:t>38,533,271 shares of Class A common stock issuable upon exercise of the warrants,</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consisting of (i) 27,599,938 shares of Class A common stock that are issuable upon</w:t>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exercise of the public warrants and (ii) 10,933,333 shares of Class A common</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stock that are issuable upon the exercise of the private placement warrants.</w:t>
      </w:r>
    </w:p>
    <w:p>
      <w:pPr>
        <w:sectPr>
          <w:pgSz w:w="11900" w:h="16838" w:orient="portrait"/>
          <w:cols w:equalWidth="0" w:num="1">
            <w:col w:w="10940"/>
          </w:cols>
          <w:pgMar w:left="320" w:top="450" w:right="639" w:bottom="1440" w:gutter="0" w:footer="0" w:header="0"/>
        </w:sectPr>
      </w:pPr>
    </w:p>
    <w:p>
      <w:pPr>
        <w:spacing w:after="0" w:line="225" w:lineRule="exact"/>
        <w:rPr>
          <w:sz w:val="20"/>
          <w:szCs w:val="20"/>
          <w:color w:val="auto"/>
        </w:rPr>
      </w:pPr>
    </w:p>
    <w:p>
      <w:pPr>
        <w:ind w:left="280" w:hanging="80"/>
        <w:spacing w:after="0" w:line="258" w:lineRule="auto"/>
        <w:rPr>
          <w:sz w:val="20"/>
          <w:szCs w:val="20"/>
          <w:color w:val="auto"/>
        </w:rPr>
      </w:pPr>
      <w:r>
        <w:rPr>
          <w:rFonts w:ascii="Times New Roman" w:cs="Times New Roman" w:eastAsia="Times New Roman" w:hAnsi="Times New Roman"/>
          <w:sz w:val="18"/>
          <w:szCs w:val="18"/>
          <w:color w:val="auto"/>
        </w:rPr>
        <w:t>Shares of Class A common stock outstanding prior to exercise of all warrants and stock options and settlement of restricted stock units</w:t>
      </w:r>
    </w:p>
    <w:p>
      <w:pPr>
        <w:spacing w:after="0" w:line="218" w:lineRule="exact"/>
        <w:rPr>
          <w:sz w:val="20"/>
          <w:szCs w:val="20"/>
          <w:color w:val="auto"/>
        </w:rPr>
      </w:pPr>
    </w:p>
    <w:p>
      <w:pPr>
        <w:ind w:left="280" w:hanging="80"/>
        <w:spacing w:after="0" w:line="258" w:lineRule="auto"/>
        <w:rPr>
          <w:sz w:val="20"/>
          <w:szCs w:val="20"/>
          <w:color w:val="auto"/>
        </w:rPr>
      </w:pPr>
      <w:r>
        <w:rPr>
          <w:rFonts w:ascii="Times New Roman" w:cs="Times New Roman" w:eastAsia="Times New Roman" w:hAnsi="Times New Roman"/>
          <w:sz w:val="18"/>
          <w:szCs w:val="18"/>
          <w:color w:val="auto"/>
        </w:rPr>
        <w:t>Shares of Class B common stock outstanding prior to exercise of all warrants and stock options and settlement of restricted stock units</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Exercise price of warrants</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143,475,108 shares (as of January 7,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260,965,701 shares (as of January 7,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adjustments as described herein</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$443.1 million from the exercise of the warrants, assuming the exercise in full of all of the warrants for cash. We expect to use the net proceeds from the exercise of the warrants for general corporate purposes. See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260" w:space="40"/>
            <w:col w:w="6640"/>
          </w:cols>
          <w:pgMar w:left="320" w:top="450" w:right="6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940"/>
          </w:cols>
          <w:pgMar w:left="320" w:top="450" w:right="639" w:bottom="1440" w:gutter="0" w:footer="0" w:header="0"/>
          <w:type w:val="continuous"/>
        </w:sectPr>
      </w:pPr>
    </w:p>
    <w:bookmarkStart w:id="13" w:name="page14"/>
    <w:bookmarkEnd w:id="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212725</wp:posOffset>
            </wp:positionV>
            <wp:extent cx="7139305" cy="5577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5577840"/>
                    </a:xfrm>
                    <a:prstGeom prst="rect">
                      <a:avLst/>
                    </a:prstGeom>
                    <a:noFill/>
                  </pic:spPr>
                </pic:pic>
              </a:graphicData>
            </a:graphic>
          </wp:anchor>
        </w:drawing>
      </w:r>
    </w:p>
    <w:p>
      <w:pPr>
        <w:sectPr>
          <w:pgSz w:w="11900" w:h="16838" w:orient="portrait"/>
          <w:cols w:equalWidth="0" w:num="1">
            <w:col w:w="11040"/>
          </w:cols>
          <w:pgMar w:left="320" w:top="450" w:right="5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Resale of Class A common stock and warrants</w:t>
      </w:r>
    </w:p>
    <w:p>
      <w:pPr>
        <w:spacing w:after="0" w:line="256" w:lineRule="exact"/>
        <w:rPr>
          <w:sz w:val="20"/>
          <w:szCs w:val="20"/>
          <w:color w:val="auto"/>
        </w:rPr>
      </w:pPr>
    </w:p>
    <w:p>
      <w:pPr>
        <w:ind w:left="280" w:right="120" w:hanging="80"/>
        <w:spacing w:after="0" w:line="270" w:lineRule="auto"/>
        <w:rPr>
          <w:sz w:val="20"/>
          <w:szCs w:val="20"/>
          <w:color w:val="auto"/>
        </w:rPr>
      </w:pPr>
      <w:r>
        <w:rPr>
          <w:rFonts w:ascii="Times New Roman" w:cs="Times New Roman" w:eastAsia="Times New Roman" w:hAnsi="Times New Roman"/>
          <w:sz w:val="18"/>
          <w:szCs w:val="18"/>
          <w:color w:val="auto"/>
        </w:rPr>
        <w:t>Shares of Class A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right="120"/>
        <w:spacing w:after="0" w:line="562" w:lineRule="auto"/>
        <w:rPr>
          <w:sz w:val="20"/>
          <w:szCs w:val="20"/>
          <w:color w:val="auto"/>
        </w:rPr>
      </w:pPr>
      <w:r>
        <w:rPr>
          <w:rFonts w:ascii="Times New Roman" w:cs="Times New Roman" w:eastAsia="Times New Roman" w:hAnsi="Times New Roman"/>
          <w:sz w:val="18"/>
          <w:szCs w:val="18"/>
          <w:color w:val="auto"/>
        </w:rPr>
        <w:t>Warrants offered by the Selling Securityholders Terms of the offering</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Lock-Up restrictions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Nasdaq Stock Market symbols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314,837,535 shares, consisting of</w:t>
      </w:r>
    </w:p>
    <w:p>
      <w:pPr>
        <w:spacing w:after="0" w:line="137" w:lineRule="exact"/>
        <w:rPr>
          <w:sz w:val="20"/>
          <w:szCs w:val="20"/>
          <w:color w:val="auto"/>
        </w:rPr>
      </w:pPr>
    </w:p>
    <w:p>
      <w:pPr>
        <w:ind w:left="660" w:hanging="28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PIPE shares;</w:t>
      </w:r>
    </w:p>
    <w:p>
      <w:pPr>
        <w:spacing w:after="0" w:line="123" w:lineRule="exact"/>
        <w:rPr>
          <w:rFonts w:ascii="Times New Roman" w:cs="Times New Roman" w:eastAsia="Times New Roman" w:hAnsi="Times New Roman"/>
          <w:sz w:val="18"/>
          <w:szCs w:val="18"/>
          <w:color w:val="auto"/>
        </w:rPr>
      </w:pPr>
    </w:p>
    <w:p>
      <w:pPr>
        <w:ind w:left="660" w:hanging="28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20,700,000 founder shares;</w:t>
      </w:r>
    </w:p>
    <w:p>
      <w:pPr>
        <w:spacing w:after="0" w:line="123" w:lineRule="exact"/>
        <w:rPr>
          <w:rFonts w:ascii="Times New Roman" w:cs="Times New Roman" w:eastAsia="Times New Roman" w:hAnsi="Times New Roman"/>
          <w:sz w:val="18"/>
          <w:szCs w:val="18"/>
          <w:color w:val="auto"/>
        </w:rPr>
      </w:pPr>
    </w:p>
    <w:p>
      <w:pPr>
        <w:ind w:left="660" w:right="220" w:hanging="283"/>
        <w:spacing w:after="0" w:line="280"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182,481,835 shares of Class A common stock reserved for issuance by us upon conversion of Class B common stock held by certain of our affiliates, including our officers, directors and greater than 10% stockholders, and their affiliated entities;</w:t>
      </w:r>
    </w:p>
    <w:p>
      <w:pPr>
        <w:spacing w:after="0" w:line="69" w:lineRule="exact"/>
        <w:rPr>
          <w:rFonts w:ascii="Times New Roman" w:cs="Times New Roman" w:eastAsia="Times New Roman" w:hAnsi="Times New Roman"/>
          <w:sz w:val="17"/>
          <w:szCs w:val="17"/>
          <w:color w:val="auto"/>
        </w:rPr>
      </w:pPr>
    </w:p>
    <w:p>
      <w:pPr>
        <w:ind w:left="660" w:right="220" w:hanging="283"/>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16,548,512 shares of Class A common stock reserved for issuance by us upon conversion of Class B common stock issuable upon exercise of options to purchase Class B common stock;</w:t>
      </w:r>
    </w:p>
    <w:p>
      <w:pPr>
        <w:spacing w:after="0" w:line="85" w:lineRule="exact"/>
        <w:rPr>
          <w:rFonts w:ascii="Times New Roman" w:cs="Times New Roman" w:eastAsia="Times New Roman" w:hAnsi="Times New Roman"/>
          <w:sz w:val="18"/>
          <w:szCs w:val="18"/>
          <w:color w:val="auto"/>
        </w:rPr>
      </w:pPr>
    </w:p>
    <w:p>
      <w:pPr>
        <w:ind w:left="660" w:right="380" w:hanging="283"/>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44,173,855 shares of Class A common stock reserved for issuance by us upon conversion of Class B common stock issuable upon settlement of restricted stock units; and</w:t>
      </w:r>
    </w:p>
    <w:p>
      <w:pPr>
        <w:spacing w:after="0" w:line="85" w:lineRule="exact"/>
        <w:rPr>
          <w:rFonts w:ascii="Times New Roman" w:cs="Times New Roman" w:eastAsia="Times New Roman" w:hAnsi="Times New Roman"/>
          <w:sz w:val="18"/>
          <w:szCs w:val="18"/>
          <w:color w:val="auto"/>
        </w:rPr>
      </w:pPr>
    </w:p>
    <w:p>
      <w:pPr>
        <w:ind w:left="660" w:right="60" w:hanging="283"/>
        <w:spacing w:after="0" w:line="27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10,933,333 shares of Class A common stock that are issuable upon the exercise of the private placement warrants.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10,933,333 private placement warrants</w:t>
      </w:r>
    </w:p>
    <w:p>
      <w:pPr>
        <w:spacing w:after="0" w:line="256"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color w:val="auto"/>
        </w:rPr>
        <w:t>The Selling Securityholders will determine when and how they will dispose of the shares of Class A common stock and warrants registered under this prospectus for resale.</w:t>
      </w:r>
    </w:p>
    <w:p>
      <w:pPr>
        <w:spacing w:after="0" w:line="19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or private placement warrants by the Selling Securityholders.</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of our stockholders are subject to certain restrictions on transfer until the termination of applicable lock-up periods. See “</w:t>
      </w:r>
      <w:r>
        <w:rPr>
          <w:rFonts w:ascii="Times New Roman" w:cs="Times New Roman" w:eastAsia="Times New Roman" w:hAnsi="Times New Roman"/>
          <w:sz w:val="18"/>
          <w:szCs w:val="18"/>
          <w:i w:val="1"/>
          <w:iCs w:val="1"/>
          <w:color w:val="auto"/>
        </w:rPr>
        <w:t>Description of Securities—Lock-Up Restrictions</w:t>
      </w:r>
      <w:r>
        <w:rPr>
          <w:rFonts w:ascii="Times New Roman" w:cs="Times New Roman" w:eastAsia="Times New Roman" w:hAnsi="Times New Roman"/>
          <w:sz w:val="18"/>
          <w:szCs w:val="18"/>
          <w:color w:val="auto"/>
        </w:rPr>
        <w:t>” for further discussion.</w:t>
      </w:r>
    </w:p>
    <w:p>
      <w:pPr>
        <w:spacing w:after="0" w:line="20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in this prospectus for a discussion of factors you should consider before investing in our securities.</w:t>
      </w:r>
    </w:p>
    <w:p>
      <w:pPr>
        <w:spacing w:after="0" w:line="19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under the symbols “CLOV” and “CLOVW,” respectively.</w:t>
      </w:r>
    </w:p>
    <w:p>
      <w:pPr>
        <w:spacing w:after="0" w:line="200" w:lineRule="exact"/>
        <w:rPr>
          <w:sz w:val="20"/>
          <w:szCs w:val="20"/>
          <w:color w:val="auto"/>
        </w:rPr>
      </w:pPr>
    </w:p>
    <w:p>
      <w:pPr>
        <w:sectPr>
          <w:pgSz w:w="11900" w:h="16838" w:orient="portrait"/>
          <w:cols w:equalWidth="0" w:num="2">
            <w:col w:w="3660" w:space="640"/>
            <w:col w:w="6740"/>
          </w:cols>
          <w:pgMar w:left="320" w:top="450" w:right="5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040"/>
          </w:cols>
          <w:pgMar w:left="320" w:top="450" w:right="5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39305" cy="6056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60566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0" w:lineRule="exact"/>
        <w:rPr>
          <w:sz w:val="20"/>
          <w:szCs w:val="20"/>
          <w:color w:val="auto"/>
        </w:rPr>
      </w:pPr>
    </w:p>
    <w:p>
      <w:pPr>
        <w:ind w:left="200" w:firstLine="435"/>
        <w:spacing w:after="0" w:line="25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that represent challenges that we face in connection with the successful implementation of our strategy and growth of our business. The occurrence of one or more of the events or circumstances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adversely affect our ability realize the anticipated benefits of the Business Combination, and may have an adverse effect on our business, financial condition, results of operations, and prospects. Such risks include, but are not limited to:</w:t>
      </w:r>
    </w:p>
    <w:p>
      <w:pPr>
        <w:spacing w:after="0" w:line="92" w:lineRule="exact"/>
        <w:rPr>
          <w:sz w:val="20"/>
          <w:szCs w:val="20"/>
          <w:color w:val="auto"/>
        </w:rPr>
      </w:pPr>
    </w:p>
    <w:p>
      <w:pPr>
        <w:ind w:left="1160" w:right="56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its inception, we anticipate increasing expenses in the future and we may not be able to achieve or maintain profitability.</w:t>
      </w:r>
    </w:p>
    <w:p>
      <w:pPr>
        <w:spacing w:after="0" w:line="76" w:lineRule="exact"/>
        <w:rPr>
          <w:rFonts w:ascii="Times New Roman" w:cs="Times New Roman" w:eastAsia="Times New Roman" w:hAnsi="Times New Roman"/>
          <w:sz w:val="18"/>
          <w:szCs w:val="18"/>
          <w:color w:val="auto"/>
        </w:rPr>
      </w:pPr>
    </w:p>
    <w:p>
      <w:pPr>
        <w:ind w:left="1160" w:hanging="427"/>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relatively limited experience with the Clover Assistant, and initial results may not be indicative of future performance.</w:t>
      </w:r>
    </w:p>
    <w:p>
      <w:pPr>
        <w:spacing w:after="0" w:line="123" w:lineRule="exact"/>
        <w:rPr>
          <w:rFonts w:ascii="Times New Roman" w:cs="Times New Roman" w:eastAsia="Times New Roman" w:hAnsi="Times New Roman"/>
          <w:sz w:val="18"/>
          <w:szCs w:val="18"/>
          <w:color w:val="auto"/>
        </w:rPr>
      </w:pPr>
    </w:p>
    <w:p>
      <w:pPr>
        <w:ind w:left="1160" w:right="2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performance depends on increasing the lifetime value of enrollments, which are realized over several years, and any failure to do so could negatively affect our future prospects and results of operations, including our ability to attain or increase profitability.</w:t>
      </w:r>
    </w:p>
    <w:p>
      <w:pPr>
        <w:spacing w:after="0" w:line="76" w:lineRule="exact"/>
        <w:rPr>
          <w:rFonts w:ascii="Times New Roman" w:cs="Times New Roman" w:eastAsia="Times New Roman" w:hAnsi="Times New Roman"/>
          <w:sz w:val="18"/>
          <w:szCs w:val="18"/>
          <w:color w:val="auto"/>
        </w:rPr>
      </w:pPr>
    </w:p>
    <w:p>
      <w:pPr>
        <w:ind w:left="1160" w:right="36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estimate, price for and manage medical expenses in an effective manner, the profitability of our Medicare Advantage plans could decline and could materially and adversely affect our results of operations, financial position and cash flows.</w:t>
      </w:r>
    </w:p>
    <w:p>
      <w:pPr>
        <w:spacing w:after="0" w:line="76" w:lineRule="exact"/>
        <w:rPr>
          <w:rFonts w:ascii="Times New Roman" w:cs="Times New Roman" w:eastAsia="Times New Roman" w:hAnsi="Times New Roman"/>
          <w:sz w:val="18"/>
          <w:szCs w:val="18"/>
          <w:color w:val="auto"/>
        </w:rPr>
      </w:pPr>
    </w:p>
    <w:p>
      <w:pPr>
        <w:ind w:left="1160" w:right="44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CMS’s risk adjustment payment system makes our revenue and profitability difficult to predict and could result in material retroactive adjustments to our results of operations.</w:t>
      </w:r>
    </w:p>
    <w:p>
      <w:pPr>
        <w:spacing w:after="0" w:line="76" w:lineRule="exact"/>
        <w:rPr>
          <w:rFonts w:ascii="Times New Roman" w:cs="Times New Roman" w:eastAsia="Times New Roman" w:hAnsi="Times New Roman"/>
          <w:sz w:val="18"/>
          <w:szCs w:val="18"/>
          <w:color w:val="auto"/>
        </w:rPr>
      </w:pPr>
    </w:p>
    <w:p>
      <w:pPr>
        <w:ind w:left="1160" w:right="36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the COVID-19 pandemic, which could have a material adverse effect on our business, results of operations, financial condition and financial performance.</w:t>
      </w:r>
    </w:p>
    <w:p>
      <w:pPr>
        <w:spacing w:after="0" w:line="76" w:lineRule="exact"/>
        <w:rPr>
          <w:rFonts w:ascii="Times New Roman" w:cs="Times New Roman" w:eastAsia="Times New Roman" w:hAnsi="Times New Roman"/>
          <w:sz w:val="18"/>
          <w:szCs w:val="18"/>
          <w:color w:val="auto"/>
        </w:rPr>
      </w:pPr>
    </w:p>
    <w:p>
      <w:pPr>
        <w:ind w:left="1160" w:right="56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adoption and use of the Clover Assistant is lower than we expect, our growth may slow or stall, and our operating results could be adversely affected.</w:t>
      </w:r>
    </w:p>
    <w:p>
      <w:pPr>
        <w:spacing w:after="0" w:line="76" w:lineRule="exact"/>
        <w:rPr>
          <w:rFonts w:ascii="Times New Roman" w:cs="Times New Roman" w:eastAsia="Times New Roman" w:hAnsi="Times New Roman"/>
          <w:sz w:val="18"/>
          <w:szCs w:val="18"/>
          <w:color w:val="auto"/>
        </w:rPr>
      </w:pPr>
    </w:p>
    <w:p>
      <w:pPr>
        <w:ind w:left="1160" w:right="24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succeed in expanding our member base, our future growth would be limited and our business, financial condition and results of operations would be harmed.</w:t>
      </w:r>
    </w:p>
    <w:p>
      <w:pPr>
        <w:spacing w:after="0" w:line="76" w:lineRule="exact"/>
        <w:rPr>
          <w:rFonts w:ascii="Times New Roman" w:cs="Times New Roman" w:eastAsia="Times New Roman" w:hAnsi="Times New Roman"/>
          <w:sz w:val="18"/>
          <w:szCs w:val="18"/>
          <w:color w:val="auto"/>
        </w:rPr>
      </w:pPr>
    </w:p>
    <w:p>
      <w:pPr>
        <w:ind w:left="1160" w:right="38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membership remains concentrated in certain geographic areas and populations exposing us to unfavorable changes in local benefit costs, reimbursement rates, competition and economic conditions.</w:t>
      </w:r>
    </w:p>
    <w:p>
      <w:pPr>
        <w:spacing w:after="0" w:line="76" w:lineRule="exact"/>
        <w:rPr>
          <w:rFonts w:ascii="Times New Roman" w:cs="Times New Roman" w:eastAsia="Times New Roman" w:hAnsi="Times New Roman"/>
          <w:sz w:val="18"/>
          <w:szCs w:val="18"/>
          <w:color w:val="auto"/>
        </w:rPr>
      </w:pPr>
    </w:p>
    <w:p>
      <w:pPr>
        <w:ind w:left="1160" w:hanging="427"/>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markets, particularly rural markets, may not be as economical to serve as our existing markets.</w:t>
      </w:r>
    </w:p>
    <w:p>
      <w:pPr>
        <w:spacing w:after="0" w:line="123" w:lineRule="exact"/>
        <w:rPr>
          <w:rFonts w:ascii="Times New Roman" w:cs="Times New Roman" w:eastAsia="Times New Roman" w:hAnsi="Times New Roman"/>
          <w:sz w:val="18"/>
          <w:szCs w:val="18"/>
          <w:color w:val="auto"/>
        </w:rPr>
      </w:pPr>
    </w:p>
    <w:p>
      <w:pPr>
        <w:ind w:left="1160" w:right="52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adversely affected if we are unable to grow our provider networks and contract with providers, medical facilities and other entities on competitive terms.</w:t>
      </w:r>
    </w:p>
    <w:p>
      <w:pPr>
        <w:spacing w:after="0" w:line="76" w:lineRule="exact"/>
        <w:rPr>
          <w:rFonts w:ascii="Times New Roman" w:cs="Times New Roman" w:eastAsia="Times New Roman" w:hAnsi="Times New Roman"/>
          <w:sz w:val="18"/>
          <w:szCs w:val="18"/>
          <w:color w:val="auto"/>
        </w:rPr>
      </w:pPr>
    </w:p>
    <w:p>
      <w:pPr>
        <w:ind w:left="1160" w:right="240" w:hanging="427"/>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manage our growth, which could have a material adverse effect on our business, financial condition and results of operations.</w:t>
      </w:r>
    </w:p>
    <w:p>
      <w:pPr>
        <w:spacing w:after="0" w:line="76" w:lineRule="exact"/>
        <w:rPr>
          <w:rFonts w:ascii="Times New Roman" w:cs="Times New Roman" w:eastAsia="Times New Roman" w:hAnsi="Times New Roman"/>
          <w:sz w:val="18"/>
          <w:szCs w:val="18"/>
          <w:color w:val="auto"/>
        </w:rPr>
      </w:pPr>
    </w:p>
    <w:p>
      <w:pPr>
        <w:ind w:left="1160" w:hanging="427"/>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pose certain risks to our business that may be different from risks associated with our domestic operations.</w:t>
      </w:r>
    </w:p>
    <w:p>
      <w:pPr>
        <w:spacing w:after="0" w:line="123" w:lineRule="exact"/>
        <w:rPr>
          <w:rFonts w:ascii="Times New Roman" w:cs="Times New Roman" w:eastAsia="Times New Roman" w:hAnsi="Times New Roman"/>
          <w:sz w:val="18"/>
          <w:szCs w:val="18"/>
          <w:color w:val="auto"/>
        </w:rPr>
      </w:pPr>
    </w:p>
    <w:p>
      <w:pPr>
        <w:ind w:left="1160" w:hanging="427"/>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and may be subject to litigation or investigations, which could be costly and time-consuming to defend.</w:t>
      </w:r>
    </w:p>
    <w:p>
      <w:pPr>
        <w:spacing w:after="0" w:line="123" w:lineRule="exact"/>
        <w:rPr>
          <w:rFonts w:ascii="Times New Roman" w:cs="Times New Roman" w:eastAsia="Times New Roman" w:hAnsi="Times New Roman"/>
          <w:sz w:val="18"/>
          <w:szCs w:val="18"/>
          <w:color w:val="auto"/>
        </w:rPr>
      </w:pPr>
    </w:p>
    <w:p>
      <w:pPr>
        <w:ind w:left="1160" w:hanging="427"/>
        <w:spacing w:after="0" w:line="253"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substantially all of our total revenues from Medicare Advantage premiums now and expect to continue to derive a substantial portion of our total revenues in the future from Medicare Advantage premiums, and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0" w:right="5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39305" cy="2262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22625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60" w:right="40" w:hanging="427"/>
        <w:spacing w:after="0" w:line="270"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could impair our ability to protect our internally-developed technology and our brand, and our business may be adversely affected.</w:t>
      </w:r>
    </w:p>
    <w:p>
      <w:pPr>
        <w:spacing w:after="0" w:line="76" w:lineRule="exact"/>
        <w:rPr>
          <w:rFonts w:ascii="Times New Roman" w:cs="Times New Roman" w:eastAsia="Times New Roman" w:hAnsi="Times New Roman"/>
          <w:sz w:val="18"/>
          <w:szCs w:val="18"/>
          <w:color w:val="auto"/>
        </w:rPr>
      </w:pPr>
    </w:p>
    <w:p>
      <w:pPr>
        <w:ind w:left="1160" w:hanging="427"/>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or maintain the right to use certain of our intellectual property would negatively affect our business.</w:t>
      </w:r>
    </w:p>
    <w:p>
      <w:pPr>
        <w:spacing w:after="0" w:line="123" w:lineRule="exact"/>
        <w:rPr>
          <w:rFonts w:ascii="Times New Roman" w:cs="Times New Roman" w:eastAsia="Times New Roman" w:hAnsi="Times New Roman"/>
          <w:sz w:val="18"/>
          <w:szCs w:val="18"/>
          <w:color w:val="auto"/>
        </w:rPr>
      </w:pPr>
    </w:p>
    <w:p>
      <w:pPr>
        <w:ind w:left="1160" w:right="660" w:hanging="427"/>
        <w:spacing w:after="0" w:line="300" w:lineRule="auto"/>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Delaware law and our charter documents contain certain provisions, including anti-takeover provisions that limit the ability of our stockholders to take certain actions and could delay or discourage takeover attempts that stockholders may consider favorable.</w:t>
      </w:r>
    </w:p>
    <w:p>
      <w:pPr>
        <w:spacing w:after="0" w:line="53" w:lineRule="exact"/>
        <w:rPr>
          <w:rFonts w:ascii="Times New Roman" w:cs="Times New Roman" w:eastAsia="Times New Roman" w:hAnsi="Times New Roman"/>
          <w:sz w:val="17"/>
          <w:szCs w:val="17"/>
          <w:color w:val="auto"/>
        </w:rPr>
      </w:pPr>
    </w:p>
    <w:p>
      <w:pPr>
        <w:ind w:left="1160" w:hanging="427"/>
        <w:spacing w:after="0" w:line="251"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power with certain stockholders, including our directors, officers, principal stockholders and their respective affiliates, who held in the aggregate 72.9% of the voting power of our capital stock as of January 7,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87" w:lineRule="exact"/>
        <w:rPr>
          <w:sz w:val="20"/>
          <w:szCs w:val="20"/>
          <w:color w:val="auto"/>
        </w:rPr>
      </w:pPr>
    </w:p>
    <w:p>
      <w:pPr>
        <w:ind w:left="200" w:right="20"/>
        <w:spacing w:after="0" w:line="270" w:lineRule="auto"/>
        <w:rPr>
          <w:sz w:val="20"/>
          <w:szCs w:val="20"/>
          <w:color w:val="auto"/>
        </w:rPr>
      </w:pPr>
      <w:r>
        <w:rPr>
          <w:rFonts w:ascii="Times New Roman" w:cs="Times New Roman" w:eastAsia="Times New Roman" w:hAnsi="Times New Roman"/>
          <w:sz w:val="18"/>
          <w:szCs w:val="18"/>
          <w:color w:val="auto"/>
        </w:rPr>
        <w:t>Sales of substantial amounts of our securities in the public markets, or the perception that they might occur, could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0" w:right="5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6"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to our business being harmed will include harm to our business, reputation, brand, financial condition, results of operations, and prospects. In such event, the market price of our securities could decline, and you could lose all or part of your investment.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8"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we anticipate increasing expenses in the future and we may not be able to achieve or maintain profitability.</w:t>
      </w:r>
    </w:p>
    <w:p>
      <w:pPr>
        <w:spacing w:after="0" w:line="58"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We have incurred significant net losses on an annual basis since our inception in 2012. We incurred net losses of $(201.9) million and $(363.7) million for the years ended December 31, 2018 and 2019, and $(22.8) million for the six months period ended June 30, 2020. Our accumulated deficit was approximately $(891.6) million as of December 31, 2019 and $(914.4) million as of June 30, 2020. We expect our operating costs will increase substantially in the foreseeable future and our losses will continue as we expect to invest significant additional funds towards growing our business and operating as a public company. In particular, we expect to continue to invest in improving the Clover Assistant and our technology infrastructure, developing our clinical care programs, increasing adoption of the Clover Assistant platform, expanding our marketing and outreach efforts, growing our provider networks, expanding our operations geographically, increasing headcount to support our growth, and developing future offerings that improve care for members and supplement our revenue streams. These efforts may prove more expensive than we currently anticipate, and we may not succeed in increasing our revenue sufficiently to offset these higher expenses. In addition, even if we were successful in increasing our membership and consequently increasing our total revenues from premiums earned, we may not successfully and effectively predict, price and manage medical costs of our members. As a result, our expenses from net medical claims incurred could exceed any increase in total revenues.</w:t>
      </w:r>
    </w:p>
    <w:p>
      <w:pPr>
        <w:spacing w:after="0" w:line="195"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Furthermore, even if we achieve profitability in the future, we may not be able to sustain profitability in subsequent periods. To date, we have financed our operations principally from the sale of our equity securities, revenue from our premiums, and the incurrence of indebtedness. Our cash flow from operations was negative for the years ended December 31, 2018 and 2019, and the six months ended June 30, 2020, and we may not generate positive cash flow from operations in any given period. If we are not able to achieve or maintain profitability or positive cash flow, we will require additional financing, which may not be available on favorable terms or at all or which would be dilutive to our stockholders. If we are unable to successfully address these risks and challenges as we encounter them, our business may be harmed. Our failure to achieve or maintain profitability or positive cash flow could negatively affect the value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relatively limited experience with the Clover Assistant, and initial results may not be indicative of future performance.</w:t>
      </w:r>
    </w:p>
    <w:p>
      <w:pPr>
        <w:spacing w:after="0" w:line="114"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Since launching the Clover Assistant in 2018, we have continued to develop its features and capabilities, adapt our go-to-market strategy and adjust its integration with our Medicare Advantage (“MA”) plans and third-party systems. As a result we may not fully understand the impact of the Clover Assistant on our business and long-term prospects. While for the three and twelve months ended March 31, 2020, the medical care ratio, a measure defined as our total net medical claims expenses incurred divided by premiums earned (“MCR”) for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450"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returning members with a primary care physician (“PCP”) who used the Clover Assistant was, on average, 1,100 and 730 basis points lower, respectively, than the MCR for returning members with a PCP who did not use the Clover Assistant, our long-term success depends on maintaining and continuing to improve these effects over time in the markets we serve. There can be no assurance that these effects will improve or persist over time in our current markets or that we can replicate these results as we expand into new markets. We also cannot be certain about the extent to which these differences resulted from use of the Clover Assistant by physicians or by other factors. If we are unable to drive significant reductions in MCR for our members to support our business model and enable us to continue to offer our members attractive plans, it would have a material and adverse effect on our business, financial condition, and results of operation. Furthermore, even if use of the Clover Assistant successfully reduces the MCR of our members, it is unlikely to directly have a positive impact on our future revenue in any manner.</w:t>
      </w:r>
    </w:p>
    <w:p>
      <w:pPr>
        <w:spacing w:after="0" w:line="29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depends on increasing the lifetime value of enrollments, which are realized over several years, and any failure to do so could negatively affect our future prospects and results of operations, including our ability to attain or increase profitability.</w:t>
      </w:r>
    </w:p>
    <w:p>
      <w:pPr>
        <w:spacing w:after="0" w:line="58"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Our future performance is primarily dependent on our ability to utilize the Clover Assistant to drive down the lifetime cost of care for members and utilize our clinical care capabilities to improve the quality of care for our members. By doing so, we aim to drive per member per month (“PMPM”) medical expense savings and generate more accurate risk adjustment data over time. If we fail to achieve such decreases in cost of care, our business, results of operations and financial condition will be adversely affected. See the section entitled “</w:t>
      </w:r>
      <w:r>
        <w:rPr>
          <w:rFonts w:ascii="Times New Roman" w:cs="Times New Roman" w:eastAsia="Times New Roman" w:hAnsi="Times New Roman"/>
          <w:sz w:val="18"/>
          <w:szCs w:val="18"/>
          <w:i w:val="1"/>
          <w:iCs w:val="1"/>
          <w:color w:val="auto"/>
        </w:rPr>
        <w:t>—If we fail to estimate, price for and manage medical expenses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manner, the profitability of our Medicare Advantage plans could decline and could materially and adversely affect our results of operations, financial position and cash flows.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Furthermore, if we are unable to retain our members, our ability to realize the returns on our investments in the Clover Assistant platform could be negatively affected. The lifetime value of our enrollments could be impacted by a variety of factors, including penetration of the Clover Assistant, cost of care reductions from our clinical programs and the length of time the member remains enrolled in our plan. For example, since returning members tend to have lower MCR than do new members, rapid membership growth or other shifts in the mix of new members and returning members could adversely affect our MCR in the near-term and lead to greater losses. Similarly, any investment we make in early identification and treatment of disease and preventative treatment to reduce health 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attain or increase profitability.</w:t>
      </w:r>
    </w:p>
    <w:p>
      <w:pPr>
        <w:spacing w:after="0" w:line="29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estimate, price for and manage medical expenses in an effective manner, the profitability of our Medicare Advantage plans could decline and could materially and adversely affect our results of operations, financial position and cash flows.</w:t>
      </w:r>
    </w:p>
    <w:p>
      <w:pPr>
        <w:spacing w:after="0" w:line="58" w:lineRule="exact"/>
        <w:rPr>
          <w:sz w:val="20"/>
          <w:szCs w:val="20"/>
          <w:color w:val="auto"/>
        </w:rPr>
      </w:pPr>
    </w:p>
    <w:p>
      <w:pPr>
        <w:ind w:right="40" w:firstLine="449"/>
        <w:spacing w:after="0" w:line="269" w:lineRule="auto"/>
        <w:rPr>
          <w:sz w:val="20"/>
          <w:szCs w:val="20"/>
          <w:color w:val="auto"/>
        </w:rPr>
      </w:pPr>
      <w:r>
        <w:rPr>
          <w:rFonts w:ascii="Times New Roman" w:cs="Times New Roman" w:eastAsia="Times New Roman" w:hAnsi="Times New Roman"/>
          <w:sz w:val="17"/>
          <w:szCs w:val="17"/>
          <w:color w:val="auto"/>
        </w:rPr>
        <w:t>Through our MA plans, we assume the risk of both cost of medical services for our members, or medical expenses, and administrative costs for our members in return for monthly premiums, which we are paid by the Centers for Medicare &amp; Medicaid Services (“CMS”) on a per member basis. The ACA requires that we spend at least 85% of those premiums on health care services, covered benefits and quality improvement efforts, and we generally use at least 85% of our premium revenues to pay for these costs. As a result, our ability to enhance the profitability of our MA plans depends in significant part on our ability to predict, price and effectively manage medical costs, which are affected by utilization rates, the cost of service and the type of service rendered.</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450" w:right="3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Two key factors in our ability to manage medical expenses are the adoption of and engagement with the Clover Assistant by the physicians who treat our patients and enrollment in our clinical care programs by our most at-risk members. By driving adoption of and engagement with the Clover Assistant by our members’ physicians, we seek to promote the provision of high-quality medical care driven by real-time, personalized and actionable insights to healthcare physicians at the point of care. Through the Clover Assistant we support effective care coordination and care management informed by data analytics, help members receive appropriate preventive care and promote proper utilization management. We also operate an in-home primary complex care program for our most chronically ill members, whose medical costs are disproportionately high compared to our other members, to further improve quality of life and health care for such members. If we fail to drive adoption of and engagement with the Clover Assistant by our members’ physicians or fail to accurately identify members at high risk for near-term hospitalization for our complex care management program, we could fail to drive significant reductions in MCR for our members, which would have a material and adverse effect on our business, financial condition, and results of operation.</w:t>
      </w:r>
    </w:p>
    <w:p>
      <w:pPr>
        <w:spacing w:after="0" w:line="190"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(such as the COVID-19 pandemic); the introduction of new or costly drugs, treatments and technology; new treatment guidelines; new mandated benefits (such as the expansion of essential benefits coverage) or other regulatory changes; and insured population characteristics. While we believe the Clover Assistant may enable us to make better predictions regarding future medical costs, there can be no assurances that better predictions will be made or that we would be able to realize the benefits of those predictions.</w:t>
      </w:r>
    </w:p>
    <w:p>
      <w:pPr>
        <w:spacing w:after="0" w:line="189" w:lineRule="exact"/>
        <w:rPr>
          <w:sz w:val="20"/>
          <w:szCs w:val="20"/>
          <w:color w:val="auto"/>
        </w:rPr>
      </w:pPr>
    </w:p>
    <w:p>
      <w:pPr>
        <w:ind w:right="340" w:firstLine="449"/>
        <w:spacing w:after="0" w:line="250" w:lineRule="auto"/>
        <w:rPr>
          <w:sz w:val="20"/>
          <w:szCs w:val="20"/>
          <w:color w:val="auto"/>
        </w:rPr>
      </w:pPr>
      <w:r>
        <w:rPr>
          <w:rFonts w:ascii="Times New Roman" w:cs="Times New Roman" w:eastAsia="Times New Roman" w:hAnsi="Times New Roman"/>
          <w:sz w:val="18"/>
          <w:szCs w:val="18"/>
          <w:color w:val="auto"/>
        </w:rPr>
        <w:t>In addition, providers within our network who treat our members may decline to follow appropriate care recommendations and may not carry out effective care coordination and care management. While we deploy the Clover Assistant and promote its adoption by all physicians within our network in order to mitigate such risks, even in settings where adoption and use of the Clover Assistant is widespread, there can be no assurances that adherence to evidence-based protocols will be pervasive. Furthermore, members may decline to seek out appropriate preventive care, participate in our readmission and complex care programs, or follow their physician’s care and healthful living recommendations. We and the physicians, moreover, might not identify the appropriate members who can most benefit from our clinical care programs.</w:t>
      </w:r>
    </w:p>
    <w:p>
      <w:pPr>
        <w:spacing w:after="0" w:line="18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7"/>
          <w:szCs w:val="17"/>
          <w:color w:val="auto"/>
        </w:rPr>
        <w:t>Medicare Advantage and Medicare Part D plans are also subject to risks associated with increased medical or pharmaceutical costs. It is uncertain whether payors, pharmacy providers, pharmacy benefit managers and others in the prescription drug industry will continue to utilize Average Wholesale Price, a benchmark used for pricing and reimbursement of prescription drugs for both government and private payers, as it has previously been calculated, or whether other pricing benchmarks will be adopted for establishing prices within the industry. Legislation may also lead to changes in the pricing for the Medicare Advantage program. While we believe we have adequately reviewed our assumptions and estimates regarding these complex and wide ranging programs under Medicare Advantage and Medicare Part D, including those related to collectability of receivables and establishment of liabilities, actual results may be materially different than our assumptions and estimates and could have a material adverse effect on our business, financial condition and results of operations.</w:t>
      </w:r>
    </w:p>
    <w:p>
      <w:pPr>
        <w:spacing w:after="0" w:line="27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CMS’s risk adjustment payment system makes our revenue and profitability difficult to predict and could result in material retroactive adjustments to our results of operations.</w:t>
      </w:r>
    </w:p>
    <w:p>
      <w:pPr>
        <w:spacing w:after="0" w:line="58" w:lineRule="exact"/>
        <w:rPr>
          <w:sz w:val="20"/>
          <w:szCs w:val="20"/>
          <w:color w:val="auto"/>
        </w:rPr>
      </w:pPr>
    </w:p>
    <w:p>
      <w:pPr>
        <w:jc w:val="both"/>
        <w:ind w:right="420" w:firstLine="449"/>
        <w:spacing w:after="0" w:line="280" w:lineRule="auto"/>
        <w:rPr>
          <w:sz w:val="20"/>
          <w:szCs w:val="20"/>
          <w:color w:val="auto"/>
        </w:rPr>
      </w:pPr>
      <w:r>
        <w:rPr>
          <w:rFonts w:ascii="Times New Roman" w:cs="Times New Roman" w:eastAsia="Times New Roman" w:hAnsi="Times New Roman"/>
          <w:sz w:val="17"/>
          <w:szCs w:val="17"/>
          <w:color w:val="auto"/>
        </w:rPr>
        <w:t>CMS has implemented a risk adjustment payment system for Medicare health plans to improve the accuracy of payments and establish appropriate compensation for Medicare plans that enroll and treat less healthy Medicare beneficiaries. CMS’s risk adjustment model bases a portion of the total CMS reimbursement payments on various clinical and demographic factors, including hospital inpatient diagnoses, diagnosis data from hospital</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450"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outpatient facilities and physician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 program is in its early stages of development and lacks sufficient resources and capabilities to adequately identify and mitigate risk in this area.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or if the data incorrectly understates the health risk of our members, we might be underpaid for the care that we must provide to our members, any of which could harm our reputation and have a negative impact on our results of operations and financial condition. CMS may also change the way that they measure risk and the impact on any such changes on our business are uncertain.</w:t>
      </w:r>
    </w:p>
    <w:p>
      <w:pPr>
        <w:spacing w:after="0" w:line="188"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7"/>
          <w:szCs w:val="17"/>
          <w:color w:val="auto"/>
        </w:rPr>
        <w:t>CMS establishes premium payments to MA plans based on the plans’ approved bids at the beginning of the calendar year. Based on the members’ known demographic and risk information, CMS then adjusts premium levels on two separate occasions during the year on a retroactive basis to take into account additional member risk data. The first such adjustment updates the risk scores for the current year based on prior year’s dates of service. The second such adjustment is a final retroactive risk premium settlement for the prior year. We account for estimates of such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For 2019, 25% of the risk score was calculated from claims data submitted through EDS, and CMS has gradually increased that percentage such that 75% of the risk score will be calculated from claims data submitted through the EDS in 2021.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position, or cash flows.</w:t>
      </w:r>
    </w:p>
    <w:p>
      <w:pPr>
        <w:spacing w:after="0" w:line="179"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As a result of the COVID-19 pandemic, risk adjustment scores may also fall as a result of reduced data collection, decreased patient visits or delayed medical care and limitations on payments for certain telehealth services. As a result of the variability of factors affecting plan risk scores that determine such estimations, the actual amount of CMS’s retroactive payment could be materially more or less than our estimates. Consequently, our estimate of our plans’ aggregate member risk scores for any period, and our accrual of premiums related thereto, may result in favorable or unfavorable adjustments to our Medicare premium revenue, which may affect our profitability.</w:t>
      </w:r>
    </w:p>
    <w:p>
      <w:pPr>
        <w:spacing w:after="0" w:line="288"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COVID-19 pandemic, which could have a material adverse effect on our business, results of operations, financial condition and financial performance.</w:t>
      </w:r>
    </w:p>
    <w:p>
      <w:pPr>
        <w:spacing w:after="0" w:line="58" w:lineRule="exact"/>
        <w:rPr>
          <w:sz w:val="20"/>
          <w:szCs w:val="20"/>
          <w:color w:val="auto"/>
        </w:rPr>
      </w:pPr>
    </w:p>
    <w:p>
      <w:pPr>
        <w:ind w:right="100" w:firstLine="449"/>
        <w:spacing w:after="0" w:line="251" w:lineRule="auto"/>
        <w:rPr>
          <w:sz w:val="20"/>
          <w:szCs w:val="20"/>
          <w:color w:val="auto"/>
        </w:rPr>
      </w:pPr>
      <w:r>
        <w:rPr>
          <w:rFonts w:ascii="Times New Roman" w:cs="Times New Roman" w:eastAsia="Times New Roman" w:hAnsi="Times New Roman"/>
          <w:sz w:val="18"/>
          <w:szCs w:val="18"/>
          <w:color w:val="auto"/>
        </w:rPr>
        <w:t>We are susceptible to the adverse effects associated with the rapidly developing COVID-19 global health crisis, which is having a major impact on health systems, businesses, governments and member activities. The severity, magnitude and duration of the COVID-19 pandemic is uncertain and rapidly changing. As of the date of this prospectus, the extent to which the COVID-19 pandemic may impact our business, results of operations and financial condition remains uncertain. Furthermore, because MA plan operators are compensated pursuant to the CMS risk adjustment payment system, the full impact of the COVID-19 pandemic may not be fully reflected in our results of operations and overall financial condition until future periods.</w:t>
      </w:r>
    </w:p>
    <w:p>
      <w:pPr>
        <w:spacing w:after="0" w:line="187"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We continue to mobilize the full strength of our resources to deliver support for our members and provider partners, and deliver innovative solutions and support for the communities we serve. For example, in response to</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450"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COVID-19 pandemic, we made a number of changes to our prior authorization and utilization management processes, launched new programs to support members in receiving continued access to care while sheltering in place, and supported increase use of telemedicine by expanding reimbursement related to telemedicine and building a telemedicine version of the Clover Assistant. However, there can be no assurances that our efforts will be successful or that any of our solutions will be adopted by our physician users.</w:t>
      </w:r>
    </w:p>
    <w:p>
      <w:pPr>
        <w:spacing w:after="0" w:line="185" w:lineRule="exact"/>
        <w:rPr>
          <w:sz w:val="20"/>
          <w:szCs w:val="20"/>
          <w:color w:val="auto"/>
        </w:rPr>
      </w:pPr>
    </w:p>
    <w:p>
      <w:pPr>
        <w:ind w:right="20" w:firstLine="449"/>
        <w:spacing w:after="0" w:line="262" w:lineRule="auto"/>
        <w:rPr>
          <w:sz w:val="20"/>
          <w:szCs w:val="20"/>
          <w:color w:val="auto"/>
        </w:rPr>
      </w:pPr>
      <w:r>
        <w:rPr>
          <w:rFonts w:ascii="Times New Roman" w:cs="Times New Roman" w:eastAsia="Times New Roman" w:hAnsi="Times New Roman"/>
          <w:sz w:val="17"/>
          <w:szCs w:val="17"/>
          <w:color w:val="auto"/>
        </w:rPr>
        <w:t>The impact of COVID-19 to our business is primarily dependent upon the ultimate pacing, intensity in our markets and duration of the crisis, which are factors we cannot predict at this time. These factors will drive the related treatment, testing, coverage and other services we provide our members. To date, the healthcare system has experienced deferrals of elective care during the pandemic, which have decreased utilization of healthcare services. The ultimate consequences of delaying medical care are uncertain but they may result in additional medical complications, increased medical costs in future periods and/or reduction in benchmarks that future bids will be assessed against. In particular, a significant portion of our strategy is based on the notion that we can reduce our members’ medical costs by utilizing the Clover Assistant to encourage physicians to engage with our members to help prevent a deterioration of their health. As a result, when the crisis abates, we may experience a significant increase in medical care costs if a significant portion of our members have experienced a deterioration in health, if our members seek care that was deferred during the pandemic or if our members with chronic conditions require additional care resulting from missed treatments. There can be no assurance that these increased costs were taken into account when we set the prices for our premiums or that the premiums we receive from the U.S. government and fees we charge will be sufficient to cover the medical and administrative costs that we could ultimately incur. The decreased utilization of Medicare fee for service (“Medicare FFS”) healthcare services during COVID-19 may also lead to a reduction in the benchmarks that future CMS bids will be assessed against. If we experience increased medical costs in future periods as a result of the delay in medical care during COVID-19, and those costs are set against reduced benchmarks, our revenue and operating results would be materially adversely impacted. Additionally, if the COVID-19 pandemic results in a decrease in the number of primary care or general wellness visits, adoption of the Clover Assistant by physicians and other providers may be impeded and our ability to iterate and improve the accuracy of Clover Assistant may be affected.</w:t>
      </w:r>
    </w:p>
    <w:p>
      <w:pPr>
        <w:spacing w:after="0" w:line="183"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Governments have modified, and may continue to modify, regulatory standards around various aspects of health care in response to COVID-19, and these rapidly changing standards may create challenges for us to ensure timely compliance and meet various contractual obligations. Also, insofar as governments do not modify regulatory standards in light of the COVID-19 pandemic, the changing circumstances may undercut our ability to meet regulatory performance standards and carry out effective and efficient business operations. For example, the precipitous decline in physician office visits, and the concomitant rise of telehealth visits, including audio-only visits, may impair risk adjustment data collection efforts that CMS takes into account for purposes of determining risk adjustment revenue. Also, because members may elect not to leave home for physician visits or preventive care services and may experience heightened depression or other negative health consequences during the pandemic, our ability to address care gaps measured by the CMS Star Ratings programs may be limited. Because our membership is concentrated in areas that were especially hard hit by the pandemic in early 2020, and member fear and hesitation of leaving the home may linger long after the pandemic subsides, our performance on CMS Star Ratings measures may be more negatively impacted than that of other MA plans.</w:t>
      </w:r>
    </w:p>
    <w:p>
      <w:pPr>
        <w:spacing w:after="0" w:line="188"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The COVID-19 pandemic may also seriously curtail the ability of our clinical program physicians and providers to care for our most seriously ill members through our in-home primary care program, complex care program, and hospital readmissions prevention program. Although we have made great strides in treating patients during this time through telemedicine, there are some conditions that cannot adequately be addressed remotely. Also some members may be unwilling to participate or continue to participate in telehealth visits. It is unclear how long it will be considered “unsafe” to treat people in their homes, and there may be recurring instances of such periods. Even when public health experts deem it safe to return to treat members in their homes, our providers may be unwilling to treat our members in their homes, or members might be unwilling to accept care in their homes. Our providers might also become infected with COVID-19 themselves, or they may leave their positions with us because they do not want to treat people in their homes. Because our most chronically ill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50"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members are responsible for a significantly disproportionately high share of our medical expenses, our potential inability or difficulty of providing targeted services to this population can undercut our ability to manage our overall medical expenses.</w:t>
      </w:r>
    </w:p>
    <w:p>
      <w:pPr>
        <w:spacing w:after="0" w:line="169"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We have transitioned a significant number of our team members to at-home work environments in an effort to mitigate the spread of COVID-19. This transition may decrease effectiveness, including our ability to maintain service levels and ratings, and exacerbate certain risks to our business, including demand for information technology resources, increased vulnerabilities to cybersecurity attacks, continued significant rental payments for unused office space, and increased risk of unauthorized dissemination of sensitive personal information or proprietary or confidential information about us or our members. The COVID-19 pandemic and any resulting economic downturn may cause us to need less office space than we are contractually committed to leasing and prevent us from finding subtenants for such unused office space. Additional disruptive impacts of COVID-19 on our workforce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member retention, any of which could harm our financial condition and business operations.</w:t>
      </w:r>
    </w:p>
    <w:p>
      <w:pPr>
        <w:spacing w:after="0" w:line="195"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Disruptions in public and private infrastructure, including supply chains providing medical supplies, could also adversely disrupt our business operations. For example, our ability to resume our in-home care visits will depend on our ability to source the appropriate personal protective equipment (“PPE”) for our providers and employees. Additionally, the enactment of emergency powers by governments could disrupt our business operations, including further restricting our members’ ability to receive care, our providers’ ability to operate, or our ability to access necessary supplies.</w:t>
      </w:r>
    </w:p>
    <w:p>
      <w:pPr>
        <w:spacing w:after="0" w:line="185" w:lineRule="exact"/>
        <w:rPr>
          <w:sz w:val="20"/>
          <w:szCs w:val="20"/>
          <w:color w:val="auto"/>
        </w:rPr>
      </w:pPr>
    </w:p>
    <w:p>
      <w:pPr>
        <w:ind w:right="40" w:firstLine="449"/>
        <w:spacing w:after="0" w:line="300" w:lineRule="auto"/>
        <w:rPr>
          <w:sz w:val="20"/>
          <w:szCs w:val="20"/>
          <w:color w:val="auto"/>
        </w:rPr>
      </w:pPr>
      <w:r>
        <w:rPr>
          <w:rFonts w:ascii="Times New Roman" w:cs="Times New Roman" w:eastAsia="Times New Roman" w:hAnsi="Times New Roman"/>
          <w:sz w:val="17"/>
          <w:szCs w:val="17"/>
          <w:color w:val="auto"/>
        </w:rPr>
        <w:t>The COVID-19 crisis has also adversely impacted global access to capital and caused significant volatility in financial markets. Significant deterioration of the U.S. and global economies could have a significant adverse impact on our investment income, the value of our investments, or future liquidity needs.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adoption and use of the Clover Assistant is lower than we expect, our growth may slow or stall, and our operating results could be adversely affected.</w:t>
      </w:r>
    </w:p>
    <w:p>
      <w:pPr>
        <w:spacing w:after="0" w:line="11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An important part of our growth strategy depends on our ability to increase adoption and use of the Clover Assistant, including by physicians who also use electronic health records (“EHR”) systems. We have directed, and intend to continue to direct, a significant portion of our financial and operating resources to develop the Clover Assistant platform and expand its usage. Although we have experienced rapid adoption and high engagement by our network physicians in recent periods, there can be no assurance that the rate of adoption will continue to grow at the same pace or at all, or that rates of engagement will be maintained or increase. A number of factors could potentially negatively affect adoption of the Clover Assistant and physician engagement, including but not limited to:</w:t>
      </w:r>
    </w:p>
    <w:p>
      <w:pPr>
        <w:spacing w:after="0" w:line="94" w:lineRule="exact"/>
        <w:rPr>
          <w:sz w:val="20"/>
          <w:szCs w:val="20"/>
          <w:color w:val="auto"/>
        </w:rPr>
      </w:pPr>
    </w:p>
    <w:p>
      <w:pPr>
        <w:ind w:left="1000" w:right="380" w:hanging="439"/>
        <w:spacing w:after="0" w:line="270"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convincing physicians of the value, benefits and usefulness of the Clover Assistant; particularly in markets where we have fewer members;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integrate with EHR systems;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attract, effectively train and retain sales and marketing personnel;</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strategic partners;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capitalize on co-branding opportunities;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implementation of CMS interoperability requirements;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450"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scheduling meetings with physicians, and providing demonstrations and trainings related to the Clover Assistant;</w:t>
      </w:r>
    </w:p>
    <w:p>
      <w:pPr>
        <w:spacing w:after="0" w:line="123" w:lineRule="exact"/>
        <w:rPr>
          <w:rFonts w:ascii="Times New Roman" w:cs="Times New Roman" w:eastAsia="Times New Roman" w:hAnsi="Times New Roman"/>
          <w:sz w:val="18"/>
          <w:szCs w:val="18"/>
          <w:color w:val="auto"/>
        </w:rPr>
      </w:pPr>
    </w:p>
    <w:p>
      <w:pPr>
        <w:ind w:left="1000" w:right="320" w:hanging="439"/>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impacting availability or reliability of the platform, including limited broadband access in certain rural areas;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for members in accessing their physicians and a corresponding decrease in the number of primary care visits;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communication, safety, security or other concerns;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platform that are mandated by, or that we elect to make, to address, legislation, regulatory authorities or litigation;</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user experiences; or</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attractiveness of our brand or reputation.</w:t>
      </w:r>
    </w:p>
    <w:p>
      <w:pPr>
        <w:spacing w:after="0" w:line="21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addition, if we are unable to enroll a sufficient number of patients of a particular physician or provider group in our MA plans, we may have difficulty motivating such physician or provider group to utilize the Clover Assistant, which is not available for use with non-Clover members. Furthermore, if we are unable to address the needs of physicians using the Clover Assistant, if physicians are dissatisfied with the Clover Assistant, or if new alternative solutions effectively compete with us, physicians may refuse to use the Clover Assistant.</w:t>
      </w:r>
    </w:p>
    <w:p>
      <w:pPr>
        <w:spacing w:after="0" w:line="185"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8"/>
          <w:szCs w:val="18"/>
          <w:color w:val="auto"/>
        </w:rPr>
        <w:t>If the Clover Assistant is not adopted as quickly as we anticipate in the markets in which we operate, we may be unable to collect and provide valuable actionable data to physicians treating our members in such markets, which could prevent us from driving significant reductions in MCR for our members in such markets and curtail our ability to offer competitively priced MA Plans in such markets. Any such events could result in higher medical expenses and greater negative cash flows. As a result, if we are unsuccessful in our efforts to drive adoption of the Clover Assistant our business, results of operations and financial condition could be harmed.</w:t>
      </w:r>
    </w:p>
    <w:p>
      <w:pPr>
        <w:spacing w:after="0" w:line="187"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Our ability to attract new users and retain existing users of the Clover Assistant also depends in large part on our ability to continually enhance and improve its features, integrations, and capabilities to continue to provide a useful tool for physicians. Accordingly, we must continue investing resources in improving and enhancing the Clover Assistant. For example, in response to the COVID-19 pandemic, we incorporated changes related to telemedicine into the Clover Assistant. Among other things, these changes allow for integrated video usage within the Clover Assistant platform, allowing the provider to perform the telehealth visit while viewing the same actionable information all in one seamless platform. The success of any enhancement to the Clover Assistant will depend on several factors, including timely completion and delivery, adequate quality testing, integration with existing technologies, adequate training of and messaging to providers, and overall market acceptance. Any new features, integrations, and capabilities that we develop may not be introduced in a timely or cost-effective manner, may contain errors, failures, vulnerabilities, or bugs, or may not achieve market acceptance. Furthermore, we may be delayed in our plans to offer certain new features, integrations, and capabilities during the COVID-19 pandemic, particularly if our teams are unable to effectively interact with providers and their offices to provide training and appropriate support for new offerings, or our teams are required to further pivot to focus on our pandemic response, or our remote working strategies fail to maintain or increase productivity, or if there are increasing delays in the hiring and onboarding of new employees, or if regulatory compliance issues arise.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450"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succeed in expanding our member base, our future growth would be limited and our business, financial condition and results of operations would be harmed.</w:t>
      </w:r>
    </w:p>
    <w:p>
      <w:pPr>
        <w:spacing w:after="0" w:line="58" w:lineRule="exact"/>
        <w:rPr>
          <w:sz w:val="20"/>
          <w:szCs w:val="20"/>
          <w:color w:val="auto"/>
        </w:rPr>
      </w:pPr>
    </w:p>
    <w:p>
      <w:pPr>
        <w:ind w:firstLine="449"/>
        <w:spacing w:after="0" w:line="265" w:lineRule="auto"/>
        <w:rPr>
          <w:sz w:val="20"/>
          <w:szCs w:val="20"/>
          <w:color w:val="auto"/>
        </w:rPr>
      </w:pPr>
      <w:r>
        <w:rPr>
          <w:rFonts w:ascii="Times New Roman" w:cs="Times New Roman" w:eastAsia="Times New Roman" w:hAnsi="Times New Roman"/>
          <w:sz w:val="17"/>
          <w:szCs w:val="17"/>
          <w:color w:val="auto"/>
        </w:rPr>
        <w:t>We derive substantially all of our total revenues from premiums earned, which is primarily driven by the number of members under our MA plans. As a result, the size of our member base is critical to our success and we are continually executing several growth initiatives, strategies and operating plans designed to increase the size of our member base, including the expansion of our Medicare Advantage offering in both additional markets across the United States and in markets we currently serve. We may not be able to successfully complete these growth initiatives, strategies, and operating plans and realize all of the expected potential benefits, including achieving cost savings, better plan economics and more affordable health care. In addition, even if we are successful in achieving this growth, doing so may be more costly than we anticipate, and if we are not able to manage our costs our results could be materially adversely affected. See the section entitled “</w:t>
      </w:r>
      <w:r>
        <w:rPr>
          <w:rFonts w:ascii="Times New Roman" w:cs="Times New Roman" w:eastAsia="Times New Roman" w:hAnsi="Times New Roman"/>
          <w:sz w:val="17"/>
          <w:szCs w:val="17"/>
          <w:i w:val="1"/>
          <w:iCs w:val="1"/>
          <w:color w:val="auto"/>
        </w:rPr>
        <w:t>—If we fail to estimate, price for, and manage our medical expenses in an effective manner, the profitability of our Medicare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Advantage plans could decline and could materially and adversely affect our results of operations, financial position and cash flows.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To date, we have primarily been focused on offering our MA plans in nine counties within New Jersey, where our membership expanded from 30,681 as of January 1, 2018, to 42,594 as of December 31, 2019, and we have concentrated on two metropolitan areas. While we intend to continue to grow our membership by increasing our share in existing service areas and entering into new service areas, we may not be able to successfully achieve this growth for a number of reasons. Our ability to attract and retain members may be impacted by several factors, including, without limitation:</w:t>
      </w:r>
    </w:p>
    <w:p>
      <w:pPr>
        <w:spacing w:after="0" w:line="92" w:lineRule="exact"/>
        <w:rPr>
          <w:sz w:val="20"/>
          <w:szCs w:val="20"/>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brand recognition;</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developing strategic co-marketing relationships;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lack of shopping for plans by MA eligible beneficiaries;</w:t>
      </w:r>
    </w:p>
    <w:p>
      <w:pPr>
        <w:spacing w:after="0" w:line="123" w:lineRule="exact"/>
        <w:rPr>
          <w:rFonts w:ascii="Times New Roman" w:cs="Times New Roman" w:eastAsia="Times New Roman" w:hAnsi="Times New Roman"/>
          <w:sz w:val="18"/>
          <w:szCs w:val="18"/>
          <w:color w:val="auto"/>
        </w:rPr>
      </w:pPr>
    </w:p>
    <w:p>
      <w:pPr>
        <w:ind w:left="1000" w:right="40" w:hanging="439"/>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consumer preferences, including a preference by members to enroll with an MA plan sponsored by the insurer of the commercial plan in which they enrolled before they became eligible for Medicare, a preference by members to enroll in a special needs MA plan, such as an I-SNP, D-SNP, or C-SNP, which we do not offer;</w:t>
      </w:r>
    </w:p>
    <w:p>
      <w:pPr>
        <w:spacing w:after="0" w:line="8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effectively compete and offer low cost and high value plans;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an attractive network in new markets;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the overall pool of MA eligible beneficiaries;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growing our provider networks and contracting with providers and medical facilities on competitive terms.</w:t>
      </w:r>
    </w:p>
    <w:p>
      <w:pPr>
        <w:spacing w:after="0" w:line="216"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health maintenance organization (“HMO”) plans have restrictions on the network of doctors that HMO members can see, and other providers participating in Medicare may choose to see no MA members or only MA members participating in specific plans. It is also possible that Original Medicare or other insurers’ MA plans may offer better physician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 MA plan from us.</w:t>
      </w:r>
    </w:p>
    <w:p>
      <w:pPr>
        <w:spacing w:after="0" w:line="189"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The growth in our membership is highly dependent upon our success in attracting new members during the Medicare annual enrollment period and open enrollment period. If our ability or the ability of our partners to</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50"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such as the COVID-19 pandemic, or issues with government-run health insurance exchanges, we could acquire fewer new members than expected or suffer a reduction in the number of our existing members and our business, operating results and financial condition could be harmed.</w:t>
      </w:r>
    </w:p>
    <w:p>
      <w:pPr>
        <w:spacing w:after="0" w:line="187" w:lineRule="exact"/>
        <w:rPr>
          <w:sz w:val="20"/>
          <w:szCs w:val="20"/>
          <w:color w:val="auto"/>
        </w:rPr>
      </w:pPr>
    </w:p>
    <w:p>
      <w:pPr>
        <w:ind w:right="200" w:firstLine="449"/>
        <w:spacing w:after="0" w:line="251" w:lineRule="auto"/>
        <w:rPr>
          <w:sz w:val="20"/>
          <w:szCs w:val="20"/>
          <w:color w:val="auto"/>
        </w:rPr>
      </w:pPr>
      <w:r>
        <w:rPr>
          <w:rFonts w:ascii="Times New Roman" w:cs="Times New Roman" w:eastAsia="Times New Roman" w:hAnsi="Times New Roman"/>
          <w:sz w:val="18"/>
          <w:szCs w:val="18"/>
          <w:color w:val="auto"/>
        </w:rPr>
        <w:t>Other factors that could limit our membership growth include, among others, potential non-compliance with CMS requirements and other laws and regulations, which could result in sanctions against us that prevent us, among other actions, from marketing or enrolling in existing markets or entering new markets; delays in the anticipated timing of activities related to such growth initiatives, strategies, and operating plans; increased difficulty and cost in implementing these efforts, including difficulties in complying with existing as well as new regulatory requirements; and the incurrence of other unexpected costs associated with operating the business.</w:t>
      </w:r>
    </w:p>
    <w:p>
      <w:pPr>
        <w:spacing w:after="0" w:line="187"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In addition, our decisions concerning the allocation of management and financial resources toward efforts to grow our membership in certain markets may not lead to the membership growth we expect or at all. Similarly, our potential decisions to delay entering or terminate our services in any market may subsequently also prove to be suboptimal and could cause us to miss valuable opportunities. If we make incorrect determinations regarding the viability or potential for membership growth in any specific market, our business, financial condition and results of operations could be materially adversely affected. As a result, we may fail to capitalize on viable commercial opportunities or be required to forego or delay pursuit of opportunities that may later prove to have greater commercial potential than those we choose to pursue.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we cannot assure you that we will be able to increase our number of members.</w:t>
      </w:r>
    </w:p>
    <w:p>
      <w:pPr>
        <w:spacing w:after="0" w:line="318"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membership remains concentrated in certain geographic areas and populations exposing us to unfavorable changes in local benefit costs, reimbursement rates, competition and economic conditions.</w:t>
      </w:r>
    </w:p>
    <w:p>
      <w:pPr>
        <w:spacing w:after="0" w:line="58"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Our membership remains concentrated in certain geographic areas in the United States and in certain populations, many of whom are low-income and minority and most of whom are elderly. As of December 31, 2019, approximately 97.6% of our members, most of whom were in two metropolitan areas, were residents of New Jersey. Unfavorable changes in health care or other benefit costs or reimbursement rates or increased competition in New Jersey or any other geographic area where our membership becomes concentrated in the future could therefore have a disproportionately adverse effect on our operating results. Additionally, the geographic concentration and low-income status of a significant portion of our membership may make them more vulnerable to events such as the COVID-19 pandemic. In particular, a disproportionate number of our members may be affected by the COVID-19 pandemic, access to care may be more difficult, and proposed responses, including telehealth, may not be accessible.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new markets, particularly rural markets, may not be as economical to serve as our existing markets.</w:t>
      </w:r>
    </w:p>
    <w:p>
      <w:pPr>
        <w:spacing w:after="0" w:line="114"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While we have plans to grow our membership geographically and across demographics, there is no guarantee that we will be successful in doing so. In addition, as a result of our mission to make great healthcare available to everyone, we seek to provide high-value and affordable MA plans in every market we operate and do not exclude MA-eligible beneficiaries that may be higher risk for requiring increased medical costs. Currently, 33% of our members are low income and approximately 55.9% of our members who self-report their ethnicity are members of a minority group. Given that there are significant health disparities in the United States based on minority and socioeconomic status, and that our low-income and minority members tend to have more chronic illnesses, our strategy could result in our healthcare costs exceeding those of comparable MA plans who seek to curate their membership. While we believe that with the Clover Assistant we can reduce costs of all of our members and drive increasingly better unit economics at scale, there can be no assurances that we will succeed in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450"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doing so. We intend to expand into an increasing percentage of counties that CMS classifies as rural. Due to the rural nature of these markets, we may have difficulty providing the same level and types of clinical care as we provide in our other markets. If the medical expenses of members in such counties are higher than we anticipate, or if the rates of Clover Assistant adoption in such counties are lower than we anticipate, we may not be able to serve such counties with economic results as favorable as we expect in non-rural counties that we currently predominately serve. If the clinical care we can provide in these rural markets is limited, we may not be able to achieve the same cost savings in these markets as we have previously achieved in our existing markets. As a result, if we are unable to profitably grow and diversify our membership geographically, our revenue and operating results may be disproportionately affected by adverse changes affecting our members.</w:t>
      </w:r>
    </w:p>
    <w:p>
      <w:pPr>
        <w:spacing w:after="0" w:line="29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if we are unable to grow our provider networks and contract with providers, medical facilities and other entities on competitive terms.</w:t>
      </w:r>
    </w:p>
    <w:p>
      <w:pPr>
        <w:spacing w:after="0" w:line="58"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attract additional membership, our provider networks, including the those physicians participating in Medicare and willing to see our patients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w:t>
      </w:r>
    </w:p>
    <w:p>
      <w:pPr>
        <w:spacing w:after="0" w:line="190"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the Clover Assistant by physicians as well as lead to higher costs, healthcare provider network disruptions and less attractive options for our members, any of which could have a material adverse effect on our business, financial condition and results of operations.</w:t>
      </w:r>
    </w:p>
    <w:p>
      <w:pPr>
        <w:spacing w:after="0" w:line="290"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our growth, which could have a material adverse effect on our business, financial condition and results of operation.</w:t>
      </w:r>
    </w:p>
    <w:p>
      <w:pPr>
        <w:spacing w:after="0" w:line="58"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If we are unable to manage our growth effectively, we may incur unexpected expenses, which could materially adversely affect our business, financial condition and results of operations. To manage our current and anticipated future growth effectively, we must continue to maintain and enhance our IT and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and the availability of such personnel, in particular software engineers, may be constrained. This will require 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450"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to invest in and commit significant financial, operational, and management resources to grow and change in these areas which may disrupt our operations and performance and adversely affect our business, financial condition, and results of operation.</w:t>
      </w:r>
    </w:p>
    <w:p>
      <w:pPr>
        <w:spacing w:after="0" w:line="271"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58" w:lineRule="exact"/>
        <w:rPr>
          <w:sz w:val="20"/>
          <w:szCs w:val="20"/>
          <w:color w:val="auto"/>
        </w:rPr>
      </w:pPr>
    </w:p>
    <w:p>
      <w:pPr>
        <w:ind w:firstLine="449"/>
        <w:spacing w:after="0" w:line="246" w:lineRule="auto"/>
        <w:rPr>
          <w:sz w:val="20"/>
          <w:szCs w:val="20"/>
          <w:color w:val="auto"/>
        </w:rPr>
      </w:pPr>
      <w:r>
        <w:rPr>
          <w:rFonts w:ascii="Times New Roman" w:cs="Times New Roman" w:eastAsia="Times New Roman" w:hAnsi="Times New Roman"/>
          <w:sz w:val="18"/>
          <w:szCs w:val="18"/>
          <w:color w:val="auto"/>
        </w:rPr>
        <w:t>The markets for MA plans and related products are highly competitive. We compete in certain segments within the healthcare market, including MA plans as well as other healthcare technology platforms, and intend to enter into other markets, such as new payment models offered by CMS, including the Direct Contracting program. Competition in our market involves rapidly changing technologies, evolving regulatory requirements and industry expectations, new product offerings and constantly evolving member and physician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and Centene, that provide MA plans, as well as regional-based companies or health plans that provide MA plans, including Blue Cross Blue Shield affiliates,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 care technology platforms, EHR providers, telehealth providers, health care data analytics providers and accountable care organizations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physician users and members, or develop and deliver innovative and potentially disruptive products and services to satisfy evolving market demands, develop and recruit qualified physicians and other provider specialists, we may not remain competitive, and we risk inability to maintain or increase our membership, lack of adoption of our products and services by members and physician users, and loss of current market share to existing competitors and disruptive new market entrants.</w:t>
      </w:r>
    </w:p>
    <w:p>
      <w:pPr>
        <w:spacing w:after="0" w:line="200"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Any one of these competitive pressures in our market, or our failure to compete effectively, may result in fewer plans being offered; a reduction in plan benefits; reduced services; a loss of existing members or inability to grow membership; fewer physician users; reduced revenues; lower gross margins; and loss of market share. Any failure to meet and address these factors would harm our business,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with larger companies that may have stronger brands, and consolidation among competitors would increase competition.</w:t>
      </w:r>
    </w:p>
    <w:p>
      <w:pPr>
        <w:spacing w:after="0" w:line="114"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Some of our competitors may have greater name recognition, longer operating histories, stronger and more extensive physician networks and other partner relationships, significantly greater financial, technical, marketing, and other resources, lower labor and development costs, greater access to healthcare data and larger member bases than we do. These competitors may engage in more extensive research and development efforts, undertake more far-reaching marketing campaigns, and adopt more aggressive pricing or payment policies that will allow them to build larger member bases or physician networks than we have. Our competitors may also provide more desirable products or services and take better care of their members.</w:t>
      </w:r>
    </w:p>
    <w:p>
      <w:pPr>
        <w:spacing w:after="0" w:line="187" w:lineRule="exact"/>
        <w:rPr>
          <w:sz w:val="20"/>
          <w:szCs w:val="20"/>
          <w:color w:val="auto"/>
        </w:rPr>
      </w:pPr>
    </w:p>
    <w:p>
      <w:pPr>
        <w:jc w:val="both"/>
        <w:ind w:right="380" w:firstLine="449"/>
        <w:spacing w:after="0" w:line="258" w:lineRule="auto"/>
        <w:rPr>
          <w:sz w:val="20"/>
          <w:szCs w:val="20"/>
          <w:color w:val="auto"/>
        </w:rPr>
      </w:pPr>
      <w:r>
        <w:rPr>
          <w:rFonts w:ascii="Times New Roman" w:cs="Times New Roman" w:eastAsia="Times New Roman" w:hAnsi="Times New Roman"/>
          <w:sz w:val="18"/>
          <w:szCs w:val="18"/>
          <w:color w:val="auto"/>
        </w:rPr>
        <w:t>Further, the healthcare industry in the United States has experienced a substantial amount of consolidation, resulting in a decrease in the number of insurance carriers, providers and payors. For example, in January 2020, Centene Corporation acquired Wellcare Health Plans, Inc., which resulted in the significant expansion 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450" w:right="3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Centene’s Medicare footprint. Continued consolidation among providers reduces the number of potential contracting providers in certain geographies, which could lead to reduced leverage in our contract negotiations with those parties and would limit our ability to expand adoption of the Clover Assistant.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seen in the 2018 acquisition of Aetna by CVS Health.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depends on our ability to successfully compete with other companies providing similar services and technological offerings. New competitors or alliances may emerge that have greater market share, a larger member base, a stronger and larger physician network, more widely adopted proprietary technologies, greater ability to care for their members,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members may purchase competitive plans in lieu of purchasing our health plans or physicians may adopt competing technology platforms in lieu of the Clover Assistant. Any such events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estimate incurred but not reported claims accurately would affect our results of operations.</w:t>
      </w:r>
    </w:p>
    <w:p>
      <w:pPr>
        <w:spacing w:after="0" w:line="114"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Due to the time lag between when medical services are actually rendered by our providers and when we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make adjustments, if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297"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Financial accounting for the Medicare Part D benefits requires difficult estimates and assumptions, and if they prove to be incorrect, our results of operations could be adversely affected.</w:t>
      </w:r>
    </w:p>
    <w:p>
      <w:pPr>
        <w:spacing w:after="0" w:line="58"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With respect to our CMS contracts which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require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450"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Reinsurance and low-income cost subsidies represent payments from CMS in connection with the Medicare Part D program for which we assume no risk.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is made after the end of the applicable year.</w:t>
      </w:r>
    </w:p>
    <w:p>
      <w:pPr>
        <w:spacing w:after="0" w:line="187"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8"/>
          <w:szCs w:val="18"/>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forego payments we would have otherwise received as a low-income subsidy or reinsurance claim. In addition, in the event the settlement represents an amount CMS owes us, there is a negative impact on our cash flows and financial condition as a result of financing CMS’s share of the risk. The opposite is true in the event the settlement represents an amount we owe CMS.</w:t>
      </w:r>
    </w:p>
    <w:p>
      <w:pPr>
        <w:spacing w:after="0" w:line="29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sales and marketing infrastructure or if we fail to overcome challenges relating to marketing of our MA plans, we may fail to enroll sufficient members to meet our forecasts.</w:t>
      </w:r>
    </w:p>
    <w:p>
      <w:pPr>
        <w:spacing w:after="0" w:line="58" w:lineRule="exact"/>
        <w:rPr>
          <w:sz w:val="20"/>
          <w:szCs w:val="20"/>
          <w:color w:val="auto"/>
        </w:rPr>
      </w:pPr>
    </w:p>
    <w:p>
      <w:pPr>
        <w:ind w:right="120" w:firstLine="449"/>
        <w:spacing w:after="0" w:line="273" w:lineRule="auto"/>
        <w:rPr>
          <w:sz w:val="20"/>
          <w:szCs w:val="20"/>
          <w:color w:val="auto"/>
        </w:rPr>
      </w:pPr>
      <w:r>
        <w:rPr>
          <w:rFonts w:ascii="Times New Roman" w:cs="Times New Roman" w:eastAsia="Times New Roman" w:hAnsi="Times New Roman"/>
          <w:sz w:val="17"/>
          <w:szCs w:val="17"/>
          <w:color w:val="auto"/>
        </w:rPr>
        <w:t>We derive substantially all of our total revenues from MA premiums, and we expect that they will continue to account for a substantial portion of our total revenues for the foreseeable future. As a result, our financial condition and results of operations are and will continue to be highly dependent on the ability of our sales force to adequately promote and market our MA plans to enroll new members and retain our existing members. If our sales and marketing representatives fail to achieve their objectives, member enrollment could decrease or may not increase at levels that are in line with our forecasts.</w:t>
      </w:r>
    </w:p>
    <w:p>
      <w:pPr>
        <w:spacing w:after="0" w:line="168" w:lineRule="exact"/>
        <w:rPr>
          <w:sz w:val="20"/>
          <w:szCs w:val="20"/>
          <w:color w:val="auto"/>
        </w:rPr>
      </w:pPr>
    </w:p>
    <w:p>
      <w:pPr>
        <w:ind w:right="80" w:firstLine="449"/>
        <w:spacing w:after="0" w:line="248" w:lineRule="auto"/>
        <w:rPr>
          <w:sz w:val="20"/>
          <w:szCs w:val="20"/>
          <w:color w:val="auto"/>
        </w:rPr>
      </w:pPr>
      <w:r>
        <w:rPr>
          <w:rFonts w:ascii="Times New Roman" w:cs="Times New Roman" w:eastAsia="Times New Roman" w:hAnsi="Times New Roman"/>
          <w:sz w:val="18"/>
          <w:szCs w:val="18"/>
          <w:color w:val="auto"/>
        </w:rPr>
        <w:t>We plan to continue to expand our sales and marketing infrastructure to drive member enrollment through third-party partnerships, including marketing relationships with insurance brokers and field marketing organizations, strategic partners in certain geographical markets, and co-branding arrangements with doctors and other provider institutions to increase our local market penetration. If we are not successful at converting the opportunities presented by new distribution channels and access to local markets, we may not be able to grow our membership or our plans as quickly as we need to, or at all. For example, if insurance brokers and field marketing organizations choose not to market and sell our plans, our business and results of operations would be adversely affected. In addition to the financial impact of having fewer members than we anticipated, if we do not grow our membership,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the Clover Assistant. This, in turn, could compromise our ability to deliver on our goals of using the Clover Assistant to decrease costs and improve care.</w:t>
      </w:r>
    </w:p>
    <w:p>
      <w:pPr>
        <w:spacing w:after="0" w:line="188"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450" w:right="3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spacing w:after="0" w:line="169"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In addition to the challenges to expand our sales and marketing efforts, we face significant challenges generally in our marketing efforts. We market or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and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would negatively affect our annual member enrollment and our business, financial condition and results of operations could be adversely affected. In addition, as one of the newest entrants in the Medicare Advantage business, we face certain disadvantages in free marketing channels provided by the federal government. For example, the Medicare Plan Finder, which provides Medicare-eligible beneficiaries a place to 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 While we are engaging with CMS in an effort to change its sorting logic, incumbents in the MA business have increased visibility in this marketing channel and in similar marketing channels, which could reduce our take rate and negatively affect our business, results of 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forecasts.</w:t>
      </w:r>
    </w:p>
    <w:p>
      <w:pPr>
        <w:spacing w:after="0" w:line="29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recognition or are unable to maintain or enhance our reputation, our business, financial condition and results of operations will be harmed.</w:t>
      </w:r>
    </w:p>
    <w:p>
      <w:pPr>
        <w:spacing w:after="0" w:line="58"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We believe that developing widespread brand recognition and maintaining and enhancing our reputation is critical to our relationships with existing providers and members, and to our ability to attract new providers and members to our platform and plans.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providers or members, could harm our reputation and brand and make it substantially more difficult for us to attract new providers or members. If we do not successfully develop widespread brand recognition and maintain and enhance our reputation, our business may not grow and we could lose our relationships with providers or members which would harm our business, financial condition and results of operations.</w:t>
      </w:r>
    </w:p>
    <w:p>
      <w:pPr>
        <w:spacing w:after="0" w:line="29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provide services that are useful to our members and physicians, we may not remain competitive, and our business, financial condition and results of operations could suffer.</w:t>
      </w:r>
    </w:p>
    <w:p>
      <w:pPr>
        <w:spacing w:after="0" w:line="58" w:lineRule="exact"/>
        <w:rPr>
          <w:sz w:val="20"/>
          <w:szCs w:val="20"/>
          <w:color w:val="auto"/>
        </w:rPr>
      </w:pPr>
    </w:p>
    <w:p>
      <w:pPr>
        <w:ind w:right="80" w:firstLine="449"/>
        <w:spacing w:after="0" w:line="269" w:lineRule="auto"/>
        <w:rPr>
          <w:sz w:val="20"/>
          <w:szCs w:val="20"/>
          <w:color w:val="auto"/>
        </w:rPr>
      </w:pPr>
      <w:r>
        <w:rPr>
          <w:rFonts w:ascii="Times New Roman" w:cs="Times New Roman" w:eastAsia="Times New Roman" w:hAnsi="Times New Roman"/>
          <w:sz w:val="17"/>
          <w:szCs w:val="17"/>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member and physician user requirements, and sustain and grow market acceptance. Our future financial performance will depend in part on our growth in this market and on our ability to adapt to emerging market demands, including adapting to the ways our members access and use our MA plans and clinical care programs and the ways our providers use and engage with the Clover Assistant. Our competitors may develop products and services that may appeal more to our members and/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50"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or providers. As a result, we must continue to invest significant resources in research and development in order to enhance our existing platform and introduce new high-quality products and features that our members and physicians will want, while offering our MA plans at competitive prices. In particular, achieving and maintaining broad market acceptance of our MA plans and our products, including the Clover Assistant, could be negatively affected by many factors, including:</w:t>
      </w:r>
    </w:p>
    <w:p>
      <w:pPr>
        <w:spacing w:after="0" w:line="92" w:lineRule="exact"/>
        <w:rPr>
          <w:sz w:val="20"/>
          <w:szCs w:val="20"/>
          <w:color w:val="auto"/>
        </w:rPr>
      </w:pPr>
    </w:p>
    <w:p>
      <w:pPr>
        <w:ind w:left="1000" w:hanging="439"/>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member and physician needs and preferences;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the ease-of-use, cost-savings or other perceived benefits of our MA plans;</w:t>
      </w:r>
    </w:p>
    <w:p>
      <w:pPr>
        <w:spacing w:after="0" w:line="123" w:lineRule="exact"/>
        <w:rPr>
          <w:rFonts w:ascii="Times New Roman" w:cs="Times New Roman" w:eastAsia="Times New Roman" w:hAnsi="Times New Roman"/>
          <w:sz w:val="18"/>
          <w:szCs w:val="18"/>
          <w:color w:val="auto"/>
        </w:rPr>
      </w:pPr>
    </w:p>
    <w:p>
      <w:pPr>
        <w:ind w:left="1000" w:right="100" w:hanging="439"/>
        <w:spacing w:after="0" w:line="27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the ease-of-use, costs savings or other perceived benefits of our platform over competitive products and technology platforms; and</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associated with the use of our platform, similar products or technologies generally.</w:t>
      </w:r>
    </w:p>
    <w:p>
      <w:pPr>
        <w:spacing w:after="0" w:line="216" w:lineRule="exact"/>
        <w:rPr>
          <w:sz w:val="20"/>
          <w:szCs w:val="20"/>
          <w:color w:val="auto"/>
        </w:rPr>
      </w:pPr>
    </w:p>
    <w:p>
      <w:pPr>
        <w:ind w:right="40" w:firstLine="449"/>
        <w:spacing w:after="0" w:line="267" w:lineRule="auto"/>
        <w:rPr>
          <w:sz w:val="20"/>
          <w:szCs w:val="20"/>
          <w:color w:val="auto"/>
        </w:rPr>
      </w:pPr>
      <w:r>
        <w:rPr>
          <w:rFonts w:ascii="Times New Roman" w:cs="Times New Roman" w:eastAsia="Times New Roman" w:hAnsi="Times New Roman"/>
          <w:sz w:val="17"/>
          <w:szCs w:val="17"/>
          <w:color w:val="auto"/>
        </w:rPr>
        <w:t>In addition, our platform may be perceived by our network physicians,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the Clover Assistant until there is enough evidence to convince them to alter their current approach or until the number of the Clover Assistant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results of operations and reputation could suffer.</w:t>
      </w:r>
    </w:p>
    <w:p>
      <w:pPr>
        <w:spacing w:after="0" w:line="114"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Our business is dependent upon providing high-quality customer support and service to both our members and providers. In particular, our ability to attract and retain membership is dependent upon providing cost effective, quality customer service operations, such as call center operations and claim processing, that meet or exceed our members’ expectations. We depend on third parties for certain of our customer service operations. If we or our vendors fail to provide service that meets our members’ expectations, we may have difficulty retaining or growing our membership, which could adversely affect our business, financial condition and results of operations.</w:t>
      </w:r>
    </w:p>
    <w:p>
      <w:pPr>
        <w:spacing w:after="0" w:line="187" w:lineRule="exact"/>
        <w:rPr>
          <w:sz w:val="20"/>
          <w:szCs w:val="20"/>
          <w:color w:val="auto"/>
        </w:rPr>
      </w:pPr>
    </w:p>
    <w:p>
      <w:pPr>
        <w:ind w:right="80" w:firstLine="449"/>
        <w:spacing w:after="0" w:line="249" w:lineRule="auto"/>
        <w:rPr>
          <w:sz w:val="20"/>
          <w:szCs w:val="20"/>
          <w:color w:val="auto"/>
        </w:rPr>
      </w:pPr>
      <w:r>
        <w:rPr>
          <w:rFonts w:ascii="Times New Roman" w:cs="Times New Roman" w:eastAsia="Times New Roman" w:hAnsi="Times New Roman"/>
          <w:sz w:val="18"/>
          <w:szCs w:val="18"/>
          <w:color w:val="auto"/>
        </w:rPr>
        <w:t>While we have designed the Clover Assistant to be easy to adopt and use, once providers begin using it, they rely on our support services to resolve any related issues. High-quality user education and customer experience have been key to the adoption of the Clover Assistant. We expect the importance of high-quality customer experience to increase as we expand our business and pursue new provider users. Any failure to maintain high-quality customer experience, or a market perception that we do not maintain high-quality customer experience, could harm our reputation, our ability to grow the number of users and increase user engagement of our platform, and our business, results of operations, and financial condition. Additionally, as the number of providers using the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or perceived errors, failures, vulnerabilities, or bugs in the Clover Assistant would harm our business, results of operations, and financial condition.</w:t>
      </w:r>
    </w:p>
    <w:p>
      <w:pPr>
        <w:spacing w:after="0" w:line="126" w:lineRule="exact"/>
        <w:rPr>
          <w:sz w:val="20"/>
          <w:szCs w:val="20"/>
          <w:color w:val="auto"/>
        </w:rPr>
      </w:pPr>
    </w:p>
    <w:p>
      <w:pPr>
        <w:jc w:val="both"/>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software technology underlying and integrating with the Clover Assistant is inherently complex and may contain material defects or errors. Errors, failures, vulnerabilities, or bugs have in the past, and may in the future, occur in the Clover Assistant, especially when updates are deployed or new features, integrations, or capabilities are rolled out. For example, if the telemedicine feature or the real time suggestions provided through</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450"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Clover Assistant were to fail, our systems could experience data loss and/or providers may become frustrated with the Clover Assistant, which in turn may affect retention and adoption of the Clover Assistant by providers. Additionally, if a bug was discovered in the Clover Assistant that made the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18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8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58" w:lineRule="exact"/>
        <w:rPr>
          <w:sz w:val="20"/>
          <w:szCs w:val="20"/>
          <w:color w:val="auto"/>
        </w:rPr>
      </w:pPr>
    </w:p>
    <w:p>
      <w:pPr>
        <w:ind w:right="80" w:firstLine="449"/>
        <w:spacing w:after="0" w:line="248" w:lineRule="auto"/>
        <w:rPr>
          <w:sz w:val="20"/>
          <w:szCs w:val="20"/>
          <w:color w:val="auto"/>
        </w:rPr>
      </w:pPr>
      <w:r>
        <w:rPr>
          <w:rFonts w:ascii="Times New Roman" w:cs="Times New Roman" w:eastAsia="Times New Roman" w:hAnsi="Times New Roman"/>
          <w:sz w:val="18"/>
          <w:szCs w:val="18"/>
          <w:color w:val="auto"/>
        </w:rPr>
        <w:t>We may experience system slowdowns and interruptions from time to time. In addition, continued growth in our member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2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58"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forecast our operating results and growth rate. Any of these events could cause the market price of our common stock to fluctuate. Factors that may contribute to the variability of our operating results include:</w:t>
      </w:r>
    </w:p>
    <w:p>
      <w:pPr>
        <w:spacing w:after="0" w:line="92" w:lineRule="exact"/>
        <w:rPr>
          <w:sz w:val="20"/>
          <w:szCs w:val="20"/>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enrollment periods and related sales and marketing expenses;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risk adjustments;</w:t>
      </w:r>
    </w:p>
    <w:p>
      <w:pPr>
        <w:spacing w:after="0" w:line="123" w:lineRule="exact"/>
        <w:rPr>
          <w:rFonts w:ascii="Times New Roman" w:cs="Times New Roman" w:eastAsia="Times New Roman" w:hAnsi="Times New Roman"/>
          <w:sz w:val="18"/>
          <w:szCs w:val="18"/>
          <w:color w:val="auto"/>
        </w:rPr>
      </w:pPr>
    </w:p>
    <w:p>
      <w:pPr>
        <w:ind w:left="1000" w:right="260" w:hanging="439"/>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large hospital and healthcare systems in our provider network, including through acquisitions or consolidations of such systems;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revenue, including possible delays in the recognition of revenue;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123" w:lineRule="exact"/>
        <w:rPr>
          <w:rFonts w:ascii="Times New Roman" w:cs="Times New Roman" w:eastAsia="Times New Roman" w:hAnsi="Times New Roman"/>
          <w:sz w:val="18"/>
          <w:szCs w:val="18"/>
          <w:color w:val="auto"/>
        </w:rPr>
      </w:pPr>
    </w:p>
    <w:p>
      <w:pPr>
        <w:ind w:left="1000" w:hanging="439"/>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size and composition of our in-house clinician program relative to the level of demand for services from our members;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450" w:right="3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00" w:right="160" w:hanging="439"/>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spacing w:after="0" w:line="76" w:lineRule="exact"/>
        <w:rPr>
          <w:rFonts w:ascii="Times New Roman" w:cs="Times New Roman" w:eastAsia="Times New Roman" w:hAnsi="Times New Roman"/>
          <w:sz w:val="18"/>
          <w:szCs w:val="18"/>
          <w:color w:val="auto"/>
        </w:rPr>
      </w:pPr>
    </w:p>
    <w:p>
      <w:pPr>
        <w:ind w:left="1000" w:right="320" w:hanging="439"/>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companies;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and/or delays in rolling out technology or platform updates;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or interruptions in the Clover Assistant;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provider adoption of the Clover Assistant;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members;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information security or privacy, and any applicable fines or penalties;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 including for our in-house clinician program;</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provider and payment systems;</w:t>
      </w:r>
    </w:p>
    <w:p>
      <w:pPr>
        <w:spacing w:after="0" w:line="123" w:lineRule="exact"/>
        <w:rPr>
          <w:rFonts w:ascii="Times New Roman" w:cs="Times New Roman" w:eastAsia="Times New Roman" w:hAnsi="Times New Roman"/>
          <w:sz w:val="18"/>
          <w:szCs w:val="18"/>
          <w:color w:val="auto"/>
        </w:rPr>
      </w:pPr>
    </w:p>
    <w:p>
      <w:pPr>
        <w:ind w:left="1000" w:right="660" w:hanging="439"/>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healthcare, privacy, or data protection, or enforcement by government regulators, including fines, orders, sanctions, or consent decrees;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ongoing or future regulatory audits, investigations, or litigation;</w:t>
      </w:r>
    </w:p>
    <w:p>
      <w:pPr>
        <w:spacing w:after="0" w:line="123" w:lineRule="exact"/>
        <w:rPr>
          <w:rFonts w:ascii="Times New Roman" w:cs="Times New Roman" w:eastAsia="Times New Roman" w:hAnsi="Times New Roman"/>
          <w:sz w:val="18"/>
          <w:szCs w:val="18"/>
          <w:color w:val="auto"/>
        </w:rPr>
      </w:pPr>
    </w:p>
    <w:p>
      <w:pPr>
        <w:ind w:left="1000" w:right="400" w:hanging="439"/>
        <w:spacing w:after="0" w:line="25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shelter-in-place orders and other social distancing measures implemented to combat any health emergency or pandemic (including the current COVID-19 pandemic), and their impact on economic, industry and market conditions, patient visits and our ability to conduct business;</w:t>
      </w:r>
    </w:p>
    <w:p>
      <w:pPr>
        <w:spacing w:after="0" w:line="85" w:lineRule="exact"/>
        <w:rPr>
          <w:rFonts w:ascii="Times New Roman" w:cs="Times New Roman" w:eastAsia="Times New Roman" w:hAnsi="Times New Roman"/>
          <w:sz w:val="18"/>
          <w:szCs w:val="18"/>
          <w:color w:val="auto"/>
        </w:rPr>
      </w:pPr>
    </w:p>
    <w:p>
      <w:pPr>
        <w:ind w:left="1000" w:hanging="439"/>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terrorist activities and health epidemics (including the current COVID-19 pandemic), and any disruption these events may cause to any of our offices, to the health care system, or to the global economy;</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and our competitors’ pricing policies;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w:t>
      </w:r>
    </w:p>
    <w:p>
      <w:pPr>
        <w:spacing w:after="0" w:line="216"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 See the section entitled “—</w:t>
      </w:r>
      <w:r>
        <w:rPr>
          <w:rFonts w:ascii="Times New Roman" w:cs="Times New Roman" w:eastAsia="Times New Roman" w:hAnsi="Times New Roman"/>
          <w:sz w:val="18"/>
          <w:szCs w:val="18"/>
          <w:i w:val="1"/>
          <w:iCs w:val="1"/>
          <w:color w:val="auto"/>
        </w:rPr>
        <w:t>Our business, results of operations and financial condition may fluctuate on a quarterly and annual basis, which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 in a decline in our stock price if such fluctuations result in a failure to meet any projections that we may provide or the expectations of securities analysts or investors.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58" w:lineRule="exact"/>
        <w:rPr>
          <w:sz w:val="20"/>
          <w:szCs w:val="20"/>
          <w:color w:val="auto"/>
        </w:rPr>
      </w:pPr>
    </w:p>
    <w:p>
      <w:pPr>
        <w:ind w:right="160" w:firstLine="449"/>
        <w:spacing w:after="0" w:line="267" w:lineRule="auto"/>
        <w:rPr>
          <w:sz w:val="20"/>
          <w:szCs w:val="20"/>
          <w:color w:val="auto"/>
        </w:rPr>
      </w:pPr>
      <w:r>
        <w:rPr>
          <w:rFonts w:ascii="Times New Roman" w:cs="Times New Roman" w:eastAsia="Times New Roman" w:hAnsi="Times New Roman"/>
          <w:sz w:val="17"/>
          <w:szCs w:val="17"/>
          <w:color w:val="auto"/>
        </w:rPr>
        <w:t>Market opportunity estimates and growth forecasts included in this prospectus are subject to significant uncertainty and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growth and stability of risk-adjusted payments paid by CMS, among other things. Our market opportunity is also based on the assumption that our existing and future offerings will be more attractive to our members and potential members than competing MA plans. If these assumptions prove inaccurate, our business, financial condition, and results of operations could be adversely affected.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450"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58" w:lineRule="exact"/>
        <w:rPr>
          <w:sz w:val="20"/>
          <w:szCs w:val="20"/>
          <w:color w:val="auto"/>
        </w:rPr>
      </w:pPr>
    </w:p>
    <w:p>
      <w:pPr>
        <w:ind w:right="20" w:firstLine="449"/>
        <w:spacing w:after="0" w:line="269" w:lineRule="auto"/>
        <w:rPr>
          <w:sz w:val="20"/>
          <w:szCs w:val="20"/>
          <w:color w:val="auto"/>
        </w:rPr>
      </w:pPr>
      <w:r>
        <w:rPr>
          <w:rFonts w:ascii="Times New Roman" w:cs="Times New Roman" w:eastAsia="Times New Roman" w:hAnsi="Times New Roman"/>
          <w:sz w:val="17"/>
          <w:szCs w:val="17"/>
          <w:color w:val="auto"/>
        </w:rPr>
        <w:t>We and our affiliated professional entities may be subject to professional liability claims and, if these claims are successful, substantial damage awards. With respect to our in-home care, the direct provision of healthcare services by certain of our subsidiaries involves risks arising from medical malpractice claims arising out of the delivery of healthcare and related services. Although we maintain insurance covering medical malpractice claims in amounts that we believe are appropriate in light of the risks attendant to our business, we cannot predict the outcomes of medical malpractice cases, the effect that any claims of this nature, regardless of their ultimate outcome, could have on our business or reputation or on our ability to attract and retain members.</w:t>
      </w:r>
    </w:p>
    <w:p>
      <w:pPr>
        <w:spacing w:after="0" w:line="174" w:lineRule="exact"/>
        <w:rPr>
          <w:sz w:val="20"/>
          <w:szCs w:val="20"/>
          <w:color w:val="auto"/>
        </w:rPr>
      </w:pPr>
    </w:p>
    <w:p>
      <w:pPr>
        <w:jc w:val="both"/>
        <w:ind w:right="40" w:firstLine="449"/>
        <w:spacing w:after="0" w:line="273" w:lineRule="auto"/>
        <w:rPr>
          <w:sz w:val="20"/>
          <w:szCs w:val="20"/>
          <w:color w:val="auto"/>
        </w:rPr>
      </w:pPr>
      <w:r>
        <w:rPr>
          <w:rFonts w:ascii="Times New Roman" w:cs="Times New Roman" w:eastAsia="Times New Roman" w:hAnsi="Times New Roman"/>
          <w:sz w:val="17"/>
          <w:szCs w:val="17"/>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pose certain risks to our business that may be different from risks associated with our domestic operations.</w:t>
      </w:r>
    </w:p>
    <w:p>
      <w:pPr>
        <w:spacing w:after="0" w:line="114"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We have significant operations, including certain outsourced operations in other countries, such as Hong Kong, the Philippines, Colombia, and India, and we may in the future expand our operations to other countries. Substantially all of our software research and development is performed internationally, by internal resources and a variety of offshore vendors in locations such as Hong Kong, Eastern Europe, and India. While these arrangements may lower operating costs, it also subjects us to the uncertain political climates and potential disruptions in international trade, including export control laws, including deemed export restrictions applicable to software and any amendments to those laws, as well as potentially increased data security and privacy risks and local economic and labor conditions. If we are unable to utilize our full software development team, this may result in decreased ability to innovate and maintain the Clover Assistant and carry out health plan data operations, which may in turn lead to adverse effects on our business, financial conditions and results of operations. Additionally, we outsource certain of our call center operations to the Philippines and Colombia and outsource our claims processing and coding to a company in India.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8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50"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40" w:firstLine="449"/>
        <w:spacing w:after="0" w:line="251" w:lineRule="auto"/>
        <w:rPr>
          <w:sz w:val="20"/>
          <w:szCs w:val="20"/>
          <w:color w:val="auto"/>
        </w:rPr>
      </w:pPr>
      <w:r>
        <w:rPr>
          <w:rFonts w:ascii="Times New Roman" w:cs="Times New Roman" w:eastAsia="Times New Roman" w:hAnsi="Times New Roman"/>
          <w:sz w:val="18"/>
          <w:szCs w:val="18"/>
          <w:color w:val="auto"/>
        </w:rPr>
        <w:t>Compliance with applicable U.S. and foreign laws and regulations, such as import and export requirements, anti-corruption laws, tax laws, foreign exchange controls and data privacy and data localization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w:t>
      </w:r>
    </w:p>
    <w:p>
      <w:pPr>
        <w:spacing w:after="0" w:line="187"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Furthermore, weakness of the U.S. dollar in relation to the currencies used in these foreign countries may also reduce the savings achievable through this strategy and could have an adverse effect on our business, financial condition and results of operations.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failure to successfully manage our international operations and the associated risks effectively could limit the future growth of our business.</w:t>
      </w:r>
    </w:p>
    <w:p>
      <w:pPr>
        <w:spacing w:after="0" w:line="318"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successful in expanding our plan membership across the United States, we may incur increased expenses and risks related to compliance with state licensure requirements, which could impact our business and operating results.</w:t>
      </w:r>
    </w:p>
    <w:p>
      <w:pPr>
        <w:spacing w:after="0" w:line="58"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7"/>
          <w:szCs w:val="17"/>
          <w:color w:val="auto"/>
        </w:rPr>
        <w:t>State regulators require us to maintain a valid license in each state in which we transact health insurance business, maintain minimum capital and surplus, and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all 50 states and the District of Columbia or expand our plan offerings, compliance with health insurance-related laws, rules, and regulations may be difficult and may impose significant costs on our business. Each jurisdiction’s insurance department typically has the power, among other things, to:</w:t>
      </w:r>
    </w:p>
    <w:p>
      <w:pPr>
        <w:spacing w:after="0" w:line="83" w:lineRule="exact"/>
        <w:rPr>
          <w:sz w:val="20"/>
          <w:szCs w:val="20"/>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and revoke licenses to transact insurance business;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minimum capital and surplus requirements;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inquiries into the insurance-related activities and conduct of agents and agencies;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and regulate disclosure in connection with the sale and solicitation of health insurance;</w:t>
      </w:r>
    </w:p>
    <w:p>
      <w:pPr>
        <w:spacing w:after="0" w:line="123" w:lineRule="exact"/>
        <w:rPr>
          <w:rFonts w:ascii="Times New Roman" w:cs="Times New Roman" w:eastAsia="Times New Roman" w:hAnsi="Times New Roman"/>
          <w:sz w:val="18"/>
          <w:szCs w:val="18"/>
          <w:color w:val="auto"/>
        </w:rPr>
      </w:pPr>
    </w:p>
    <w:p>
      <w:pPr>
        <w:ind w:left="1000" w:right="380" w:hanging="439"/>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how, by which personnel and under what circumstances insurance premiums can be quoted and published and an insurance policy sold;</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which entities can be paid commissions from carriers and the circumstances under which they may be paid;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content of insurance-related advertisements, including web pages, and other marketing practices;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policy forms, require specific benefits and benefit levels and regulate premium rates;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and other penalties;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continuing education requirements.</w:t>
      </w:r>
    </w:p>
    <w:p>
      <w:pPr>
        <w:spacing w:after="0" w:line="216"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addition, we must ensure that our agents have received all licenses, appointments and certifications required by state authorities in order to transact business. If the relevant state authorities experience shutdowns or continued business disruptions due to the COVID-19 pandemic, we may be unable to secure these required licenses, appointments and certifications for our agents in a timely manner, or at 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50"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Due to the complexity, periodic modification and differing interpretations of state insurance laws and regulations, we may not have always been, and we may not always be, in compliance with such laws and regulations.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 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193" w:lineRule="exact"/>
        <w:rPr>
          <w:sz w:val="20"/>
          <w:szCs w:val="20"/>
          <w:color w:val="auto"/>
        </w:rPr>
      </w:pPr>
    </w:p>
    <w:p>
      <w:pPr>
        <w:ind w:right="260" w:firstLine="449"/>
        <w:spacing w:after="0" w:line="251" w:lineRule="auto"/>
        <w:rPr>
          <w:sz w:val="20"/>
          <w:szCs w:val="20"/>
          <w:color w:val="auto"/>
        </w:rPr>
      </w:pPr>
      <w:r>
        <w:rPr>
          <w:rFonts w:ascii="Times New Roman" w:cs="Times New Roman" w:eastAsia="Times New Roman" w:hAnsi="Times New Roman"/>
          <w:sz w:val="18"/>
          <w:szCs w:val="18"/>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 and our business, results of operations, and financial condition could be negatively impacted.</w:t>
      </w:r>
    </w:p>
    <w:p>
      <w:pPr>
        <w:spacing w:after="0" w:line="288"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providers for computing infrastructure, network connectivity, and other technology-related services needed to deliver our platform and products. Any disruption in the services provided by such third-party providers could adversely affect our business and subject us to liability.</w:t>
      </w:r>
    </w:p>
    <w:p>
      <w:pPr>
        <w:spacing w:after="0" w:line="36" w:lineRule="exact"/>
        <w:rPr>
          <w:sz w:val="20"/>
          <w:szCs w:val="20"/>
          <w:color w:val="auto"/>
        </w:rPr>
      </w:pPr>
    </w:p>
    <w:p>
      <w:pPr>
        <w:ind w:firstLine="449"/>
        <w:spacing w:after="0" w:line="262" w:lineRule="auto"/>
        <w:rPr>
          <w:sz w:val="20"/>
          <w:szCs w:val="20"/>
          <w:color w:val="auto"/>
        </w:rPr>
      </w:pPr>
      <w:r>
        <w:rPr>
          <w:rFonts w:ascii="Times New Roman" w:cs="Times New Roman" w:eastAsia="Times New Roman" w:hAnsi="Times New Roman"/>
          <w:sz w:val="17"/>
          <w:szCs w:val="17"/>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would negatively impact our operations and could seriously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members and physician users, and we may lose members and physician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seriously harm our business and reputation. If cloud service providers increase pricing terms, terminate or seek to terminate our contractual relationship, we are unable to renew an agreement on commercially reasonable terms, establish more favorable relationships with our competitors, or change or interpret their terms of service or policies in a manner that is unfavorable with respect to us we may be required to transfer our servers and other infrastructure to a different service provider and, our business, results of operations, and financial condition could be harmed, which may incur significant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450"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levels could adversely affect our reputation or result in lengthy interruptions in our services and negatively affect our business.</w:t>
      </w:r>
    </w:p>
    <w:p>
      <w:pPr>
        <w:spacing w:after="0" w:line="31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sites, networks, and systems against security breaches, or otherwise to protect our confidential or health information or the confidential or health information of our members, providers, or other third parties, would damage our reputation and brand, and substantially harm our business and results of operations.</w:t>
      </w:r>
    </w:p>
    <w:p>
      <w:pPr>
        <w:spacing w:after="0" w:line="72"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members,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The losses related to such breaches might include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spacing w:after="0" w:line="190"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which in turn, diverts resources from the growth and expansion of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14" w:lineRule="exact"/>
        <w:rPr>
          <w:sz w:val="20"/>
          <w:szCs w:val="20"/>
          <w:color w:val="auto"/>
        </w:rPr>
      </w:pPr>
    </w:p>
    <w:p>
      <w:pPr>
        <w:ind w:right="180" w:firstLine="449"/>
        <w:spacing w:after="0" w:line="248"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If their services become unavailable, our operations and business strategies could be significantly disrupted. For example, we have entered into agreements with our PBM services suppliers to provide us and certain of our members with certain PBM services, such as claims processing, mail pharmacy services, specialty pharmacy services, retail network pharmacy network, participating pharmacy audits, reporting, formulary services and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450"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coordination of benefits, and such agreements are typically entered into on a two year exclusive basis. If our agreements with PBM services suppliers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and we may not be able to meet the full demands of our members, any of which could have a material adverse effect on our business, brand, reputation and results of operations. Furthermore, certain legislative authorities have in recent years discussed or proposed legislation that would restrict outsourcing.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the Clover Assistant. This could decrease the usefulness of the Clover Assistant and result in decreased adoption by network physicians and potentially higher medical costs for our members, increased or duplicative costs, an inability to meet our obligations to our members or require us to seek alternative service providers on less favorable contract terms, any of which can adversely affect our business, brand, reputation or operating results.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spacing w:after="0" w:line="185"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Identifying partners, and negotiating and documenting relationships with them, requires significant time and resources. In addition, acquisitions of our partners by our competitors could result in a decrease in the number of our members and provider users, as our partners may no longer facilitate the enrollment of members into, or the effective and efficient operations of, our MA Plans or the adoption of the Clover Assistant by physicians.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revenue or increase in the number of members or physician users of the Clover Assistant.</w:t>
      </w:r>
    </w:p>
    <w:p>
      <w:pPr>
        <w:spacing w:after="0" w:line="289"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58"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To execute on our growth plan, we must attract and retain highly qualified personnel. The pool of qualified personnel with experience working in the healthcare market, and particularly Medicare Advantage, is limited. 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(including during the ongoing COVID-19 pandemic). If we fail to attract new personnel or fail to retain and motivate our current personnel, our business and future growth prospects could be severely harmed.</w:t>
      </w:r>
    </w:p>
    <w:p>
      <w:pPr>
        <w:spacing w:after="0" w:line="29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one or more of these employees or an inability to attract and retain qualified key personnel could adversely affect our business.</w:t>
      </w:r>
    </w:p>
    <w:p>
      <w:pPr>
        <w:spacing w:after="0" w:line="58"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and we can provide no assurance that any of our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450" w:right="3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employees. We also rely on our leadership team in the areas of research and development, marketing, services and general and administrative functions. The loss and replacement of one or more of our members of senior management or other key employees, including our co-founder and Chief Executive Officer, Vivek Garipalli, and our President and Chief Technology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members, or physicians, or any negative press stories about our senior management, may harm our reputation and damage our business prospects. Furthermore,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14" w:lineRule="exact"/>
        <w:rPr>
          <w:sz w:val="20"/>
          <w:szCs w:val="20"/>
          <w:color w:val="auto"/>
        </w:rPr>
      </w:pPr>
    </w:p>
    <w:p>
      <w:pPr>
        <w:ind w:right="180" w:firstLine="449"/>
        <w:spacing w:after="0" w:line="253" w:lineRule="auto"/>
        <w:rPr>
          <w:sz w:val="20"/>
          <w:szCs w:val="20"/>
          <w:color w:val="auto"/>
        </w:rPr>
      </w:pPr>
      <w:r>
        <w:rPr>
          <w:rFonts w:ascii="Times New Roman" w:cs="Times New Roman" w:eastAsia="Times New Roman" w:hAnsi="Times New Roman"/>
          <w:sz w:val="18"/>
          <w:szCs w:val="18"/>
          <w:color w:val="auto"/>
        </w:rPr>
        <w:t>Our management team has limited experience managing a publicly-traded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results of operations, and financial condition.</w:t>
      </w:r>
    </w:p>
    <w:p>
      <w:pPr>
        <w:spacing w:after="0" w:line="2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58"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As part of our business strategy to expand usage of our platform, offer our plans in additional markets, extend the provision of in-home care services in those additional markets and grow our business in response to changing technologies, provider and member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members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93"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50"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acceptable terms, if at all.</w:t>
      </w:r>
    </w:p>
    <w:p>
      <w:pPr>
        <w:spacing w:after="0" w:line="114"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14"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provided in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final determination of medical cost adjustment pools.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are and may be subject to litigation or investigations, which could be costly and time-consuming to defend.</w:t>
      </w:r>
    </w:p>
    <w:p>
      <w:pPr>
        <w:spacing w:after="0" w:line="114"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From time to time we are and may be subject to legal proceedings and claims that arise in the ordinary course of business, such as claims brought by providers, facilities, consultants, and vendors in connection with commercial disputes, or employment claims made by our current or former associates. In addition, from time to time, we are and may be subject to regular and special governmental market conduct and other audits, investigations and reviews by,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 care and other insurance fraud, waste, and abuse a priority. Fraud, waste, and abuse prohibitions encompass a wide range of activities, including kickbacks for referral of members, fraudulent coding practices, billing for unnecessary medical and/or other covered services, improper marketing and violations of patient privacy rights. The U.S. Department of Justice (“DOJ”) and the Department of Health and Human Services Office of Inspector General (the “OIG”), have recently increased their scrutiny of healthcare payers and providers, and Medicare Advantage insurers, under the federal False Claims Act (the “FCA”), in particular, and there have been a number of investigations, prosecutions, convictions and settlements in the healthcare industry. CMS and the OIG also</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50"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300"/>
        <w:spacing w:after="0" w:line="280" w:lineRule="auto"/>
        <w:rPr>
          <w:sz w:val="20"/>
          <w:szCs w:val="20"/>
          <w:color w:val="auto"/>
        </w:rPr>
      </w:pPr>
      <w:r>
        <w:rPr>
          <w:rFonts w:ascii="Times New Roman" w:cs="Times New Roman" w:eastAsia="Times New Roman" w:hAnsi="Times New Roman"/>
          <w:sz w:val="17"/>
          <w:szCs w:val="17"/>
          <w:color w:val="auto"/>
        </w:rPr>
        <w:t>periodically perform risk adjustment data validation (“RADV”), audits of selected Medicare Advantage health plans to validate the coding practices of and supporting documentation maintained by health care providers. Certain of our plans have been selected for such audits, which have in the past resulted and could in the future result in retrospective adjustments to payments made to our health plans, fines, corrective action plans or other adverse action by CMS.</w:t>
      </w:r>
    </w:p>
    <w:p>
      <w:pPr>
        <w:spacing w:after="0" w:line="162" w:lineRule="exact"/>
        <w:rPr>
          <w:sz w:val="20"/>
          <w:szCs w:val="20"/>
          <w:color w:val="auto"/>
        </w:rPr>
      </w:pPr>
    </w:p>
    <w:p>
      <w:pPr>
        <w:ind w:right="40" w:firstLine="449"/>
        <w:spacing w:after="0" w:line="265" w:lineRule="auto"/>
        <w:rPr>
          <w:sz w:val="20"/>
          <w:szCs w:val="20"/>
          <w:color w:val="auto"/>
        </w:rPr>
      </w:pPr>
      <w:r>
        <w:rPr>
          <w:rFonts w:ascii="Times New Roman" w:cs="Times New Roman" w:eastAsia="Times New Roman" w:hAnsi="Times New Roman"/>
          <w:sz w:val="17"/>
          <w:szCs w:val="17"/>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177"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compliance with CMS risk adjustment requirements and applicable laws, which includes review of the Clover Assistant features that may be relevant to patient risk assessments and the submission of risk adjustment data to CMS. We also monitor our physician payment practices to ensure compliance with applicable laws, such as the Anti-Kickback Statute. While we believe that our risk adjustment data collection efforts and relationships with providers, including those related to the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Times New Roman" w:cs="Times New Roman" w:eastAsia="Times New Roman" w:hAnsi="Times New Roman"/>
          <w:sz w:val="18"/>
          <w:szCs w:val="18"/>
          <w:i w:val="1"/>
          <w:iCs w:val="1"/>
          <w:color w:val="auto"/>
        </w:rPr>
        <w:t>—Our business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highly regulated and new and proposed government regulation or legislative reforms could increase our cost of doing business and reduce our membership, profitability and liquidity</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60" w:firstLine="449"/>
        <w:spacing w:after="0" w:line="269" w:lineRule="auto"/>
        <w:rPr>
          <w:sz w:val="20"/>
          <w:szCs w:val="20"/>
          <w:color w:val="auto"/>
        </w:rPr>
      </w:pPr>
      <w:r>
        <w:rPr>
          <w:rFonts w:ascii="Times New Roman" w:cs="Times New Roman" w:eastAsia="Times New Roman" w:hAnsi="Times New Roman"/>
          <w:sz w:val="17"/>
          <w:szCs w:val="17"/>
          <w:color w:val="auto"/>
        </w:rPr>
        <w:t>Litigation and audits, investigations or reviews by governmental authorities or relators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if uninsured, or if the fines, judgments, and settlements exceed insured levels, could adversely affect our results of operations and cash flows, thereby harming our business.</w:t>
      </w:r>
    </w:p>
    <w:p>
      <w:pPr>
        <w:spacing w:after="0" w:line="17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regulations and contractual requirements applicable to us and other market participants are complex and subject to change, making it necessary for us to invest significant resources in complying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for. Regular and special governmental audits, investigations and reviews could result in changes to our business practices, and also could result in significant or material premium refunds, fines, penalties, civil liabilities, criminal liabilities or other sanctions, including marketing and enrollment sanctions, suspension or exclusion from participation in government programs, and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50"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our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derive substantially all of our total revenues from Medicare Advantage premiums now and expect to continue to derive a substantial portion of our total revenues in the future from Medicare Advantage premiums, and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76"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Medicare Advantage premiums currently account for substantially all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member’s health profile and status, age, gender, county or region, benefit mix, member eligibility categories, and a member’s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 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w:t>
      </w:r>
    </w:p>
    <w:p>
      <w:pPr>
        <w:spacing w:after="0" w:line="188" w:lineRule="exact"/>
        <w:rPr>
          <w:sz w:val="20"/>
          <w:szCs w:val="20"/>
          <w:color w:val="auto"/>
        </w:rPr>
      </w:pPr>
    </w:p>
    <w:p>
      <w:pPr>
        <w:ind w:firstLine="449"/>
        <w:spacing w:after="0" w:line="262" w:lineRule="auto"/>
        <w:rPr>
          <w:sz w:val="20"/>
          <w:szCs w:val="20"/>
          <w:color w:val="auto"/>
        </w:rPr>
      </w:pPr>
      <w:r>
        <w:rPr>
          <w:rFonts w:ascii="Times New Roman" w:cs="Times New Roman" w:eastAsia="Times New Roman" w:hAnsi="Times New Roman"/>
          <w:sz w:val="17"/>
          <w:szCs w:val="17"/>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requiring MA plans to spend 85% of premium dollars on medical care, requiring CMS to apply coding intensity adjustments to Medicare payments, which is an across-the-board reduction to MA risk scores, and the expansion of Medicaid eligibility to additional categories of individuals. Since its enactment, there have been judicial and Congressional challenges to certain aspects of the ACA, as well as the act in its entirety,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The case currently is scheduled to be argued before the U.S. Supreme Court in November 2020, although it is unclear when a decision will be made or how the Supreme Court will rule. The recent death of Supreme Court Justice Ruth Bader Ginsberg, and the appointment of any potential replacement Justice, adds further uncertainty to the outcome of this case and other challenges to the ACA.</w:t>
      </w:r>
    </w:p>
    <w:p>
      <w:pPr>
        <w:spacing w:after="0" w:line="185"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Additionally, ongoing health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450" w:right="3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cause us to reevaluate the manner in which we commercialize our platform and products.</w:t>
      </w:r>
    </w:p>
    <w:p>
      <w:pPr>
        <w:spacing w:after="0" w:line="168"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spacing w:after="0" w:line="28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State corporate practice of medicine and fee-splitting laws govern at least some of our business operations, and violation of such laws could result in penalties and adversely affect our arrangements with contractors and our results of operations and financial condition.</w:t>
      </w:r>
    </w:p>
    <w:p>
      <w:pPr>
        <w:spacing w:after="0" w:line="58" w:lineRule="exact"/>
        <w:rPr>
          <w:sz w:val="20"/>
          <w:szCs w:val="20"/>
          <w:color w:val="auto"/>
        </w:rPr>
      </w:pPr>
    </w:p>
    <w:p>
      <w:pPr>
        <w:ind w:right="120" w:firstLine="449"/>
        <w:spacing w:after="0" w:line="248" w:lineRule="auto"/>
        <w:rPr>
          <w:sz w:val="20"/>
          <w:szCs w:val="20"/>
          <w:color w:val="auto"/>
        </w:rPr>
      </w:pPr>
      <w:r>
        <w:rPr>
          <w:rFonts w:ascii="Times New Roman" w:cs="Times New Roman" w:eastAsia="Times New Roman" w:hAnsi="Times New Roman"/>
          <w:sz w:val="18"/>
          <w:szCs w:val="18"/>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a professional corporation in which the shares are held by licensed physicians or other licensed medical professionals may provide medical care to patients. Health maintenance organizations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practice of medicine, fee-splitting between physicians and referral sources may be statutory or regulatory, or may be imposed through judicial or regulatory interpretation, and vary widely from state to state.</w:t>
      </w:r>
    </w:p>
    <w:p>
      <w:pPr>
        <w:spacing w:after="0" w:line="193"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Through our health maintenance organization subsidiary, we employ providers and other clinical staff to provide medical services to medically complex members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179"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which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2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satisfactory quality and performance measures may negatively affect our premium rates, subject us to penalties, limit or reduce our membership, or impede our ability to compete for new business in existing or new markets or result in the termination of our contracts, affect our ability to establish new health plans or expand current health plans, which could have a material adverse effect on our business, rate of growth and results of operations, financial condition and cash flows.</w:t>
      </w:r>
    </w:p>
    <w:p>
      <w:pPr>
        <w:spacing w:after="0" w:line="76"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Quality scores are used by certain regulatory agencies to establish premium rates and/or calculate performance incentives. In the case of CMS, for example, Star Ratings are used to pay quality bonuses to MA</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450"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plans that enable high scoring plans to offer enhanced health benefits for their members. Medicare Advantage and Part D plans with Star Ratings of five (5.0) stars or higher are eligible for year-round open enrollment; conversely, plans with lower Star Ratings have more restricted times for enrollment of beneficiaries. Medicare Advantage and Part D plans with Star Ratings of less than three (3.0) stars in three consecutive years are denoted as “low performing” plans on the CMS website and in the CMS “Medicare and You” handbook. In addition, in 2019 CMS had its authority reinstated to terminate Medicare Advantage and Part D contracts for plans rated below three (3.0) stars in three consecutive years. The first Medicare Advantage or Part D contracts that could be terminated by CMS under this authority would be qualified for such action based on the plan’s failure to achieve at least three (3.0) stars for the 2020, 2021 and 2022 sets of Star Ratings. As a result, Medicare Advantage and Part D plans that achieve higher Star Ratings may have a competitive advantage over plans with lower Star Ratings.</w:t>
      </w:r>
    </w:p>
    <w:p>
      <w:pPr>
        <w:spacing w:after="0" w:line="193"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The Star Rating system considers various measures adopted by CMS, including, among others, quality of care, preventative services, chronic illness management and member satisfaction. Our Star Ratings may be negatively impacted if we fail to meet the quality, performance and regulatory compliance criteria established by CMS. Furthermore, the Star Rating system is also subject to change annually by CMS, which may make it more difficult to achieve and maintain three (3.0) stars or greater. For each year that our plans were rated, we received a Star Rating of 3.0, except for 2017, when our Star Rating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members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193"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members and obtain regulatory approval for acquisitions or expansions. If we do not maintain or continue to improve our Star Ratings,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membership levels, results of operations, financial condition and cash flows.</w:t>
      </w:r>
    </w:p>
    <w:p>
      <w:pPr>
        <w:spacing w:after="0" w:line="28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highly regulated and new and proposed government regulation or legislative reforms could increase our cost of doing business and reduce our membership, profitability and liquidity.</w:t>
      </w:r>
    </w:p>
    <w:p>
      <w:pPr>
        <w:spacing w:after="0" w:line="58"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The healthcare industry is heavily regulated and closely scrutinized by federal, state and local governments. Comprehensive statutes and regulations govern the manner in which we are compensated for providing coverage for our Medicare Advantage members, our contractual relationships with our physicians, vendors and members, our marketing activities and other aspects of our operations. Of particular importance are:</w:t>
      </w:r>
    </w:p>
    <w:p>
      <w:pPr>
        <w:spacing w:after="0" w:line="86" w:lineRule="exact"/>
        <w:rPr>
          <w:sz w:val="20"/>
          <w:szCs w:val="20"/>
          <w:color w:val="auto"/>
        </w:rPr>
      </w:pPr>
    </w:p>
    <w:p>
      <w:pPr>
        <w:ind w:left="1000" w:right="160" w:hanging="439"/>
        <w:spacing w:after="0" w:line="253"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450"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right="180"/>
        <w:spacing w:after="0" w:line="258" w:lineRule="auto"/>
        <w:rPr>
          <w:sz w:val="20"/>
          <w:szCs w:val="20"/>
          <w:color w:val="auto"/>
        </w:rPr>
      </w:pPr>
      <w:r>
        <w:rPr>
          <w:rFonts w:ascii="Times New Roman" w:cs="Times New Roman" w:eastAsia="Times New Roman" w:hAnsi="Times New Roman"/>
          <w:sz w:val="18"/>
          <w:szCs w:val="18"/>
          <w:color w:val="auto"/>
        </w:rPr>
        <w:t>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86" w:lineRule="exact"/>
        <w:rPr>
          <w:sz w:val="20"/>
          <w:szCs w:val="20"/>
          <w:color w:val="auto"/>
        </w:rPr>
      </w:pPr>
    </w:p>
    <w:p>
      <w:pPr>
        <w:ind w:left="1000" w:hanging="439"/>
        <w:spacing w:after="0" w:line="253"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commonly referred to as the Stark Law, that,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92" w:lineRule="exact"/>
        <w:rPr>
          <w:rFonts w:ascii="Times New Roman" w:cs="Times New Roman" w:eastAsia="Times New Roman" w:hAnsi="Times New Roman"/>
          <w:sz w:val="18"/>
          <w:szCs w:val="18"/>
          <w:color w:val="auto"/>
        </w:rPr>
      </w:pPr>
    </w:p>
    <w:p>
      <w:pPr>
        <w:ind w:left="1000" w:right="60" w:hanging="439"/>
        <w:spacing w:after="0" w:line="280"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simplification provisions of the Health Insurance Portability and Accountability Act of 1996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spacing w:after="0" w:line="69" w:lineRule="exact"/>
        <w:rPr>
          <w:rFonts w:ascii="Times New Roman" w:cs="Times New Roman" w:eastAsia="Times New Roman" w:hAnsi="Times New Roman"/>
          <w:sz w:val="17"/>
          <w:szCs w:val="17"/>
          <w:color w:val="auto"/>
        </w:rPr>
      </w:pPr>
    </w:p>
    <w:p>
      <w:pPr>
        <w:ind w:left="1000" w:right="360" w:hanging="439"/>
        <w:spacing w:after="0" w:line="25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94" w:lineRule="exact"/>
        <w:rPr>
          <w:rFonts w:ascii="Times New Roman" w:cs="Times New Roman" w:eastAsia="Times New Roman" w:hAnsi="Times New Roman"/>
          <w:sz w:val="18"/>
          <w:szCs w:val="18"/>
          <w:color w:val="auto"/>
        </w:rPr>
      </w:pPr>
    </w:p>
    <w:p>
      <w:pPr>
        <w:jc w:val="both"/>
        <w:ind w:left="1000" w:hanging="439"/>
        <w:spacing w:after="0" w:line="253"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92"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insurance holding company laws and regulations pertaining to licensing and plan solvency requirements;</w:t>
      </w:r>
    </w:p>
    <w:p>
      <w:pPr>
        <w:spacing w:after="0" w:line="123" w:lineRule="exact"/>
        <w:rPr>
          <w:rFonts w:ascii="Times New Roman" w:cs="Times New Roman" w:eastAsia="Times New Roman" w:hAnsi="Times New Roman"/>
          <w:sz w:val="18"/>
          <w:szCs w:val="18"/>
          <w:color w:val="auto"/>
        </w:rPr>
      </w:pPr>
    </w:p>
    <w:p>
      <w:pPr>
        <w:ind w:left="1000" w:hanging="439"/>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reassignment of payment rules that prohibit certain types of billing and collection practices in connection with claims payable by the Medicare or Medicaid programs;</w:t>
      </w:r>
    </w:p>
    <w:p>
      <w:pPr>
        <w:spacing w:after="0" w:line="76" w:lineRule="exact"/>
        <w:rPr>
          <w:rFonts w:ascii="Times New Roman" w:cs="Times New Roman" w:eastAsia="Times New Roman" w:hAnsi="Times New Roman"/>
          <w:sz w:val="18"/>
          <w:szCs w:val="18"/>
          <w:color w:val="auto"/>
        </w:rPr>
      </w:pPr>
    </w:p>
    <w:p>
      <w:pPr>
        <w:ind w:left="1000" w:right="480" w:hanging="439"/>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law provisions pertaining to anti-kickback, self-referral and false claims issues, some of which may apply to items or services reimbursed by any third-party payor;</w:t>
      </w:r>
    </w:p>
    <w:p>
      <w:pPr>
        <w:spacing w:after="0" w:line="76" w:lineRule="exact"/>
        <w:rPr>
          <w:rFonts w:ascii="Times New Roman" w:cs="Times New Roman" w:eastAsia="Times New Roman" w:hAnsi="Times New Roman"/>
          <w:sz w:val="18"/>
          <w:szCs w:val="18"/>
          <w:color w:val="auto"/>
        </w:rPr>
      </w:pPr>
    </w:p>
    <w:p>
      <w:pPr>
        <w:ind w:left="1000" w:right="260" w:hanging="439"/>
        <w:spacing w:after="0" w:line="27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general business corporations, such as us, from engaging in the corporate practice of medicine, controlling physicians’ medical decisions or engaging in some practices such as splitting fees with physicians;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the Affordable Care Act (the “ACA”), that requires MA plans to spend 85% of premium dollars on medical care;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that govern our relationships with pharmaceutical manufacturers, wholesalers, pharmacies, members and consumers;</w:t>
      </w:r>
    </w:p>
    <w:p>
      <w:pPr>
        <w:spacing w:after="0" w:line="123" w:lineRule="exact"/>
        <w:rPr>
          <w:rFonts w:ascii="Times New Roman" w:cs="Times New Roman" w:eastAsia="Times New Roman" w:hAnsi="Times New Roman"/>
          <w:sz w:val="18"/>
          <w:szCs w:val="18"/>
          <w:color w:val="auto"/>
        </w:rPr>
      </w:pPr>
    </w:p>
    <w:p>
      <w:pPr>
        <w:ind w:left="1000" w:hanging="439"/>
        <w:spacing w:after="0" w:line="25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in addition to legislation, regulations or regulatory activity increasing the regulation of prescription drug pricing, imposing additional rights to access to drugs for individuals enrolled in health care benefit plans or reducing the cost of such drugs to those individuals, imposing requirements relating to the receipt or required disclosure of rebates from pharmaceutical manufacturers, and restricting the use of average wholesale prices;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50"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00" w:hanging="43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regulate debt collection practices as applied to our debt collection practices;</w:t>
      </w:r>
    </w:p>
    <w:p>
      <w:pPr>
        <w:spacing w:after="0" w:line="123" w:lineRule="exact"/>
        <w:rPr>
          <w:rFonts w:ascii="Times New Roman" w:cs="Times New Roman" w:eastAsia="Times New Roman" w:hAnsi="Times New Roman"/>
          <w:sz w:val="18"/>
          <w:szCs w:val="18"/>
          <w:color w:val="auto"/>
        </w:rPr>
      </w:pPr>
    </w:p>
    <w:p>
      <w:pPr>
        <w:ind w:left="1000" w:right="20" w:hanging="439"/>
        <w:spacing w:after="0" w:line="253"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Social Security Act that imposes civil and criminal penalties on healthcare providers who fail to disclose or refund known overpayments;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92" w:lineRule="exact"/>
        <w:rPr>
          <w:rFonts w:ascii="Times New Roman" w:cs="Times New Roman" w:eastAsia="Times New Roman" w:hAnsi="Times New Roman"/>
          <w:sz w:val="18"/>
          <w:szCs w:val="18"/>
          <w:color w:val="auto"/>
        </w:rPr>
      </w:pPr>
    </w:p>
    <w:p>
      <w:pPr>
        <w:ind w:left="1000" w:right="160" w:hanging="439"/>
        <w:spacing w:after="0" w:line="300"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53" w:lineRule="exact"/>
        <w:rPr>
          <w:rFonts w:ascii="Times New Roman" w:cs="Times New Roman" w:eastAsia="Times New Roman" w:hAnsi="Times New Roman"/>
          <w:sz w:val="17"/>
          <w:szCs w:val="17"/>
          <w:color w:val="auto"/>
        </w:rPr>
      </w:pPr>
    </w:p>
    <w:p>
      <w:pPr>
        <w:ind w:left="1000" w:right="60" w:hanging="439"/>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the ways in which we communicate with members and market our services, including the Telephone Consumer Protection Act (“TCPA”), the Controlling the Assault of Non-Solicited Pornography and Marketing Act (“CAN-SPAM”);</w:t>
      </w:r>
    </w:p>
    <w:p>
      <w:pPr>
        <w:spacing w:after="0" w:line="76" w:lineRule="exact"/>
        <w:rPr>
          <w:rFonts w:ascii="Times New Roman" w:cs="Times New Roman" w:eastAsia="Times New Roman" w:hAnsi="Times New Roman"/>
          <w:sz w:val="18"/>
          <w:szCs w:val="18"/>
          <w:color w:val="auto"/>
        </w:rPr>
      </w:pPr>
    </w:p>
    <w:p>
      <w:pPr>
        <w:jc w:val="both"/>
        <w:ind w:left="1000" w:right="20" w:hanging="439"/>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non-U.S. operations, U.S. laws that regulate the conduct and activities of U.S. based businesses operating abroad, such as the export controls laws or the FCPA, the latter of which prohibits offering, promising, providing or authorizing others to give anything of value to a foreign government official to obtain or retain business or otherwise secure a business advantage; and</w:t>
      </w:r>
    </w:p>
    <w:p>
      <w:pPr>
        <w:spacing w:after="0" w:line="85" w:lineRule="exact"/>
        <w:rPr>
          <w:rFonts w:ascii="Times New Roman" w:cs="Times New Roman" w:eastAsia="Times New Roman" w:hAnsi="Times New Roman"/>
          <w:sz w:val="18"/>
          <w:szCs w:val="18"/>
          <w:color w:val="auto"/>
        </w:rPr>
      </w:pPr>
    </w:p>
    <w:p>
      <w:pPr>
        <w:ind w:left="1000" w:right="340" w:hanging="439"/>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operations of our therapeutics affiliate, the extensive, complex, and evolving laws and regulations by principally the U.S. Food and Drug Administration (the “FDA”).</w:t>
      </w:r>
    </w:p>
    <w:p>
      <w:pPr>
        <w:spacing w:after="0" w:line="169"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97"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the Clover Assistant were to become subject to regulation by the FDA and we were unable to obtain the required approval or comply with these regulations, our business, operating results, financial condition and prospects may be materially and adversely affected.</w:t>
      </w:r>
    </w:p>
    <w:p>
      <w:pPr>
        <w:spacing w:after="0" w:line="58"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draft guidance documents, concerning, for example, clinical decision software, to clarify how it intends to interpret and apply the new</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450"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exemptions under the 21st Century Cures Act. Although we believe that our Clover Assistant platform does not meet the definition of medical device and/or meets the criteria which FDA has announced for its exercise of enforcement discretion to apply, there is a risk that the FDA could disagree with our determination or that the FDA could develop new guidance documents or finalize current draft guidance documents that would subject our platform to active FDA oversight. If the FDA determines that any of our current or future analytics applications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operating results, financial condition and prospects may be materially and adversely affected if we were to become subject to regulation by the FDA and were unable to obtain approval or comply with these regulations.</w:t>
      </w:r>
    </w:p>
    <w:p>
      <w:pPr>
        <w:spacing w:after="0" w:line="27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58"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although are not necessarily,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members. Any other changes in these requirements could materially increase our statutory capital requirements. In addition, as we continue to expand our plan offerings in new states, add new members, or pursue new business opportunities, we may be required to maintain additional statutory capital. In any case, our available funds could be materially reduced, which could harm our ability to implement our business strategy.</w:t>
      </w:r>
    </w:p>
    <w:p>
      <w:pPr>
        <w:spacing w:after="0" w:line="290"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revenue.</w:t>
      </w:r>
    </w:p>
    <w:p>
      <w:pPr>
        <w:spacing w:after="0" w:line="72"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Numerous state and federal laws and regulations govern the collection, dissemination, use, privacy, confidentiality, security, availability and integrity of personally identifiable information (“PII”), including protected health information (“PHI”). These laws and regulations include the Health Insurance Portability and Accountability Act of 1996, HIPPA, as amended by HITECH, which we refer to collectively as HIPAA, and the California Consumer Privacy Act of 2018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18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8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450"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color w:val="auto"/>
        </w:rPr>
        <w:t>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4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addition, HIPAA mandates that the Secretary of Health and Human Services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79" w:lineRule="exact"/>
        <w:rPr>
          <w:sz w:val="20"/>
          <w:szCs w:val="20"/>
          <w:color w:val="auto"/>
        </w:rPr>
      </w:pPr>
    </w:p>
    <w:p>
      <w:pPr>
        <w:ind w:right="120" w:firstLine="449"/>
        <w:spacing w:after="0" w:line="250" w:lineRule="auto"/>
        <w:rPr>
          <w:sz w:val="20"/>
          <w:szCs w:val="20"/>
          <w:color w:val="auto"/>
        </w:rPr>
      </w:pPr>
      <w:r>
        <w:rPr>
          <w:rFonts w:ascii="Times New Roman" w:cs="Times New Roman" w:eastAsia="Times New Roman" w:hAnsi="Times New Roman"/>
          <w:sz w:val="18"/>
          <w:szCs w:val="18"/>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87" w:lineRule="exact"/>
        <w:rPr>
          <w:sz w:val="20"/>
          <w:szCs w:val="20"/>
          <w:color w:val="auto"/>
        </w:rPr>
      </w:pPr>
    </w:p>
    <w:p>
      <w:pPr>
        <w:ind w:right="40" w:firstLine="449"/>
        <w:spacing w:after="0" w:line="246" w:lineRule="auto"/>
        <w:rPr>
          <w:sz w:val="20"/>
          <w:szCs w:val="20"/>
          <w:color w:val="auto"/>
        </w:rPr>
      </w:pPr>
      <w:r>
        <w:rPr>
          <w:rFonts w:ascii="Times New Roman" w:cs="Times New Roman" w:eastAsia="Times New Roman" w:hAnsi="Times New Roman"/>
          <w:sz w:val="18"/>
          <w:szCs w:val="18"/>
          <w:color w:val="auto"/>
        </w:rPr>
        <w:t>Numerous other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For example, the CCPA came into effect on January 1, 2020. The CCPA requires companies that process information on California residents to make new disclosures to consumers, which could include certain of our employees,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Additionally, a new California ballot initiative, the California Privacy Rights Act, appears to have garnered enough signatures to be included on the November 2020 ballot in California, and if voted into law by California residents,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would make compliance challenging.</w:t>
      </w:r>
    </w:p>
    <w:p>
      <w:pPr>
        <w:spacing w:after="0" w:line="20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pacing w:after="0" w:line="179"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Because of the extreme sensitivity of the personal information, including PHI, that we store and transmit, the security features of our technology platform are very important. If our security measures, some of which are managed by third parties, are breached or fail, unauthorized persons may be able to obtain access to sensitive provider and member data, including HIPAA-regulated PHI. As a result, our reputation could be severely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450"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damaged, adversely affecting PCP and member confidence. Members may curtail their use of or stop using our services or our member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90" w:lineRule="exact"/>
        <w:rPr>
          <w:sz w:val="20"/>
          <w:szCs w:val="20"/>
          <w:color w:val="auto"/>
        </w:rPr>
      </w:pPr>
    </w:p>
    <w:p>
      <w:pPr>
        <w:ind w:right="100" w:firstLine="449"/>
        <w:spacing w:after="0" w:line="250" w:lineRule="auto"/>
        <w:rPr>
          <w:sz w:val="20"/>
          <w:szCs w:val="20"/>
          <w:color w:val="auto"/>
        </w:rPr>
      </w:pPr>
      <w:r>
        <w:rPr>
          <w:rFonts w:ascii="Times New Roman" w:cs="Times New Roman" w:eastAsia="Times New Roman" w:hAnsi="Times New Roman"/>
          <w:sz w:val="18"/>
          <w:szCs w:val="18"/>
          <w:color w:val="auto"/>
        </w:rPr>
        <w:t>We outsource important aspects of the storage and transmission of member information, and thus rely on third parties to manage functions that have material cyber-security risks. We attempt to address these risks by requiring outsourcing subcontractors who handle member information to sign business associate agreements contractually requiring those subcontractors to adequately safeguard personal health data to the same extent that applies to us and in some cases by requiring such outsourcing subcontractors to undergo third-party security examinations. However, we cannot assure you that these contractual measures and other safeguards will adequately protect us from the risks associated with the storage and transmission of such information on our behalf by our subcontractors.</w:t>
      </w:r>
    </w:p>
    <w:p>
      <w:pPr>
        <w:spacing w:after="0" w:line="187"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We also publish statements to our members that describe how we handle and protect personal information. Any failure or perceived failure by us to maintain posted privacy policies which are accurate, comprehensive and fully implemented, and any violation or perceived violation of our privacy-, data protection- or information security-related obligations to providers, members or other third parties could result in claims of deceptive practices brought against our Company, which could lead to significant liabilities and consequences, including, without limitation, governmental investigations or enforcement actions, costs of responding to investigations, defending against litigation, settling claims and complying with regulatory or court orders. Which could have material impacts on our revenue and operations.</w:t>
      </w:r>
    </w:p>
    <w:p>
      <w:pPr>
        <w:spacing w:after="0" w:line="187"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that could impose new obligations and other related legislation or liability for copyright infringement by third parties. We cannot yet determine the impact that future laws, regulations, and standards may have on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intellectual property rights could impair our ability to protect our internally-developed technology and our brand, and our business may be adversely affected.</w:t>
      </w:r>
    </w:p>
    <w:p>
      <w:pPr>
        <w:spacing w:after="0" w:line="58" w:lineRule="exact"/>
        <w:rPr>
          <w:sz w:val="20"/>
          <w:szCs w:val="20"/>
          <w:color w:val="auto"/>
        </w:rPr>
      </w:pPr>
    </w:p>
    <w:p>
      <w:pPr>
        <w:ind w:right="220" w:firstLine="449"/>
        <w:spacing w:after="0" w:line="249" w:lineRule="auto"/>
        <w:rPr>
          <w:sz w:val="20"/>
          <w:szCs w:val="20"/>
          <w:color w:val="auto"/>
        </w:rPr>
      </w:pPr>
      <w:r>
        <w:rPr>
          <w:rFonts w:ascii="Times New Roman" w:cs="Times New Roman" w:eastAsia="Times New Roman" w:hAnsi="Times New Roman"/>
          <w:sz w:val="18"/>
          <w:szCs w:val="18"/>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are assigned to us. However, we cannot guarantee that such confidentiality and proprietary agreements or other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450"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proprietary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187"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or maintain the right to use certain of our intellectual property would negatively affect our business.</w:t>
      </w:r>
    </w:p>
    <w:p>
      <w:pPr>
        <w:spacing w:after="0" w:line="114" w:lineRule="exact"/>
        <w:rPr>
          <w:sz w:val="20"/>
          <w:szCs w:val="20"/>
          <w:color w:val="auto"/>
        </w:rPr>
      </w:pPr>
    </w:p>
    <w:p>
      <w:pPr>
        <w:ind w:right="120" w:firstLine="449"/>
        <w:spacing w:after="0" w:line="269" w:lineRule="auto"/>
        <w:rPr>
          <w:sz w:val="20"/>
          <w:szCs w:val="20"/>
          <w:color w:val="auto"/>
        </w:rPr>
      </w:pPr>
      <w:r>
        <w:rPr>
          <w:rFonts w:ascii="Times New Roman" w:cs="Times New Roman" w:eastAsia="Times New Roman" w:hAnsi="Times New Roman"/>
          <w:sz w:val="17"/>
          <w:szCs w:val="17"/>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174"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87" w:lineRule="exact"/>
        <w:rPr>
          <w:sz w:val="20"/>
          <w:szCs w:val="20"/>
          <w:color w:val="auto"/>
        </w:rPr>
      </w:pPr>
    </w:p>
    <w:p>
      <w:pPr>
        <w:ind w:right="220" w:firstLine="449"/>
        <w:spacing w:after="0" w:line="249" w:lineRule="auto"/>
        <w:rPr>
          <w:sz w:val="20"/>
          <w:szCs w:val="20"/>
          <w:color w:val="auto"/>
        </w:rPr>
      </w:pPr>
      <w:r>
        <w:rPr>
          <w:rFonts w:ascii="Times New Roman" w:cs="Times New Roman" w:eastAsia="Times New Roman" w:hAnsi="Times New Roman"/>
          <w:sz w:val="18"/>
          <w:szCs w:val="18"/>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189" w:lineRule="exact"/>
        <w:rPr>
          <w:sz w:val="20"/>
          <w:szCs w:val="20"/>
          <w:color w:val="auto"/>
        </w:rPr>
      </w:pPr>
    </w:p>
    <w:p>
      <w:pPr>
        <w:jc w:val="both"/>
        <w:ind w:right="360" w:firstLine="449"/>
        <w:spacing w:after="0" w:line="258"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solutions and branding from the products of our competitors, and have registered or applied to register many of these trademarks in the United States and certain countries outside the United States. However, occasionally third parties may have already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450"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114"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9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addition, in most instances, we have agreed to indemnify our providers against certain third-party claims, which may include claims that our platform and products infringe the intellectual property rights of such third parties and our business could be adversely affected by any significant disputes between us and our providers as to the applicability or scope of our indemnification obligations to them.</w:t>
      </w:r>
    </w:p>
    <w:p>
      <w:pPr>
        <w:spacing w:after="0" w:line="28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58" w:lineRule="exact"/>
        <w:rPr>
          <w:sz w:val="20"/>
          <w:szCs w:val="20"/>
          <w:color w:val="auto"/>
        </w:rPr>
      </w:pPr>
    </w:p>
    <w:p>
      <w:pPr>
        <w:ind w:right="160" w:firstLine="449"/>
        <w:spacing w:after="0" w:line="248" w:lineRule="auto"/>
        <w:rPr>
          <w:sz w:val="20"/>
          <w:szCs w:val="20"/>
          <w:color w:val="auto"/>
        </w:rPr>
      </w:pPr>
      <w:r>
        <w:rPr>
          <w:rFonts w:ascii="Times New Roman" w:cs="Times New Roman" w:eastAsia="Times New Roman" w:hAnsi="Times New Roman"/>
          <w:sz w:val="18"/>
          <w:szCs w:val="18"/>
          <w:color w:val="auto"/>
        </w:rPr>
        <w:t>A portion of the technologies we use in the Clover Assistant incorporates “open source” software, and we may incorporate open source software in the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internally-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450"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188" w:lineRule="exact"/>
        <w:rPr>
          <w:sz w:val="20"/>
          <w:szCs w:val="20"/>
          <w:color w:val="auto"/>
        </w:rPr>
      </w:pPr>
    </w:p>
    <w:p>
      <w:pPr>
        <w:jc w:val="both"/>
        <w:ind w:right="300" w:firstLine="449"/>
        <w:spacing w:after="0" w:line="253"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85"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7"/>
          <w:szCs w:val="17"/>
          <w:color w:val="auto"/>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would disrupt the deployment of our platform, products, or other internal tools and harm our business, results of operations, and financial condition.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 or may decline regardless of our operating performance.</w:t>
      </w:r>
    </w:p>
    <w:p>
      <w:pPr>
        <w:spacing w:after="0" w:line="11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market prices of the securities of newly public companies have historically been highly volatile. The market prices of our Class A common stock and public warrants may fluctuate significantly in response to numerous factors in addition to the ones described in the preceding Risk Factors, many of which are beyond our control, including:</w:t>
      </w:r>
    </w:p>
    <w:p>
      <w:pPr>
        <w:spacing w:after="0" w:line="86" w:lineRule="exact"/>
        <w:rPr>
          <w:sz w:val="20"/>
          <w:szCs w:val="20"/>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 the economy as a whole;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projections we may provide to the public or our failure to meet these projections;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that of our competitors;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23" w:lineRule="exact"/>
        <w:rPr>
          <w:rFonts w:ascii="Times New Roman" w:cs="Times New Roman" w:eastAsia="Times New Roman" w:hAnsi="Times New Roman"/>
          <w:sz w:val="18"/>
          <w:szCs w:val="18"/>
          <w:color w:val="auto"/>
        </w:rPr>
      </w:pPr>
    </w:p>
    <w:p>
      <w:pPr>
        <w:ind w:left="1000" w:right="280" w:hanging="439"/>
        <w:spacing w:after="0" w:line="270"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and services, technological and platform updates or enhancements, or of acquisitions, strategic partnerships, joint ventures or capital-raising activities or commitments, by us or by our competitors;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Clover Assistant or our other technology;</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450" w:right="3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00" w:hanging="43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board members, management or key personnel;</w:t>
      </w:r>
    </w:p>
    <w:p>
      <w:pPr>
        <w:spacing w:after="0" w:line="123" w:lineRule="exact"/>
        <w:rPr>
          <w:rFonts w:ascii="Times New Roman" w:cs="Times New Roman" w:eastAsia="Times New Roman" w:hAnsi="Times New Roman"/>
          <w:sz w:val="18"/>
          <w:szCs w:val="18"/>
          <w:color w:val="auto"/>
        </w:rPr>
      </w:pPr>
    </w:p>
    <w:p>
      <w:pPr>
        <w:ind w:left="1000" w:right="460" w:hanging="439"/>
        <w:spacing w:after="0" w:line="270"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Medicare;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or investigations by governmental authorities;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agreements;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COVID-19 pandemic, influenza, and other highly communicable diseases;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216"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In addition, the stock market with respect to newly public companies, particularly companies in the healthcare and technology industry, have experienced significant price and volume fluctuations that have affected and continue to affect the market prices of stock prices of these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Further, we provide indemnification for our officers and directors for certain claims in connection with such litigation. Large indemnity payments would adversely affect our business, results of operations, and financial condition.</w:t>
      </w:r>
    </w:p>
    <w:p>
      <w:pPr>
        <w:spacing w:after="0" w:line="28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from the PIPE Investment, and we may invest or spend the proceeds in ways with which investors do not agree and in ways that may not yield a return.</w:t>
      </w:r>
    </w:p>
    <w:p>
      <w:pPr>
        <w:spacing w:after="0" w:line="58" w:lineRule="exact"/>
        <w:rPr>
          <w:sz w:val="20"/>
          <w:szCs w:val="20"/>
          <w:color w:val="auto"/>
        </w:rPr>
      </w:pPr>
    </w:p>
    <w:p>
      <w:pPr>
        <w:ind w:right="120" w:firstLine="449"/>
        <w:spacing w:after="0" w:line="249" w:lineRule="auto"/>
        <w:rPr>
          <w:sz w:val="20"/>
          <w:szCs w:val="20"/>
          <w:color w:val="auto"/>
        </w:rPr>
      </w:pPr>
      <w:r>
        <w:rPr>
          <w:rFonts w:ascii="Times New Roman" w:cs="Times New Roman" w:eastAsia="Times New Roman" w:hAnsi="Times New Roman"/>
          <w:sz w:val="18"/>
          <w:szCs w:val="18"/>
          <w:color w:val="auto"/>
        </w:rPr>
        <w:t>We will have broad discretion over the use of proceeds from the PIPE Investment. Investors may not agree with our decisions, and our use of the proceeds may not yield a return on investment. We intend to use these net proceeds from the PIPE Investment for working capital and other general corporate purposes, which may include sales and marketing activities, research and development, general and administrative matters and capital expenditures. We may also use a portion of the net proceeds for the acquisition of, or investment in, complementary companies, products, services, technologies or assets. However, we have no current understandings, commitments or agreements to enter into any such acquisitions or make any such investments. Our use of these proceeds may differ substantially from our current plans. Our failure to apply the net proceeds from the PIPE Investment effectively could impair our ability to pursue our growth strategy or could require us to raise additional capital.</w:t>
      </w:r>
    </w:p>
    <w:p>
      <w:pPr>
        <w:spacing w:after="0" w:line="291"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actual financial position and results of operations may differ materially from the unaudited pro forma financial information included in this prospectus.</w:t>
      </w:r>
    </w:p>
    <w:p>
      <w:pPr>
        <w:spacing w:after="0" w:line="5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in this prospectus is presented for illustrative purposes only and is not necessarily indicative of what our actual financial position or results of operations would have been had the Business Combination been completed on the dates indicated, nor is it indicative of our future financial position or results of operations. The unaudited pro forma adjustments represent our management’s estimates based on information available as of the date of the unaudited pro forma condensed combined financial statements and are subject to change as additional information becomes available and analyses are performed. See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 for more information.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450"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financial performance may differ from any projections that we disclose or any information that may be attributed to us by third parties.</w:t>
      </w:r>
    </w:p>
    <w:p>
      <w:pPr>
        <w:spacing w:after="0" w:line="126" w:lineRule="exact"/>
        <w:rPr>
          <w:sz w:val="20"/>
          <w:szCs w:val="20"/>
          <w:color w:val="auto"/>
        </w:rPr>
      </w:pPr>
    </w:p>
    <w:p>
      <w:pPr>
        <w:ind w:right="280" w:firstLine="449"/>
        <w:spacing w:after="0" w:line="249" w:lineRule="auto"/>
        <w:rPr>
          <w:sz w:val="20"/>
          <w:szCs w:val="20"/>
          <w:color w:val="auto"/>
        </w:rPr>
      </w:pPr>
      <w:r>
        <w:rPr>
          <w:rFonts w:ascii="Times New Roman" w:cs="Times New Roman" w:eastAsia="Times New Roman" w:hAnsi="Times New Roman"/>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9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securities in the public markets, or the perception that they might occur, could cause the market price of our common stock to decline.</w:t>
      </w:r>
    </w:p>
    <w:p>
      <w:pPr>
        <w:spacing w:after="0" w:line="58"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into the public market, particularly sales by our directors, executive officers, principal stockholders and their affiliates, or the perception that these sales might occur, could cause the market price of our common stock to decline and may make it more difficult for you to sell your common stock at a time and price that you deem appropriate.</w:t>
      </w:r>
    </w:p>
    <w:p>
      <w:pPr>
        <w:spacing w:after="0" w:line="179"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dated as of January 7, 2021 by and among SCH, Clover Health, the Sponsor, certain former stockholders of Clover and other parties thereto (the “Registration Rights Agreement”) and our amended and restated bylaws, subject to certain exceptions, the Sponsor and the former stockholders of Clover, including our directors, executive officers, principal stockholders and their affiliates, are contractually restricted from selling or transferring any shares of common stock (not including the shares of Clover Health Class A common stock issued in the PIPE Investment pursuant to the terms of the Subscription Agreements) (the “Lock-up Shares”). Such restrictions began at the closing of the Business Combination and will end on the earlier of (i) July 5, 2021 and (ii)(a) for 33.33% of the Lock-up Shares, the date on which the last reported sale price of our Class A common stock equals or exceeds $12.50 per share for any 20 trading days within any 30-trading day period commencing at least 31 days after the closing and (b) for an additional 50% of the Lock-up Shares, the date on which the last reported sale price of Class A common stock equals or exceeds $15.00 per share for any 20 trading days within any 30-trading day period commencing at least 31 days after the closing.</w:t>
      </w:r>
    </w:p>
    <w:p>
      <w:pPr>
        <w:spacing w:after="0" w:line="190" w:lineRule="exact"/>
        <w:rPr>
          <w:sz w:val="20"/>
          <w:szCs w:val="20"/>
          <w:color w:val="auto"/>
        </w:rPr>
      </w:pPr>
    </w:p>
    <w:p>
      <w:pPr>
        <w:ind w:right="80" w:firstLine="449"/>
        <w:spacing w:after="0" w:line="248" w:lineRule="auto"/>
        <w:rPr>
          <w:sz w:val="20"/>
          <w:szCs w:val="20"/>
          <w:color w:val="auto"/>
        </w:rPr>
      </w:pPr>
      <w:r>
        <w:rPr>
          <w:rFonts w:ascii="Times New Roman" w:cs="Times New Roman" w:eastAsia="Times New Roman" w:hAnsi="Times New Roman"/>
          <w:sz w:val="18"/>
          <w:szCs w:val="18"/>
          <w:color w:val="auto"/>
        </w:rPr>
        <w:t>However, following the expiration of such lockup, the Sponsor and the former stockholders of Clover, including our directors, executive officers, principal stockholders and their affiliates, will not be restricted from selling shares of common stock held by them, other than by applicable securities laws. Additionally, investors in the PIPE Investment (other than the Sponsor and affiliates of the Sponsor) will not be restricted from selling any of the shares of Class A common stock acquired in the PIPE Investment following the closing of the Business Combination, other than by applicable securities laws. As such, 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As of January 7, 2021, the Sponsor, our directors, officers and principal stockholders and their affiliated entities (not including the shares of Class A common stock issued in the PIPE Investment) collectively own approximately 50.3% of the outstanding shares of Class A and Class B common stock.</w:t>
      </w:r>
    </w:p>
    <w:p>
      <w:pPr>
        <w:spacing w:after="0" w:line="193"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shares held by the Sponsor and certain of our stockholders may be sold after the expiration of the applicable lock-up period under the Registration Rights Agreement and our amended and restated bylaws. As restrictions on resale end and registration statements (filed after the closing of the Business Combination to provide for the resale of such shares from time to time) are available for use, the sale or possibility of sale of these shares could have the effect of increasing the volatility in our share price or the market price of our Class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450"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could decline if the holders of currently restricted shares sell them or are perceived by the market as intending to sell them.</w:t>
      </w:r>
    </w:p>
    <w:p>
      <w:pPr>
        <w:spacing w:after="0" w:line="216" w:lineRule="exact"/>
        <w:rPr>
          <w:sz w:val="20"/>
          <w:szCs w:val="20"/>
          <w:color w:val="auto"/>
        </w:rPr>
      </w:pPr>
    </w:p>
    <w:p>
      <w:pPr>
        <w:ind w:right="180" w:firstLine="449"/>
        <w:spacing w:after="0" w:line="269" w:lineRule="auto"/>
        <w:rPr>
          <w:sz w:val="20"/>
          <w:szCs w:val="20"/>
          <w:color w:val="auto"/>
        </w:rPr>
      </w:pPr>
      <w:r>
        <w:rPr>
          <w:rFonts w:ascii="Times New Roman" w:cs="Times New Roman" w:eastAsia="Times New Roman" w:hAnsi="Times New Roman"/>
          <w:sz w:val="17"/>
          <w:szCs w:val="17"/>
          <w:color w:val="auto"/>
        </w:rPr>
        <w:t>In addition, as of January 7, 2021, we had options outstanding that, if fully exercised, would result in the issuance of 36,467,470 shares of Class B common stock and we had restricted stock units (RSUs) outstanding that would result in the issuance of 44,173,855 shares of Class B common stock. All of the shares of Class A common stock issuable upon the conversion of Class B common stock issuable upon exercise or settlement of stock options and RSUs, and the shares reserved for future issuance under our equity incentive plans, will be registered for public resale under the Securities Act. Accordingly, these shares will be able to be freely sold in the public market upon issuance subject to existing lock-up agreements and applicable vesting requirements.</w:t>
      </w:r>
    </w:p>
    <w:p>
      <w:pPr>
        <w:spacing w:after="0" w:line="27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exercise of warrants for our Class A common stock would increase the number of shares eligible for future resale in the public market and result in dilution to our stockholders.</w:t>
      </w:r>
    </w:p>
    <w:p>
      <w:pPr>
        <w:spacing w:after="0" w:line="58"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As of January 7, 2021, we had warrants to purchase an aggregate of approximately 38,533,271 shares of our Class A common stock outstanding. These warrants will become exercisable at any time commencing on April 24, 2021. The exercise price of these warrants is $11.50 per share. To the extent such warrants are exercised, additional shares of Class A common stock will be issued, which will result in dilution to the then-existing holders of Class A common stock and increase the number of shares eligible for resale in the public market. Sales of substantial numbers of such shares in the public market or the fact that such warrants may be exercised could adversely affect the market price of our Class A common stock. However, there is no guarantee that the public warrants will ever be in the money prior to their expiration, and as such, the warrants may expire worthless.</w:t>
      </w:r>
    </w:p>
    <w:p>
      <w:pPr>
        <w:spacing w:after="0" w:line="28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public warrants may never be in the money, and they may expire worthless and the terms of the warrants may be amended in a manner adverse to a holder if holders of at least 65% of the then outstanding public warrants approve of such amendment.</w:t>
      </w:r>
    </w:p>
    <w:p>
      <w:pPr>
        <w:spacing w:after="0" w:line="58"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 public warrants were issued in registered form under a Warrant Agreement between Continental Stock Transfer &amp; Trust Company, as warrant agent, and SCH.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Accordingly, we may amend the terms of the public warrants in a manner adverse to a holder if holders of at least 65% of the then outstanding public warrants approve of such amendment. Although our ability to amend the terms of the public warrants with the consent of at least 65% of the then outstanding public warrants is unlimited, examples of such amendments could be amendments to, among other things, increase the exercise price of the warrants, shorten the exercise period or decrease the number of shares of Class A common stock purchasable upon exercise of a warrant.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14"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We have the ability to redeem the outstanding warrants at any time after they become exercisable and prior to their expiration, at a price of $0.01 per warrant if, among other things, the last reported sale price of our Class A common stock for any 20 trading days within a 30 trading day period ending on the third trading day prior to the date on which we send the notice of redemption to the warrant holders equals or exceeds $18.00 per share (as adjusted for share splits, share dividends, rights issuances, subdivisions, reorganizations, recapitalizations and the like).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as described above could force you to: (i) exercise your warrants and pay the exercise price therefor at a time when it may be disadvantageous for you to</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450"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color w:val="auto"/>
        </w:rPr>
        <w:t>do so (ii) sell your warrants at the then-current market price when you might otherwise wish to hold your warrants; or (iii) accept the nominal redemption price which, at the time the outstanding warrants are called for redemption, we expect would to be substantially less than the market value of your warrants.</w:t>
      </w:r>
    </w:p>
    <w:p>
      <w:pPr>
        <w:spacing w:after="0" w:line="146"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None of the private placement warrants will be redeemable by us (subject to limited exceptions) so long as they are held by our Sponsor or its permitted transferees. We do not intend to pay cash dividends for the foreseeable future.</w:t>
      </w:r>
    </w:p>
    <w:p>
      <w:pPr>
        <w:spacing w:after="0" w:line="169"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In addition, we have the ability to redeem the outstanding warrants at any time after they become exercisable and prior to their expiration, at a price of $0.10 per warrant if, among other things, the last reported sale price of our Class A common stock for any 20 trading days within a 30-trading day period ending on the third trading day prior to the date on which we send the notice of redemption to the warrant holders equals or exceeds $10.00 per share (as adjusted for share splits, share dividends, rights issuances, subdivisions, reorganizations, recapitalizations and the like). In such a case, the holders will be able to exercise their warrants prior to redemption for a number of shares of our Class A common stock determined based on the redemption date and the fair market value of our Class A common stock.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shares of our Class A common stock per warrant (subject to adjustment) irrespective of the remaining life of the warrants.</w:t>
      </w:r>
    </w:p>
    <w:p>
      <w:pPr>
        <w:spacing w:after="0" w:line="190"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the board of directors deems relevant.</w:t>
      </w:r>
    </w:p>
    <w:p>
      <w:pPr>
        <w:spacing w:after="0" w:line="287" w:lineRule="exact"/>
        <w:rPr>
          <w:sz w:val="20"/>
          <w:szCs w:val="20"/>
          <w:color w:val="auto"/>
        </w:rPr>
      </w:pPr>
    </w:p>
    <w:p>
      <w:pPr>
        <w:jc w:val="both"/>
        <w:ind w:right="4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 which in turn could harm investor confident in our Company and the trading price of our Class A Common Stock.</w:t>
      </w:r>
    </w:p>
    <w:p>
      <w:pPr>
        <w:spacing w:after="0" w:line="72" w:lineRule="exact"/>
        <w:rPr>
          <w:sz w:val="20"/>
          <w:szCs w:val="20"/>
          <w:color w:val="auto"/>
        </w:rPr>
      </w:pPr>
    </w:p>
    <w:p>
      <w:pPr>
        <w:ind w:right="40" w:firstLine="449"/>
        <w:spacing w:after="0" w:line="262"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450" w:right="3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prices of our Class A common stock and public warrants. In addition, if we are unable to continue to meet these requirements, we may not be able to remain listed on the Nasdaq Stock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2"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prices of our Class A common stock and public warrants.</w:t>
      </w:r>
    </w:p>
    <w:p>
      <w:pPr>
        <w:spacing w:after="0" w:line="288"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any decision on our part to comply only with certain reduced reporting and disclosure requirements applicable to emerging growth companies could make our common stock less attractive to investors.</w:t>
      </w:r>
    </w:p>
    <w:p>
      <w:pPr>
        <w:spacing w:after="0" w:line="58"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which could be as long as until December 31, 2025, we may choose to take advantage of certain exemptions from various reporting requirements applicable to other public companies that are not emerging growth companies, including not being required to comply with the auditor attestation requirements of Section 404, reduced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450"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1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8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existing stockholders, including our directors, executive officers, principal stockholders and their respective affiliates, who held in the aggregate 72.9% of the voting power of our capital stock as of January 7,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81" w:lineRule="exact"/>
        <w:rPr>
          <w:sz w:val="20"/>
          <w:szCs w:val="20"/>
          <w:color w:val="auto"/>
        </w:rPr>
      </w:pPr>
    </w:p>
    <w:p>
      <w:pPr>
        <w:ind w:right="40" w:firstLine="449"/>
        <w:spacing w:after="0" w:line="264" w:lineRule="auto"/>
        <w:rPr>
          <w:sz w:val="20"/>
          <w:szCs w:val="20"/>
          <w:color w:val="auto"/>
        </w:rPr>
      </w:pPr>
      <w:r>
        <w:rPr>
          <w:rFonts w:ascii="Times New Roman" w:cs="Times New Roman" w:eastAsia="Times New Roman" w:hAnsi="Times New Roman"/>
          <w:sz w:val="17"/>
          <w:szCs w:val="17"/>
          <w:color w:val="auto"/>
        </w:rPr>
        <w:t>Our Class B common stock has 10 votes per share, and our Class A common stock has one vote per share. As of January 7, 2021, our directors, executive officers, principal stockholders and their affiliates held in the aggregate 72.9%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36,767,350 shares of Class B common stock remain outstanding, the holders of our Class B common stock will be able to control the outcome of matters submitted to a stockholder vote.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76"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such as certain transfers effected for estate planning purposes. In addition, all the outstanding shares of Class B common stock will convert automatically into one share of Class A common stock upon the earliest of (i) the date that is ten (10) years from the filing date of the amended and restated certificate of incorporation, (ii) the separation date of the last to separate of Vivek Garipalli and Andrew Toy (the “Founders”), (iii) the date that is one (1) year after the death or permanent disability Founders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class structure may have on the trading prices of our Class A common stock and public warrants.</w:t>
      </w:r>
    </w:p>
    <w:p>
      <w:pPr>
        <w:spacing w:after="0" w:line="114" w:lineRule="exact"/>
        <w:rPr>
          <w:sz w:val="20"/>
          <w:szCs w:val="20"/>
          <w:color w:val="auto"/>
        </w:rPr>
      </w:pPr>
    </w:p>
    <w:p>
      <w:pPr>
        <w:ind w:right="220" w:firstLine="449"/>
        <w:spacing w:after="0" w:line="270"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trading prices of our Class A common stock and warrants, in adverse publicity, or other adverse consequences. For example,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450"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prices of our Class A common stock and public warrants could be adversely affected. Our directors, executive officers and principal stockholders will continue to have substantial control over us after this offering, which could limit your ability to influence the outcome of key transactions, including a change of control.</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14"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2019, we had approximately $636 million of federal net operating loss carryforwards. The federal net operating loss carryforwards created subsequent to the year ended December 31, 2017, of $340.9 million carry forward indefinitely, while the remaining federal net operating loss carryforwards of $295.1 million begin to expire in 2033. Our ability to utilize NOLs may be currently subject to limitations due to prior ownership changes, including this offering, some of which are outside of our control, could result in an ownership change under Section 382 of the Code, further limiting our ability to utilize NOLs arising prior to such ownership change in the future. A portion of our total NOLs may also be limited by special rules known as Separate Return Limitation Year, or SRLY, rules. There is also a risk that due to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295"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Restrictions on our ability to obtain funds from our regulated subsidiaries could materially and adversely affect our results of operations, financial position and cash flows.</w:t>
      </w:r>
    </w:p>
    <w:p>
      <w:pPr>
        <w:spacing w:after="0" w:line="58" w:lineRule="exact"/>
        <w:rPr>
          <w:sz w:val="20"/>
          <w:szCs w:val="20"/>
          <w:color w:val="auto"/>
        </w:rPr>
      </w:pPr>
    </w:p>
    <w:p>
      <w:pPr>
        <w:ind w:right="20" w:firstLine="449"/>
        <w:spacing w:after="0" w:line="269" w:lineRule="auto"/>
        <w:rPr>
          <w:sz w:val="20"/>
          <w:szCs w:val="20"/>
          <w:color w:val="auto"/>
        </w:rPr>
      </w:pPr>
      <w:r>
        <w:rPr>
          <w:rFonts w:ascii="Times New Roman" w:cs="Times New Roman" w:eastAsia="Times New Roman" w:hAnsi="Times New Roman"/>
          <w:sz w:val="17"/>
          <w:szCs w:val="17"/>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450"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position and cash flows could be materially and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114" w:lineRule="exact"/>
        <w:rPr>
          <w:sz w:val="20"/>
          <w:szCs w:val="20"/>
          <w:color w:val="auto"/>
        </w:rPr>
      </w:pPr>
    </w:p>
    <w:p>
      <w:pPr>
        <w:ind w:firstLine="449"/>
        <w:spacing w:after="0" w:line="24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As a result of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pacing w:after="0" w:line="29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58" w:lineRule="exact"/>
        <w:rPr>
          <w:sz w:val="20"/>
          <w:szCs w:val="20"/>
          <w:color w:val="auto"/>
        </w:rPr>
      </w:pPr>
    </w:p>
    <w:p>
      <w:pPr>
        <w:ind w:right="160" w:firstLine="449"/>
        <w:spacing w:after="0" w:line="251" w:lineRule="auto"/>
        <w:rPr>
          <w:sz w:val="20"/>
          <w:szCs w:val="20"/>
          <w:color w:val="auto"/>
        </w:rPr>
      </w:pPr>
      <w:r>
        <w:rPr>
          <w:rFonts w:ascii="Times New Roman" w:cs="Times New Roman" w:eastAsia="Times New Roman" w:hAnsi="Times New Roman"/>
          <w:sz w:val="18"/>
          <w:szCs w:val="18"/>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450"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40" w:firstLine="449"/>
        <w:spacing w:after="0" w:line="249" w:lineRule="auto"/>
        <w:rPr>
          <w:sz w:val="20"/>
          <w:szCs w:val="20"/>
          <w:color w:val="auto"/>
        </w:rPr>
      </w:pPr>
      <w:r>
        <w:rPr>
          <w:rFonts w:ascii="Times New Roman" w:cs="Times New Roman" w:eastAsia="Times New Roman" w:hAnsi="Times New Roman"/>
          <w:sz w:val="18"/>
          <w:szCs w:val="18"/>
          <w:color w:val="auto"/>
        </w:rPr>
        <w:t>The taxing authorities of the jurisdictions in which we operate may challenge our methodologies for valuing developed technology or intercompany arrangements, which could increase our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financial results in the period or periods for which such determination is made.</w:t>
      </w:r>
    </w:p>
    <w:p>
      <w:pPr>
        <w:spacing w:after="0" w:line="291"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58"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We cannot assure that any equity research analysts will adequately provide research coverage of our Class A common stock and public warrants. A lack of adequate research coverage may harm the liquidity and trading prices of our Class A common stock and public warrants. To the extent equity research analysts do provide research coverage of our Class A common stock and public warrants, we will not have any control over the content and opinions included in their reports. The trading price of our Class A common stock and public warrants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and public warrants could decrease, which in turn could cause our trading price or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14" w:lineRule="exact"/>
        <w:rPr>
          <w:sz w:val="20"/>
          <w:szCs w:val="20"/>
          <w:color w:val="auto"/>
        </w:rPr>
      </w:pPr>
    </w:p>
    <w:p>
      <w:pPr>
        <w:ind w:right="420" w:firstLine="449"/>
        <w:spacing w:after="0" w:line="273" w:lineRule="auto"/>
        <w:rPr>
          <w:sz w:val="20"/>
          <w:szCs w:val="20"/>
          <w:color w:val="auto"/>
        </w:rPr>
      </w:pPr>
      <w:r>
        <w:rPr>
          <w:rFonts w:ascii="Times New Roman" w:cs="Times New Roman" w:eastAsia="Times New Roman" w:hAnsi="Times New Roman"/>
          <w:sz w:val="17"/>
          <w:szCs w:val="17"/>
          <w:color w:val="auto"/>
        </w:rPr>
        <w:t>Under applicable state insurance laws and regulations, no person may acquire control of a domestic insurer until written approval, or exemption therefrom,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w:t>
      </w:r>
    </w:p>
    <w:p>
      <w:pPr>
        <w:spacing w:after="0" w:line="168"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or the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spacing w:after="0" w:line="176" w:lineRule="exact"/>
        <w:rPr>
          <w:sz w:val="20"/>
          <w:szCs w:val="20"/>
          <w:color w:val="auto"/>
        </w:rPr>
      </w:pPr>
    </w:p>
    <w:p>
      <w:pPr>
        <w:ind w:right="440" w:firstLine="449"/>
        <w:spacing w:after="0" w:line="258" w:lineRule="auto"/>
        <w:rPr>
          <w:sz w:val="20"/>
          <w:szCs w:val="20"/>
          <w:color w:val="auto"/>
        </w:rPr>
      </w:pPr>
      <w:r>
        <w:rPr>
          <w:rFonts w:ascii="Times New Roman" w:cs="Times New Roman" w:eastAsia="Times New Roman" w:hAnsi="Times New Roman"/>
          <w:sz w:val="18"/>
          <w:szCs w:val="18"/>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450"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prices of our Class A common stock and public warrants may be lower as a result.</w:t>
      </w:r>
    </w:p>
    <w:p>
      <w:pPr>
        <w:spacing w:after="0" w:line="36"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86" w:lineRule="exact"/>
        <w:rPr>
          <w:sz w:val="20"/>
          <w:szCs w:val="20"/>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number of directors and to fill any vacancies and newly created directorships;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only be removed for cause;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cumulative voting for directors;</w:t>
      </w:r>
    </w:p>
    <w:p>
      <w:pPr>
        <w:spacing w:after="0" w:line="123" w:lineRule="exact"/>
        <w:rPr>
          <w:rFonts w:ascii="Times New Roman" w:cs="Times New Roman" w:eastAsia="Times New Roman" w:hAnsi="Times New Roman"/>
          <w:sz w:val="18"/>
          <w:szCs w:val="18"/>
          <w:color w:val="auto"/>
        </w:rPr>
      </w:pPr>
    </w:p>
    <w:p>
      <w:pPr>
        <w:ind w:left="1000" w:hanging="439"/>
        <w:spacing w:after="0" w:line="270"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 super-majority to amend some provisions in our amended and restated certificate of incorporation and amended and restated bylaws;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our board of directors could use to implement a stockholder rights plan;</w:t>
      </w:r>
    </w:p>
    <w:p>
      <w:pPr>
        <w:spacing w:after="0" w:line="123" w:lineRule="exact"/>
        <w:rPr>
          <w:rFonts w:ascii="Times New Roman" w:cs="Times New Roman" w:eastAsia="Times New Roman" w:hAnsi="Times New Roman"/>
          <w:sz w:val="18"/>
          <w:szCs w:val="18"/>
          <w:color w:val="auto"/>
        </w:rPr>
      </w:pPr>
    </w:p>
    <w:p>
      <w:pPr>
        <w:ind w:left="1000" w:right="20" w:hanging="439"/>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w:t>
      </w:r>
    </w:p>
    <w:p>
      <w:pPr>
        <w:spacing w:after="0" w:line="8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including the election of directors and significant corporate transactions, such as a merger or other sale of our company or its assets;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of our stockholders to call special meetings of stockholders;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actions by written consent, thereby requiring that all stockholder actions be taken at a meeting of our stockholders.</w:t>
      </w:r>
    </w:p>
    <w:p>
      <w:pPr>
        <w:spacing w:after="0" w:line="228" w:lineRule="exact"/>
        <w:rPr>
          <w:sz w:val="20"/>
          <w:szCs w:val="20"/>
          <w:color w:val="auto"/>
        </w:rPr>
      </w:pPr>
    </w:p>
    <w:p>
      <w:pPr>
        <w:ind w:right="160" w:firstLine="449"/>
        <w:spacing w:after="0" w:line="25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 and warrants.</w:t>
      </w:r>
    </w:p>
    <w:p>
      <w:pPr>
        <w:spacing w:after="0" w:line="28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72" w:lineRule="exact"/>
        <w:rPr>
          <w:sz w:val="20"/>
          <w:szCs w:val="20"/>
          <w:color w:val="auto"/>
        </w:rPr>
      </w:pPr>
    </w:p>
    <w:p>
      <w:pPr>
        <w:ind w:right="340" w:firstLine="449"/>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450" w:right="3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7"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450" w:right="3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8" w:lineRule="exact"/>
        <w:rPr>
          <w:sz w:val="20"/>
          <w:szCs w:val="20"/>
          <w:color w:val="auto"/>
        </w:rPr>
      </w:pPr>
    </w:p>
    <w:p>
      <w:pPr>
        <w:ind w:right="340" w:firstLine="449"/>
        <w:spacing w:after="0" w:line="270"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69" w:lineRule="exact"/>
        <w:rPr>
          <w:sz w:val="20"/>
          <w:szCs w:val="20"/>
          <w:color w:val="auto"/>
        </w:rPr>
      </w:pPr>
    </w:p>
    <w:p>
      <w:pPr>
        <w:ind w:right="240" w:firstLine="449"/>
        <w:spacing w:after="0" w:line="251" w:lineRule="auto"/>
        <w:rPr>
          <w:sz w:val="20"/>
          <w:szCs w:val="20"/>
          <w:color w:val="auto"/>
        </w:rPr>
      </w:pPr>
      <w:r>
        <w:rPr>
          <w:rFonts w:ascii="Times New Roman" w:cs="Times New Roman" w:eastAsia="Times New Roman" w:hAnsi="Times New Roman"/>
          <w:sz w:val="18"/>
          <w:szCs w:val="18"/>
          <w:color w:val="auto"/>
        </w:rPr>
        <w:t>Assuming the exercise of all outstanding warrants for cash, we will receive an aggregate of approximately $443.1 million, but will not receive any proceeds from the sale of the shares of Class A common stock issuable upon such exercise. We expect to use the net proceeds from the exercise of the warrants, if any, for working capital and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450"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18"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The offering price of the shares of Class A common stock underlying the warrants offered hereby is determined by reference to the exercise price of the warrants of $11.50 per share. The public warrants are listed on the Nasdaq Global Select Market under the symbol “CLOVW.”</w:t>
      </w:r>
    </w:p>
    <w:p>
      <w:pPr>
        <w:spacing w:after="0" w:line="169"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our Class A common stock may be sold by the Selling Securityholders under this prospectus.</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0"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INFORMATION FOR CLASS A COMMON STOCK AND DIVIDEND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12"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the Nasdaq Global Select Market under the symbols “CLOV” and “CLOVW,” respectively. Prior to the Closing, our Class A common stock and public warrants were listed on the New York Stock Exchange under the symbols “IPOC” and “IPOC.WS,” respectively. We do not currently intend to list the private placement warrants or the Class B common stock on any securities exchange. On January 12, 2021, the closing sale price of our Class A common stock was $14.62 per share and the closing price of the public warrants was $3.34 per warrant. As of January 11, 2021, there were 59 holders of record of our Class A common stock and 2 holders of record of the public warrants. Such numbers do not include beneficial owners holding our securities through nominee names.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2"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450" w:right="3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SCH</w:t>
      </w:r>
    </w:p>
    <w:p>
      <w:pPr>
        <w:spacing w:after="0" w:line="218" w:lineRule="exact"/>
        <w:rPr>
          <w:sz w:val="20"/>
          <w:szCs w:val="20"/>
          <w:color w:val="auto"/>
        </w:rPr>
      </w:pPr>
    </w:p>
    <w:p>
      <w:pPr>
        <w:ind w:right="120" w:firstLine="449"/>
        <w:spacing w:after="0" w:line="250" w:lineRule="auto"/>
        <w:rPr>
          <w:sz w:val="20"/>
          <w:szCs w:val="20"/>
          <w:color w:val="auto"/>
        </w:rPr>
      </w:pPr>
      <w:r>
        <w:rPr>
          <w:rFonts w:ascii="Times New Roman" w:cs="Times New Roman" w:eastAsia="Times New Roman" w:hAnsi="Times New Roman"/>
          <w:sz w:val="18"/>
          <w:szCs w:val="18"/>
          <w:color w:val="auto"/>
        </w:rPr>
        <w:t>The selected historical condensed statements of operations data of SCH for the period from October 18, 2019 (date of inception) to December 31, 2019 and the condensed balance sheet data as of December 31, 2019 are derived from SCH’s audited annual condensed financial statements included elsewhere in this prospectus. The selected historical condensed statements of operations data of SCH for the nine months ended September 30, 2020 and the condensed balance sheet data as of September 30, 2020 are derived from SCH’s unaudited interim financial statements included elsewhere in this prospectus. In SCH’s management’s opinion, the unaudited interim condensed financial statements include all adjustments necessary to state fairly SCH’s financial position as of September 30, 2020 and the results of operations for the nine months ended September 30, 2020.</w:t>
      </w:r>
    </w:p>
    <w:p>
      <w:pPr>
        <w:spacing w:after="0" w:line="187" w:lineRule="exact"/>
        <w:rPr>
          <w:sz w:val="20"/>
          <w:szCs w:val="20"/>
          <w:color w:val="auto"/>
        </w:rPr>
      </w:pPr>
    </w:p>
    <w:p>
      <w:pPr>
        <w:ind w:right="220" w:firstLine="449"/>
        <w:spacing w:after="0" w:line="253" w:lineRule="auto"/>
        <w:rPr>
          <w:sz w:val="20"/>
          <w:szCs w:val="20"/>
          <w:color w:val="auto"/>
        </w:rPr>
      </w:pPr>
      <w:r>
        <w:rPr>
          <w:rFonts w:ascii="Times New Roman" w:cs="Times New Roman" w:eastAsia="Times New Roman" w:hAnsi="Times New Roman"/>
          <w:sz w:val="18"/>
          <w:szCs w:val="18"/>
          <w:color w:val="auto"/>
        </w:rPr>
        <w:t>SCH’s historical results are not necessarily indicative of the results that may be expected in the future and SCH’s results for the nine months ended September 30, 2020 are not necessarily indicative of the results that may be expected for the full year ending December 31, 2020 or any other period. The information below is only a summary and should be read in conjunction with the financial statements, and the notes and schedules related thereto, which are included elsewhere in this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For the Period</w:t>
            </w:r>
          </w:p>
        </w:tc>
        <w:tc>
          <w:tcPr>
            <w:tcW w:w="0" w:type="dxa"/>
            <w:vAlign w:val="bottom"/>
          </w:tcPr>
          <w:p>
            <w:pPr>
              <w:spacing w:after="0"/>
              <w:rPr>
                <w:sz w:val="1"/>
                <w:szCs w:val="1"/>
                <w:color w:val="auto"/>
              </w:rPr>
            </w:pPr>
          </w:p>
        </w:tc>
      </w:tr>
      <w:tr>
        <w:trPr>
          <w:trHeight w:val="145"/>
        </w:trPr>
        <w:tc>
          <w:tcPr>
            <w:tcW w:w="6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from October 18,</w:t>
            </w:r>
          </w:p>
        </w:tc>
        <w:tc>
          <w:tcPr>
            <w:tcW w:w="0" w:type="dxa"/>
            <w:vAlign w:val="bottom"/>
          </w:tcPr>
          <w:p>
            <w:pPr>
              <w:spacing w:after="0"/>
              <w:rPr>
                <w:sz w:val="1"/>
                <w:szCs w:val="1"/>
                <w:color w:val="auto"/>
              </w:rPr>
            </w:pPr>
          </w:p>
        </w:tc>
      </w:tr>
      <w:tr>
        <w:trPr>
          <w:trHeight w:val="145"/>
        </w:trPr>
        <w:tc>
          <w:tcPr>
            <w:tcW w:w="6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right"/>
              <w:ind w:right="680"/>
              <w:spacing w:after="0" w:line="145"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480" w:type="dxa"/>
            <w:vAlign w:val="bottom"/>
          </w:tcPr>
          <w:p>
            <w:pPr>
              <w:spacing w:after="0"/>
              <w:rPr>
                <w:sz w:val="12"/>
                <w:szCs w:val="12"/>
                <w:color w:val="auto"/>
              </w:rPr>
            </w:pPr>
          </w:p>
        </w:tc>
        <w:tc>
          <w:tcPr>
            <w:tcW w:w="160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2019 (inception) through</w:t>
            </w:r>
          </w:p>
        </w:tc>
        <w:tc>
          <w:tcPr>
            <w:tcW w:w="0" w:type="dxa"/>
            <w:vAlign w:val="bottom"/>
          </w:tcPr>
          <w:p>
            <w:pPr>
              <w:spacing w:after="0"/>
              <w:rPr>
                <w:sz w:val="1"/>
                <w:szCs w:val="1"/>
                <w:color w:val="auto"/>
              </w:rPr>
            </w:pPr>
          </w:p>
        </w:tc>
      </w:tr>
      <w:tr>
        <w:trPr>
          <w:trHeight w:val="170"/>
        </w:trPr>
        <w:tc>
          <w:tcPr>
            <w:tcW w:w="6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692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(2,446,176)</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1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(2,446,176)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96,607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(2,349,569)</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basic outstanding and diluted</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20,157,288</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(0.12)</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51"/>
        </w:trPr>
        <w:tc>
          <w:tcPr>
            <w:tcW w:w="6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692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828,688,734</w:t>
            </w:r>
          </w:p>
        </w:tc>
        <w:tc>
          <w:tcPr>
            <w:tcW w:w="540" w:type="dxa"/>
            <w:vAlign w:val="bottom"/>
          </w:tcPr>
          <w:p>
            <w:pPr>
              <w:spacing w:after="0"/>
              <w:rPr>
                <w:sz w:val="18"/>
                <w:szCs w:val="18"/>
                <w:color w:val="auto"/>
              </w:rPr>
            </w:pPr>
          </w:p>
        </w:tc>
        <w:tc>
          <w:tcPr>
            <w:tcW w:w="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100,346</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30,787,280</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117,977</w:t>
            </w:r>
          </w:p>
        </w:tc>
        <w:tc>
          <w:tcPr>
            <w:tcW w:w="0" w:type="dxa"/>
            <w:vAlign w:val="bottom"/>
          </w:tcPr>
          <w:p>
            <w:pPr>
              <w:spacing w:after="0"/>
              <w:rPr>
                <w:sz w:val="1"/>
                <w:szCs w:val="1"/>
                <w:color w:val="auto"/>
              </w:rPr>
            </w:pPr>
          </w:p>
        </w:tc>
      </w:tr>
      <w:tr>
        <w:trPr>
          <w:trHeight w:val="193"/>
        </w:trPr>
        <w:tc>
          <w:tcPr>
            <w:tcW w:w="69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3,519,105 and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 issued and outstanding (excluding 79,280,895 and no shares subject to possible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at September 30, 2020 and December 31, 2019, respectively</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r>
              <w:rPr>
                <w:rFonts w:ascii="Times New Roman" w:cs="Times New Roman" w:eastAsia="Times New Roman" w:hAnsi="Times New Roman"/>
                <w:sz w:val="14"/>
                <w:szCs w:val="14"/>
                <w:color w:val="auto"/>
              </w:rPr>
              <w:t>(1)</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7.71</w:t>
            </w:r>
          </w:p>
        </w:tc>
        <w:tc>
          <w:tcPr>
            <w:tcW w:w="6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89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29" w:lineRule="exact"/>
        <w:rPr>
          <w:sz w:val="20"/>
          <w:szCs w:val="20"/>
          <w:color w:val="auto"/>
        </w:rPr>
      </w:pPr>
    </w:p>
    <w:p>
      <w:pPr>
        <w:jc w:val="center"/>
        <w:ind w:left="5540" w:right="40" w:hanging="5534"/>
        <w:spacing w:after="0" w:line="439" w:lineRule="auto"/>
        <w:tabs>
          <w:tab w:leader="none" w:pos="4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book value per share is calculated by taking total shareholders’ equity divided by total outstanding common shares as of the end of the period. 59</w:t>
      </w:r>
    </w:p>
    <w:p>
      <w:pPr>
        <w:sectPr>
          <w:pgSz w:w="11900" w:h="16838" w:orient="portrait"/>
          <w:cols w:equalWidth="0" w:num="1">
            <w:col w:w="11240"/>
          </w:cols>
          <w:pgMar w:left="320" w:top="450"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CLOVER</w:t>
      </w:r>
    </w:p>
    <w:p>
      <w:pPr>
        <w:spacing w:after="0" w:line="218"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The selected historical consolidated statements of operations data of Clover for the years ended December 31, 2019 and 2018 and the historical consolidated balance sheet data as of December 31, 2019 and 2018 are derived from Clover’s audited consolidated financial statements included elsewhere in this prospectus. The selected historical consolidated statements of operations data of Clover for the nine months ended September 30, 2020 and 2019 and the consolidated balance sheet data as of September 30, 2020 are derived from Clover’s unaudited interim consolidated financial statements included elsewhere in this prospectus. In Clover management’s opinion, the unaudited interim consolidated financial statements include all adjustments necessary to state fairly Clover’s financial position as of September 30, 2020 and the results of operations for the nine months ended September 30, 2020 and 2019. Clover’s historical results are not necessarily indicative of the results that may be expected in the future and Clover’s results for the nine months ended September 30, 2020 are not necessarily indicative of the results that may be expected for the full year ending December 31, 2020 or any other period. You should read the following selected historical consolidated financial data together with the section entitled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and Clover’s consolidated financial statements and related notes included elsewhere in this prospectus.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6"/>
          </w:tcPr>
          <w:p>
            <w:pPr>
              <w:jc w:val="right"/>
              <w:ind w:right="223"/>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500" w:type="dxa"/>
            <w:vAlign w:val="bottom"/>
            <w:shd w:val="clear" w:color="auto" w:fill="CCEEFF"/>
          </w:tcPr>
          <w:p>
            <w:pPr>
              <w:ind w:left="360"/>
              <w:spacing w:after="0" w:line="193" w:lineRule="exact"/>
              <w:rPr>
                <w:sz w:val="20"/>
                <w:szCs w:val="20"/>
                <w:color w:val="auto"/>
              </w:rPr>
            </w:pPr>
            <w:r>
              <w:rPr>
                <w:rFonts w:ascii="Times New Roman" w:cs="Times New Roman" w:eastAsia="Times New Roman" w:hAnsi="Times New Roman"/>
                <w:sz w:val="18"/>
                <w:szCs w:val="18"/>
                <w:color w:val="auto"/>
              </w:rPr>
              <w:t>Premiums earned, net (Net of ceded premiums: 2018: $67,403; 2019:</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$832; nine months ended 2019: $701; nine months ended 2020: $383)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286,515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456,926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343,549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501,100</w:t>
            </w:r>
          </w:p>
        </w:tc>
        <w:tc>
          <w:tcPr>
            <w:tcW w:w="0" w:type="dxa"/>
            <w:vAlign w:val="bottom"/>
          </w:tcPr>
          <w:p>
            <w:pPr>
              <w:spacing w:after="0"/>
              <w:rPr>
                <w:sz w:val="1"/>
                <w:szCs w:val="1"/>
                <w:color w:val="auto"/>
              </w:rPr>
            </w:pPr>
          </w:p>
        </w:tc>
      </w:tr>
      <w:tr>
        <w:trPr>
          <w:trHeight w:val="212"/>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3,052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1,060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4,539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3,147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24"/>
        </w:trPr>
        <w:tc>
          <w:tcPr>
            <w:tcW w:w="5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279,050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450,645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337,441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410,540</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91,626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73,825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57,339</w:t>
            </w:r>
          </w:p>
        </w:tc>
        <w:tc>
          <w:tcPr>
            <w:tcW w:w="0" w:type="dxa"/>
            <w:vAlign w:val="bottom"/>
          </w:tcPr>
          <w:p>
            <w:pPr>
              <w:spacing w:after="0"/>
              <w:rPr>
                <w:sz w:val="1"/>
                <w:szCs w:val="1"/>
                <w:color w:val="auto"/>
              </w:rPr>
            </w:pPr>
          </w:p>
        </w:tc>
      </w:tr>
      <w:tr>
        <w:trPr>
          <w:trHeight w:val="212"/>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103,040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94,757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65,596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79,798</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Premium deficiency reserve expense (benefit)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9,605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7,523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(7,203)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(16,357)</w:t>
            </w:r>
          </w:p>
        </w:tc>
        <w:tc>
          <w:tcPr>
            <w:tcW w:w="0" w:type="dxa"/>
            <w:vAlign w:val="bottom"/>
          </w:tcPr>
          <w:p>
            <w:pPr>
              <w:spacing w:after="0"/>
              <w:rPr>
                <w:sz w:val="1"/>
                <w:szCs w:val="1"/>
                <w:color w:val="auto"/>
              </w:rPr>
            </w:pPr>
          </w:p>
        </w:tc>
      </w:tr>
      <w:tr>
        <w:trPr>
          <w:trHeight w:val="212"/>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(186,672)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(183,199)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(123,381)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(25,078)</w:t>
            </w:r>
          </w:p>
        </w:tc>
        <w:tc>
          <w:tcPr>
            <w:tcW w:w="0" w:type="dxa"/>
            <w:vAlign w:val="bottom"/>
          </w:tcPr>
          <w:p>
            <w:pPr>
              <w:spacing w:after="0"/>
              <w:rPr>
                <w:sz w:val="1"/>
                <w:szCs w:val="1"/>
                <w:color w:val="auto"/>
              </w:rPr>
            </w:pPr>
          </w:p>
        </w:tc>
      </w:tr>
      <w:tr>
        <w:trPr>
          <w:trHeight w:val="218"/>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6,954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23,155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15,637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25,560</w:t>
            </w:r>
          </w:p>
        </w:tc>
        <w:tc>
          <w:tcPr>
            <w:tcW w:w="0" w:type="dxa"/>
            <w:vAlign w:val="bottom"/>
          </w:tcPr>
          <w:p>
            <w:pPr>
              <w:spacing w:after="0"/>
              <w:rPr>
                <w:sz w:val="1"/>
                <w:szCs w:val="1"/>
                <w:color w:val="auto"/>
              </w:rPr>
            </w:pPr>
          </w:p>
        </w:tc>
      </w:tr>
      <w:tr>
        <w:trPr>
          <w:trHeight w:val="212"/>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15,913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10,041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14,935</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derivative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138,561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134,082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(87,475)</w:t>
            </w:r>
          </w:p>
        </w:tc>
        <w:tc>
          <w:tcPr>
            <w:tcW w:w="0" w:type="dxa"/>
            <w:vAlign w:val="bottom"/>
          </w:tcPr>
          <w:p>
            <w:pPr>
              <w:spacing w:after="0"/>
              <w:rPr>
                <w:sz w:val="1"/>
                <w:szCs w:val="1"/>
                <w:color w:val="auto"/>
              </w:rPr>
            </w:pPr>
          </w:p>
        </w:tc>
      </w:tr>
      <w:tr>
        <w:trPr>
          <w:trHeight w:val="21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(201,928</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(363,737</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(285,066</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9"/>
              </w:rPr>
              <w:t>Net loss per share attributable to common stockholders—basic and diluted</w:t>
            </w:r>
            <w:r>
              <w:rPr>
                <w:rFonts w:ascii="Times New Roman" w:cs="Times New Roman" w:eastAsia="Times New Roman" w:hAnsi="Times New Roman"/>
                <w:sz w:val="14"/>
                <w:szCs w:val="14"/>
                <w:color w:val="auto"/>
                <w:w w:val="99"/>
              </w:rPr>
              <w:t>(1)</w:t>
            </w:r>
          </w:p>
        </w:tc>
        <w:tc>
          <w:tcPr>
            <w:tcW w:w="46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3"/>
              <w:spacing w:after="0" w:line="204" w:lineRule="exact"/>
              <w:rPr>
                <w:sz w:val="20"/>
                <w:szCs w:val="20"/>
                <w:color w:val="auto"/>
              </w:rPr>
            </w:pPr>
            <w:r>
              <w:rPr>
                <w:rFonts w:ascii="Times New Roman" w:cs="Times New Roman" w:eastAsia="Times New Roman" w:hAnsi="Times New Roman"/>
                <w:sz w:val="18"/>
                <w:szCs w:val="18"/>
                <w:color w:val="auto"/>
              </w:rPr>
              <w:t>(4.81)</w:t>
            </w:r>
          </w:p>
        </w:tc>
        <w:tc>
          <w:tcPr>
            <w:tcW w:w="32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3"/>
              <w:spacing w:after="0" w:line="204" w:lineRule="exact"/>
              <w:rPr>
                <w:sz w:val="20"/>
                <w:szCs w:val="20"/>
                <w:color w:val="auto"/>
              </w:rPr>
            </w:pPr>
            <w:r>
              <w:rPr>
                <w:rFonts w:ascii="Times New Roman" w:cs="Times New Roman" w:eastAsia="Times New Roman" w:hAnsi="Times New Roman"/>
                <w:sz w:val="18"/>
                <w:szCs w:val="18"/>
                <w:color w:val="auto"/>
              </w:rPr>
              <w:t>(8.56)</w:t>
            </w:r>
          </w:p>
        </w:tc>
        <w:tc>
          <w:tcPr>
            <w:tcW w:w="38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3"/>
              <w:spacing w:after="0" w:line="204" w:lineRule="exact"/>
              <w:rPr>
                <w:sz w:val="20"/>
                <w:szCs w:val="20"/>
                <w:color w:val="auto"/>
              </w:rPr>
            </w:pPr>
            <w:r>
              <w:rPr>
                <w:rFonts w:ascii="Times New Roman" w:cs="Times New Roman" w:eastAsia="Times New Roman" w:hAnsi="Times New Roman"/>
                <w:sz w:val="18"/>
                <w:szCs w:val="18"/>
                <w:color w:val="auto"/>
              </w:rPr>
              <w:t>(6.71)</w:t>
            </w:r>
          </w:p>
        </w:tc>
        <w:tc>
          <w:tcPr>
            <w:tcW w:w="36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line="204"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42,011,938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42,469,175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42,491,451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42,849,576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5500" w:type="dxa"/>
            <w:vAlign w:val="bottom"/>
          </w:tcPr>
          <w:p>
            <w:pPr>
              <w:spacing w:after="0"/>
              <w:rPr>
                <w:sz w:val="24"/>
                <w:szCs w:val="24"/>
                <w:color w:val="auto"/>
              </w:rPr>
            </w:pP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7893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right="200" w:hanging="454"/>
        <w:spacing w:after="0" w:line="270"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Clover’s consolidated financial statements and related notes included elsewhere in this prospectus for an explanation of the calculations of our net loss per share attributable to common stockholders, basic and diluted.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Borders>
              <w:bottom w:val="single" w:sz="8" w:color="auto"/>
            </w:tcBorders>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bottom w:val="single" w:sz="8" w:color="auto"/>
            </w:tcBorders>
          </w:tcPr>
          <w:p>
            <w:pPr>
              <w:ind w:left="760"/>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tcPr>
          <w:p>
            <w:pPr>
              <w:jc w:val="right"/>
              <w:ind w:right="30"/>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ind w:right="51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PMPM</w:t>
            </w:r>
            <w:r>
              <w:rPr>
                <w:rFonts w:ascii="Times New Roman" w:cs="Times New Roman" w:eastAsia="Times New Roman" w:hAnsi="Times New Roman"/>
                <w:sz w:val="11"/>
                <w:szCs w:val="11"/>
                <w:b w:val="1"/>
                <w:bCs w:val="1"/>
                <w:color w:val="auto"/>
                <w:w w:val="99"/>
              </w:rPr>
              <w:t>(1)</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6"/>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PMPM</w:t>
            </w:r>
            <w:r>
              <w:rPr>
                <w:rFonts w:ascii="Times New Roman" w:cs="Times New Roman" w:eastAsia="Times New Roman" w:hAnsi="Times New Roman"/>
                <w:sz w:val="11"/>
                <w:szCs w:val="11"/>
                <w:b w:val="1"/>
                <w:bCs w:val="1"/>
                <w:color w:val="auto"/>
                <w:w w:val="99"/>
              </w:rPr>
              <w:t>(1)</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Borders>
              <w:bottom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PMPM</w:t>
            </w:r>
            <w:r>
              <w:rPr>
                <w:rFonts w:ascii="Times New Roman" w:cs="Times New Roman" w:eastAsia="Times New Roman" w:hAnsi="Times New Roman"/>
                <w:sz w:val="11"/>
                <w:szCs w:val="11"/>
                <w:b w:val="1"/>
                <w:bCs w:val="1"/>
                <w:color w:val="auto"/>
                <w:w w:val="99"/>
              </w:rPr>
              <w:t>(1)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5"/>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Borders>
              <w:bottom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PMPM</w:t>
            </w:r>
            <w:r>
              <w:rPr>
                <w:rFonts w:ascii="Times New Roman" w:cs="Times New Roman" w:eastAsia="Times New Roman" w:hAnsi="Times New Roman"/>
                <w:sz w:val="11"/>
                <w:szCs w:val="11"/>
                <w:b w:val="1"/>
                <w:bCs w:val="1"/>
                <w:color w:val="auto"/>
                <w:w w:val="99"/>
              </w:rPr>
              <w:t>(1)</w:t>
            </w:r>
          </w:p>
        </w:tc>
        <w:tc>
          <w:tcPr>
            <w:tcW w:w="60" w:type="dxa"/>
            <w:vAlign w:val="bottom"/>
          </w:tcPr>
          <w:p>
            <w:pPr>
              <w:spacing w:after="0"/>
              <w:rPr>
                <w:sz w:val="12"/>
                <w:szCs w:val="12"/>
                <w:color w:val="auto"/>
              </w:rPr>
            </w:pPr>
          </w:p>
        </w:tc>
      </w:tr>
      <w:tr>
        <w:trPr>
          <w:trHeight w:val="13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60" w:type="dxa"/>
            <w:vAlign w:val="bottom"/>
            <w:gridSpan w:val="6"/>
          </w:tcPr>
          <w:p>
            <w:pPr>
              <w:ind w:left="760"/>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 except PMPM amounts)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Members as of period end</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32,529</w:t>
            </w:r>
          </w:p>
        </w:tc>
        <w:tc>
          <w:tcPr>
            <w:tcW w:w="3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42,592</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42,087</w:t>
            </w:r>
          </w:p>
        </w:tc>
        <w:tc>
          <w:tcPr>
            <w:tcW w:w="2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57,503</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 gross</w:t>
            </w:r>
          </w:p>
        </w:tc>
        <w:tc>
          <w:tcPr>
            <w:tcW w:w="12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$ 353,918</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937</w:t>
            </w:r>
          </w:p>
        </w:tc>
        <w:tc>
          <w:tcPr>
            <w:tcW w:w="11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97"/>
              </w:rPr>
              <w:t>$ 457,758</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927</w:t>
            </w:r>
          </w:p>
        </w:tc>
        <w:tc>
          <w:tcPr>
            <w:tcW w:w="13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$ 344,250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939</w:t>
            </w:r>
          </w:p>
        </w:tc>
        <w:tc>
          <w:tcPr>
            <w:tcW w:w="10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4"/>
              </w:rPr>
              <w:t>$501,483</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Premiums earned, net</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$ 286,515</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758</w:t>
            </w: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97"/>
              </w:rPr>
              <w:t>$ 456,926</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$ 343,549</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937</w:t>
            </w: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w w:val="94"/>
              </w:rPr>
              <w:t>$501,100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claim expense incurred, gross</w:t>
            </w:r>
          </w:p>
        </w:tc>
        <w:tc>
          <w:tcPr>
            <w:tcW w:w="12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$ 343,529</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909</w:t>
            </w:r>
          </w:p>
        </w:tc>
        <w:tc>
          <w:tcPr>
            <w:tcW w:w="11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97"/>
              </w:rPr>
              <w:t>$ 452,261</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w:t>
            </w:r>
          </w:p>
        </w:tc>
        <w:tc>
          <w:tcPr>
            <w:tcW w:w="13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$ 338,271</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923</w:t>
            </w:r>
          </w:p>
        </w:tc>
        <w:tc>
          <w:tcPr>
            <w:tcW w:w="10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4"/>
              </w:rPr>
              <w:t>$411,243</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808</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$ 279,050</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739</w:t>
            </w: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97"/>
              </w:rPr>
              <w:t>$ 450,645</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912</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$ 337,441</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920</w:t>
            </w: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w w:val="94"/>
              </w:rPr>
              <w:t>$410,540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care ratio, gross</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Medical care ratio, net</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97.4%</w:t>
            </w:r>
          </w:p>
        </w:tc>
        <w:tc>
          <w:tcPr>
            <w:tcW w:w="3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$(201,928)</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95"/>
              </w:rPr>
              <w:t>$(363,737)</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$(285,066)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93"/>
              </w:rPr>
              <w:t>$ (10,001)</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4"/>
                <w:szCs w:val="14"/>
                <w:color w:val="auto"/>
              </w:rPr>
              <w:t>(2)</w:t>
            </w:r>
          </w:p>
        </w:tc>
        <w:tc>
          <w:tcPr>
            <w:tcW w:w="12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$(177,146)</w:t>
            </w:r>
          </w:p>
        </w:tc>
        <w:tc>
          <w:tcPr>
            <w:tcW w:w="3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95"/>
              </w:rPr>
              <w:t>$(175,457)</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$(116,345)</w:t>
            </w:r>
          </w:p>
        </w:tc>
        <w:tc>
          <w:tcPr>
            <w:tcW w:w="2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3"/>
              </w:rPr>
              <w:t>$ (11,031)</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14"/>
                <w:szCs w:val="14"/>
                <w:color w:val="auto"/>
              </w:rPr>
              <w:t>(2)</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893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47" w:lineRule="exact"/>
        <w:rPr>
          <w:sz w:val="20"/>
          <w:szCs w:val="20"/>
          <w:color w:val="auto"/>
        </w:rPr>
      </w:pPr>
    </w:p>
    <w:p>
      <w:pPr>
        <w:ind w:left="460" w:right="460" w:hanging="454"/>
        <w:spacing w:after="0" w:line="25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per member per month figures (“PMPM”) are based on the applicable amount divided by member months in the given period. Member months represents the number of months members are enrolled in a Clover plan in the period.</w:t>
      </w:r>
    </w:p>
    <w:p>
      <w:pPr>
        <w:ind w:left="460" w:right="60" w:hanging="454"/>
        <w:spacing w:after="0" w:line="250"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financial measures that are not calculated in accordance with U.S. GAAP. See the section entitled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39"/>
        </w:trPr>
        <w:tc>
          <w:tcPr>
            <w:tcW w:w="5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74"/>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139"/>
        </w:trPr>
        <w:tc>
          <w:tcPr>
            <w:tcW w:w="5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00" w:type="dxa"/>
            <w:vAlign w:val="bottom"/>
            <w:gridSpan w:val="4"/>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67,598</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89,732</w:t>
            </w:r>
          </w:p>
        </w:tc>
      </w:tr>
      <w:tr>
        <w:trPr>
          <w:trHeight w:val="21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111,068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53,898</w:t>
            </w:r>
          </w:p>
        </w:tc>
      </w:t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210,597</w:t>
            </w:r>
          </w:p>
        </w:tc>
        <w:tc>
          <w:tcPr>
            <w:tcW w:w="72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337,021</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326,338</w:t>
            </w:r>
          </w:p>
        </w:tc>
      </w:tr>
      <w:tr>
        <w:trPr>
          <w:trHeight w:val="21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discount and deferred issuance costs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57,917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96,114</w:t>
            </w:r>
          </w:p>
        </w:tc>
      </w:t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138,561</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51,086</w:t>
            </w:r>
          </w:p>
        </w:tc>
      </w:tr>
      <w:tr>
        <w:trPr>
          <w:trHeight w:val="21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payable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17,672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49,402</w:t>
            </w:r>
          </w:p>
        </w:tc>
      </w:t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447,747</w:t>
            </w:r>
          </w:p>
        </w:tc>
        <w:tc>
          <w:tcPr>
            <w:tcW w:w="72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447,747</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447,747</w:t>
            </w:r>
          </w:p>
        </w:tc>
      </w:tr>
      <w:tr>
        <w:trPr>
          <w:trHeight w:val="21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(502,574)</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6"/>
              </w:rPr>
              <w:t>(448,537)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(488,014)</w:t>
            </w: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Book value per share </w:t>
            </w:r>
            <w:r>
              <w:rPr>
                <w:rFonts w:ascii="Times New Roman" w:cs="Times New Roman" w:eastAsia="Times New Roman" w:hAnsi="Times New Roman"/>
                <w:sz w:val="14"/>
                <w:szCs w:val="14"/>
                <w:color w:val="auto"/>
              </w:rPr>
              <w:t>(1)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(11.44)</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148590</wp:posOffset>
            </wp:positionV>
            <wp:extent cx="7893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235" w:lineRule="exact"/>
        <w:rPr>
          <w:sz w:val="20"/>
          <w:szCs w:val="20"/>
          <w:color w:val="auto"/>
        </w:rPr>
      </w:pPr>
    </w:p>
    <w:p>
      <w:pPr>
        <w:ind w:left="460" w:hanging="454"/>
        <w:spacing w:after="0"/>
        <w:tabs>
          <w:tab w:leader="none" w:pos="4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 book value per share is calculated by taking total stockholders’ equity divided by total outstanding common shares as of the end of the period.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2" w:lineRule="exact"/>
        <w:rPr>
          <w:sz w:val="20"/>
          <w:szCs w:val="20"/>
          <w:color w:val="auto"/>
        </w:rPr>
      </w:pPr>
    </w:p>
    <w:p>
      <w:pPr>
        <w:ind w:right="640" w:firstLine="449"/>
        <w:spacing w:after="0" w:line="270" w:lineRule="auto"/>
        <w:rPr>
          <w:sz w:val="20"/>
          <w:szCs w:val="20"/>
          <w:color w:val="auto"/>
        </w:rPr>
      </w:pPr>
      <w:r>
        <w:rPr>
          <w:rFonts w:ascii="Times New Roman" w:cs="Times New Roman" w:eastAsia="Times New Roman" w:hAnsi="Times New Roman"/>
          <w:sz w:val="18"/>
          <w:szCs w:val="18"/>
          <w:color w:val="auto"/>
        </w:rPr>
        <w:t>The following tables present certain non-GAAP financial measures for each fiscal year presented below. In addition to our results determined in accordance with GAAP, we believe these non-GAAP financial measures are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450"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useful in evaluating our operating performance. See below for a description of the non-GAAP financial measures and their limitations as an analytical tool.</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20" w:type="dxa"/>
            <w:vAlign w:val="bottom"/>
            <w:gridSpan w:val="3"/>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32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20" w:type="dxa"/>
            <w:vAlign w:val="bottom"/>
            <w:gridSpan w:val="3"/>
            <w:vMerge w:val="continue"/>
          </w:tcPr>
          <w:p>
            <w:pPr>
              <w:spacing w:after="0"/>
              <w:rPr>
                <w:sz w:val="14"/>
                <w:szCs w:val="14"/>
                <w:color w:val="auto"/>
              </w:rPr>
            </w:pPr>
          </w:p>
        </w:tc>
        <w:tc>
          <w:tcPr>
            <w:tcW w:w="232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590"/>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980" w:type="dxa"/>
            <w:vAlign w:val="bottom"/>
            <w:tcBorders>
              <w:top w:val="single" w:sz="8" w:color="auto"/>
              <w:bottom w:val="single" w:sz="8" w:color="auto"/>
            </w:tcBorders>
          </w:tcPr>
          <w:p>
            <w:pPr>
              <w:jc w:val="right"/>
              <w:ind w:right="161"/>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602"/>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top w:val="single" w:sz="8" w:color="auto"/>
              <w:bottom w:val="single" w:sz="8" w:color="auto"/>
            </w:tcBorders>
          </w:tcPr>
          <w:p>
            <w:pPr>
              <w:jc w:val="right"/>
              <w:ind w:right="98"/>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40" w:type="dxa"/>
            <w:vAlign w:val="bottom"/>
            <w:gridSpan w:val="3"/>
          </w:tcPr>
          <w:p>
            <w:pPr>
              <w:jc w:val="right"/>
              <w:ind w:right="1062"/>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$(177,146)</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$(175,457)</w:t>
            </w:r>
          </w:p>
        </w:tc>
        <w:tc>
          <w:tcPr>
            <w:tcW w:w="11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w w:val="95"/>
              </w:rPr>
              <w:t>$(116,345)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$(11,031)</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8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(50.1)%</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(38.3)%</w:t>
            </w:r>
          </w:p>
        </w:tc>
        <w:tc>
          <w:tcPr>
            <w:tcW w:w="118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(33.8)%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14" w:lineRule="exact"/>
        <w:rPr>
          <w:sz w:val="20"/>
          <w:szCs w:val="20"/>
          <w:color w:val="auto"/>
        </w:rPr>
      </w:pPr>
    </w:p>
    <w:p>
      <w:pPr>
        <w:ind w:right="60" w:firstLine="449"/>
        <w:spacing w:after="0" w:line="265" w:lineRule="auto"/>
        <w:rPr>
          <w:sz w:val="20"/>
          <w:szCs w:val="20"/>
          <w:color w:val="auto"/>
        </w:rPr>
      </w:pPr>
      <w:r>
        <w:rPr>
          <w:rFonts w:ascii="Times New Roman" w:cs="Times New Roman" w:eastAsia="Times New Roman" w:hAnsi="Times New Roman"/>
          <w:sz w:val="17"/>
          <w:szCs w:val="17"/>
          <w:color w:val="auto"/>
        </w:rPr>
        <w:t>Adjusted EBITDA is a non-GAAP financial measure defined by us as net loss before interest expense, amortization of notes and securities discounts, provision for income taxes, depreciation and amortization expense, change in fair value of warrants expense, loss (gain) on derivative, restructuring cost, stock-based compensation expense and health insurance industry fee. Adjusted EBITDA Margin is a non-GAAP financial measure defined by us as Adjusted EBITDA divided by premiums earned, gross. Adjusted EBITDA and Adjusted EBITDA Margin are key measures used by our management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and Adjusted EBITDA Margin can provide useful measures for period-to-period comparisons of our business. Accordingly, we believe that Adjusted EBITDA and Adjusted EBITDA Margin provide useful information in understanding and evaluating our operating results in the same manner as our management and our board of directors.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and Reconciliations of Non-GAAP Financial Measures</w:t>
      </w:r>
    </w:p>
    <w:p>
      <w:pPr>
        <w:spacing w:after="0" w:line="112"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our calculation of Adjusted EBITDA excludes payments of the health insurance industry fee while other companies in our industry might not exclude this fee, which has been suspended in two of the last four years and permanently repealed beginning in 2021.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60"/>
          </w:cols>
          <w:pgMar w:left="320" w:top="450" w:right="41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GAAP financial measure to each of these non-GAAP financial measures.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740" w:type="dxa"/>
            <w:vAlign w:val="bottom"/>
            <w:gridSpan w:val="4"/>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1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40" w:type="dxa"/>
            <w:vAlign w:val="bottom"/>
            <w:gridSpan w:val="4"/>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1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12"/>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1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$(201,928)</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8"/>
              </w:rPr>
              <w:t>$(363,737)</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$(285,066)</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(10,001)</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6,954</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23,155</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15,637</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25,560</w:t>
            </w:r>
          </w:p>
        </w:tc>
        <w:tc>
          <w:tcPr>
            <w:tcW w:w="0" w:type="dxa"/>
            <w:vAlign w:val="bottom"/>
          </w:tcPr>
          <w:p>
            <w:pPr>
              <w:spacing w:after="0"/>
              <w:rPr>
                <w:sz w:val="1"/>
                <w:szCs w:val="1"/>
                <w:color w:val="auto"/>
              </w:rPr>
            </w:pPr>
          </w:p>
        </w:tc>
      </w:tr>
      <w:tr>
        <w:trPr>
          <w:trHeight w:val="212"/>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31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51</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15,913</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10,041</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14,935</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487</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551</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434</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expense</w:t>
            </w:r>
          </w:p>
        </w:tc>
        <w:tc>
          <w:tcPr>
            <w:tcW w:w="3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8,251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31,903</w:t>
            </w:r>
          </w:p>
        </w:tc>
        <w:tc>
          <w:tcPr>
            <w:tcW w:w="0" w:type="dxa"/>
            <w:vAlign w:val="bottom"/>
          </w:tcPr>
          <w:p>
            <w:pPr>
              <w:spacing w:after="0"/>
              <w:rPr>
                <w:sz w:val="1"/>
                <w:szCs w:val="1"/>
                <w:color w:val="auto"/>
              </w:rPr>
            </w:pPr>
          </w:p>
        </w:tc>
      </w:tr>
      <w:tr>
        <w:trPr>
          <w:trHeight w:val="212"/>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derivative</w:t>
            </w:r>
          </w:p>
        </w:tc>
        <w:tc>
          <w:tcPr>
            <w:tcW w:w="18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138,561</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134,082</w:t>
            </w:r>
          </w:p>
        </w:tc>
        <w:tc>
          <w:tcPr>
            <w:tcW w:w="34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(87,475)</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cost</w:t>
            </w:r>
          </w:p>
        </w:tc>
        <w:tc>
          <w:tcPr>
            <w:tcW w:w="3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2"/>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1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3,556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34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Health insurance industry fee</w:t>
            </w:r>
          </w:p>
        </w:tc>
        <w:tc>
          <w:tcPr>
            <w:tcW w:w="3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4,608</w:t>
            </w: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6,017</w:t>
            </w:r>
          </w:p>
        </w:tc>
        <w:tc>
          <w:tcPr>
            <w:tcW w:w="0" w:type="dxa"/>
            <w:vAlign w:val="bottom"/>
          </w:tcPr>
          <w:p>
            <w:pPr>
              <w:spacing w:after="0"/>
              <w:rPr>
                <w:sz w:val="1"/>
                <w:szCs w:val="1"/>
                <w:color w:val="auto"/>
              </w:rPr>
            </w:pPr>
          </w:p>
        </w:tc>
      </w:tr>
      <w:tr>
        <w:trPr>
          <w:trHeight w:val="21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$(177,146)</w:t>
            </w:r>
          </w:p>
        </w:tc>
        <w:tc>
          <w:tcPr>
            <w:tcW w:w="6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$(175,457)</w:t>
            </w:r>
          </w:p>
        </w:tc>
        <w:tc>
          <w:tcPr>
            <w:tcW w:w="6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$(116,345)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 (11,031)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 gross</w:t>
            </w:r>
          </w:p>
        </w:tc>
        <w:tc>
          <w:tcPr>
            <w:tcW w:w="3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$ 353,918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$ 457,758</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$ 344,250</w:t>
            </w:r>
          </w:p>
        </w:tc>
        <w:tc>
          <w:tcPr>
            <w:tcW w:w="3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501,483</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8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(50.1)%</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vMerge w:val="continue"/>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52"/>
        </w:trPr>
        <w:tc>
          <w:tcPr>
            <w:tcW w:w="4580" w:type="dxa"/>
            <w:vAlign w:val="bottom"/>
          </w:tcPr>
          <w:p>
            <w:pPr>
              <w:spacing w:after="0"/>
              <w:rPr>
                <w:sz w:val="24"/>
                <w:szCs w:val="24"/>
                <w:color w:val="auto"/>
              </w:rPr>
            </w:pPr>
          </w:p>
        </w:tc>
        <w:tc>
          <w:tcPr>
            <w:tcW w:w="18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63</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INFORMATION</w:t>
      </w:r>
    </w:p>
    <w:p>
      <w:pPr>
        <w:spacing w:after="0" w:line="218"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financial information is derived from the unaudited pro forma condensed combined balance sheet and statements of operations and comprehensive loss.</w:t>
      </w:r>
    </w:p>
    <w:p>
      <w:pPr>
        <w:spacing w:after="0" w:line="169"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SCH’s historical financial statements and Clover’s historical consolidated financial statements as adjusted to give effect to the Business Combination, defined in the unaudited pro forma condensed combined financial information found elsewhere in this prospectus and the PIPE Investment for an aggregate commitment amount of $400.0 million . The unaudited pro forma condensed combined balance sheet gives pro forma effect to the Business Combination, treated as a reverse recapitalization for accounting purposes, and the PIPE Investment as if they had been consummated on September 30, 2020. The unaudited pro forma condensed combined statements of operations for the nine months ended September 30, 2020 and for the year ended December 31, 2019, give effect to the Business Combination and the PIPE Investment as if they had occurred on January 1, 2019, the beginning of the earliest period presented.</w:t>
      </w:r>
    </w:p>
    <w:p>
      <w:pPr>
        <w:spacing w:after="0" w:line="189"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prepared in accordance with Article 11 of SEC Regulation S-X. Accordingly, the historical financial information has been adjusted to give pro forma effect to events that are: (i) directly attributable to the Business Combination and the PIPE Investment, (ii) are factually supportable and, (iii) with respect to the unaudited pro forma condensed combined statement of operations, are expected to have a continuing impact on the results of operations of the combined company. The adjustments presented on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87"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w:t>
      </w:r>
    </w:p>
    <w:p>
      <w:pPr>
        <w:spacing w:after="0" w:line="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SCH and Clover have not had any historical relationship prior to the business combination. Accordingly, no pro forma adjustments were required to eliminate activities between the companies.</w:t>
      </w:r>
    </w:p>
    <w:p>
      <w:pPr>
        <w:spacing w:after="0" w:line="186"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actual redemptions of 24,892 SCH outstanding ordinary shares for an aggregate redemption payment of $0.2 million out of the trust account on the closing date of the Business Combination. No other SCH ordinary shares are subject to redemption.</w:t>
      </w:r>
    </w:p>
    <w:p>
      <w:pPr>
        <w:spacing w:after="0" w:line="177" w:lineRule="exact"/>
        <w:rPr>
          <w:sz w:val="20"/>
          <w:szCs w:val="20"/>
          <w:color w:val="auto"/>
        </w:rPr>
      </w:pPr>
    </w:p>
    <w:p>
      <w:pPr>
        <w:ind w:right="140" w:firstLine="449"/>
        <w:spacing w:after="0" w:line="259" w:lineRule="auto"/>
        <w:rPr>
          <w:sz w:val="20"/>
          <w:szCs w:val="20"/>
          <w:color w:val="auto"/>
        </w:rPr>
      </w:pPr>
      <w:r>
        <w:rPr>
          <w:rFonts w:ascii="Times New Roman" w:cs="Times New Roman" w:eastAsia="Times New Roman" w:hAnsi="Times New Roman"/>
          <w:sz w:val="18"/>
          <w:szCs w:val="18"/>
          <w:color w:val="auto"/>
        </w:rPr>
        <w:t>This information should be read together with SCH’s and Clover’s historical financial statements and related notes, “</w:t>
      </w:r>
      <w:r>
        <w:rPr>
          <w:rFonts w:ascii="Times New Roman" w:cs="Times New Roman" w:eastAsia="Times New Roman" w:hAnsi="Times New Roman"/>
          <w:sz w:val="18"/>
          <w:szCs w:val="18"/>
          <w:i w:val="1"/>
          <w:iCs w:val="1"/>
          <w:color w:val="auto"/>
        </w:rPr>
        <w:t>Unaudited Pro Forma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Combined Financial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other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included elsewhere in this prospectus.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450"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36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4"/>
        </w:trPr>
        <w:tc>
          <w:tcPr>
            <w:tcW w:w="4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9"/>
                <w:szCs w:val="9"/>
                <w:color w:val="auto"/>
              </w:rPr>
            </w:pPr>
          </w:p>
        </w:tc>
      </w:tr>
      <w:tr>
        <w:trPr>
          <w:trHeight w:val="170"/>
        </w:trPr>
        <w:tc>
          <w:tcPr>
            <w:tcW w:w="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20" w:type="dxa"/>
            <w:vAlign w:val="bottom"/>
          </w:tcPr>
          <w:p>
            <w:pPr>
              <w:spacing w:after="0"/>
              <w:rPr>
                <w:sz w:val="14"/>
                <w:szCs w:val="14"/>
                <w:color w:val="auto"/>
              </w:rPr>
            </w:pPr>
          </w:p>
        </w:tc>
        <w:tc>
          <w:tcPr>
            <w:tcW w:w="16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39"/>
        </w:trPr>
        <w:tc>
          <w:tcPr>
            <w:tcW w:w="4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 of Operations data:</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506,655</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462,266</w:t>
            </w: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531,899</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645,483</w:t>
            </w: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6,465</w:t>
            </w:r>
          </w:p>
        </w:tc>
      </w:tr>
      <w:tr>
        <w:trPr>
          <w:trHeight w:val="212"/>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(28,859)</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(190,083)</w:t>
            </w:r>
          </w:p>
        </w:tc>
      </w:tr>
      <w:tr>
        <w:trPr>
          <w:trHeight w:val="366"/>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14"/>
        </w:trPr>
        <w:tc>
          <w:tcPr>
            <w:tcW w:w="4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Borders>
              <w:top w:val="single" w:sz="8" w:color="auto"/>
            </w:tcBorders>
            <w:gridSpan w:val="2"/>
          </w:tcPr>
          <w:p>
            <w:pPr>
              <w:ind w:left="420"/>
              <w:spacing w:after="0" w:line="114" w:lineRule="exact"/>
              <w:rPr>
                <w:sz w:val="20"/>
                <w:szCs w:val="20"/>
                <w:color w:val="auto"/>
              </w:rPr>
            </w:pPr>
            <w:r>
              <w:rPr>
                <w:rFonts w:ascii="Times New Roman" w:cs="Times New Roman" w:eastAsia="Times New Roman" w:hAnsi="Times New Roman"/>
                <w:sz w:val="13"/>
                <w:szCs w:val="13"/>
                <w:b w:val="1"/>
                <w:bCs w:val="1"/>
                <w:color w:val="auto"/>
              </w:rPr>
              <w:t>As of</w:t>
            </w:r>
          </w:p>
        </w:tc>
        <w:tc>
          <w:tcPr>
            <w:tcW w:w="460" w:type="dxa"/>
            <w:vAlign w:val="bottom"/>
            <w:gridSpan w:val="2"/>
          </w:tcPr>
          <w:p>
            <w:pPr>
              <w:spacing w:after="0"/>
              <w:rPr>
                <w:sz w:val="9"/>
                <w:szCs w:val="9"/>
                <w:color w:val="auto"/>
              </w:rPr>
            </w:pPr>
          </w:p>
        </w:tc>
      </w:tr>
      <w:tr>
        <w:trPr>
          <w:trHeight w:val="170"/>
        </w:trPr>
        <w:tc>
          <w:tcPr>
            <w:tcW w:w="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39"/>
        </w:trPr>
        <w:tc>
          <w:tcPr>
            <w:tcW w:w="4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gridSpan w:val="2"/>
          </w:tcPr>
          <w:p>
            <w:pPr>
              <w:spacing w:after="0"/>
              <w:rPr>
                <w:sz w:val="12"/>
                <w:szCs w:val="12"/>
                <w:color w:val="auto"/>
              </w:rPr>
            </w:pPr>
          </w:p>
        </w:tc>
      </w:tr>
      <w:tr>
        <w:trPr>
          <w:trHeight w:val="212"/>
        </w:trPr>
        <w:tc>
          <w:tcPr>
            <w:tcW w:w="4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Balance sheet data:</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4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440" w:type="dxa"/>
            <w:vAlign w:val="bottom"/>
          </w:tcPr>
          <w:p>
            <w:pPr>
              <w:spacing w:after="0"/>
              <w:rPr>
                <w:sz w:val="16"/>
                <w:szCs w:val="16"/>
                <w:color w:val="auto"/>
              </w:rPr>
            </w:pPr>
          </w:p>
        </w:tc>
        <w:tc>
          <w:tcPr>
            <w:tcW w:w="51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w w:val="97"/>
              </w:rPr>
              <w:t>Total notes and securities payable, net of discounts and deferred issuance</w:t>
            </w: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440" w:type="dxa"/>
            <w:vAlign w:val="bottom"/>
          </w:tcPr>
          <w:p>
            <w:pPr>
              <w:spacing w:after="0"/>
              <w:rPr>
                <w:sz w:val="19"/>
                <w:szCs w:val="19"/>
                <w:color w:val="auto"/>
              </w:rPr>
            </w:pPr>
          </w:p>
        </w:tc>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2"/>
        </w:trPr>
        <w:tc>
          <w:tcPr>
            <w:tcW w:w="4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4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56"/>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4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65</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139"/>
          </w:cols>
          <w:pgMar w:left="320" w:top="450" w:right="1440"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18" w:lineRule="exact"/>
        <w:rPr>
          <w:sz w:val="20"/>
          <w:szCs w:val="20"/>
          <w:color w:val="auto"/>
        </w:rPr>
      </w:pPr>
    </w:p>
    <w:p>
      <w:pPr>
        <w:ind w:right="340" w:firstLine="449"/>
        <w:spacing w:after="0" w:line="280" w:lineRule="auto"/>
        <w:rPr>
          <w:sz w:val="20"/>
          <w:szCs w:val="20"/>
          <w:color w:val="auto"/>
        </w:rPr>
      </w:pPr>
      <w:r>
        <w:rPr>
          <w:rFonts w:ascii="Times New Roman" w:cs="Times New Roman" w:eastAsia="Times New Roman" w:hAnsi="Times New Roman"/>
          <w:sz w:val="17"/>
          <w:szCs w:val="17"/>
          <w:color w:val="auto"/>
        </w:rPr>
        <w:t>The following unaudited pro forma condensed combined balance sheet as of September 30, 2020 combines the unaudited historical condensed consolidated balance sheet of SCH as of September 30, 2020 with the unaudited historical consolidated balance sheet of Clover as of September 30, 2020, giving effect to the Business Combination and a PIPE Investment with net proceeds of $400.0 million, as if they had been consummated as of that date.</w:t>
      </w:r>
    </w:p>
    <w:p>
      <w:pPr>
        <w:spacing w:after="0" w:line="162"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statements of operations for the nine months ended September 30, 2020 and for the year ended December 31, 2019 combines the unaudited historical condensed consolidated statements of operations of SCH for the nine months ended September 30, 2020 and for the year ended December 31, 2019, respectively, with the unaudited historical consolidated statement of operations of Clover for the nine months ended September 30, 2020 and for the year ended December 31, 2019, respectively, giving effect to the Business Combination and the PIPE Investment as if they had occurred as of January 1, 2019.</w:t>
      </w:r>
    </w:p>
    <w:p>
      <w:pPr>
        <w:spacing w:after="0" w:line="187"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color w:val="auto"/>
        </w:rPr>
        <w:t>The historical financial information of SCH was derived from the unaudited condensed consolidated financial statements of SCH for the nine months ended September 30, 2020 and the audited financial statements of SCH for the year ended December 31, 2019 included elsewhere in this prospectus. The historical financial information of Clover was derived from the unaudited consolidated financial statements of Clover for the nine months ended September 30, 2020 and the audited consolidated financial statements of Clover for the year ended December 31, 2019 included elsewhere in this prospectus. This information should be read together with SCH’s and Clover’s audited and unaudited financial statements and related notes, the section 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w:t>
      </w:r>
      <w:r>
        <w:rPr>
          <w:rFonts w:ascii="Times New Roman" w:cs="Times New Roman" w:eastAsia="Times New Roman" w:hAnsi="Times New Roman"/>
          <w:sz w:val="17"/>
          <w:szCs w:val="17"/>
          <w:color w:val="auto"/>
        </w:rPr>
        <w:t>,” and other financial information included elsewhere in the Proxy Statement.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450" w:right="3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into Cash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6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140"/>
              <w:spacing w:after="0" w:line="114" w:lineRule="exact"/>
              <w:rPr>
                <w:sz w:val="20"/>
                <w:szCs w:val="20"/>
                <w:color w:val="auto"/>
              </w:rPr>
            </w:pPr>
            <w:r>
              <w:rPr>
                <w:rFonts w:ascii="Times New Roman" w:cs="Times New Roman" w:eastAsia="Times New Roman" w:hAnsi="Times New Roman"/>
                <w:sz w:val="13"/>
                <w:szCs w:val="13"/>
                <w:b w:val="1"/>
                <w:bCs w:val="1"/>
                <w:color w:val="auto"/>
              </w:rPr>
              <w:t>(A)</w:t>
            </w: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54"/>
              <w:spacing w:after="0" w:line="114" w:lineRule="exact"/>
              <w:rPr>
                <w:sz w:val="20"/>
                <w:szCs w:val="20"/>
                <w:color w:val="auto"/>
              </w:rPr>
            </w:pPr>
            <w:r>
              <w:rPr>
                <w:rFonts w:ascii="Times New Roman" w:cs="Times New Roman" w:eastAsia="Times New Roman" w:hAnsi="Times New Roman"/>
                <w:sz w:val="13"/>
                <w:szCs w:val="13"/>
                <w:b w:val="1"/>
                <w:bCs w:val="1"/>
                <w:color w:val="auto"/>
              </w:rPr>
              <w:t>(B)</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top w:val="single" w:sz="8" w:color="auto"/>
            </w:tcBorders>
            <w:gridSpan w:val="3"/>
          </w:tcPr>
          <w:p>
            <w:pPr>
              <w:jc w:val="right"/>
              <w:ind w:right="200"/>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33"/>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SCH</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Clover</w:t>
            </w:r>
          </w:p>
        </w:tc>
        <w:tc>
          <w:tcPr>
            <w:tcW w:w="1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2"/>
        </w:trPr>
        <w:tc>
          <w:tcPr>
            <w:tcW w:w="464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89,732</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789,934</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(6a)</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754,947</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(25,095)</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400,000</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(499,751)</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15,495</w:t>
            </w:r>
          </w:p>
        </w:tc>
        <w:tc>
          <w:tcPr>
            <w:tcW w:w="0" w:type="dxa"/>
            <w:vAlign w:val="bottom"/>
          </w:tcPr>
          <w:p>
            <w:pPr>
              <w:spacing w:after="0"/>
              <w:rPr>
                <w:sz w:val="1"/>
                <w:szCs w:val="1"/>
                <w:color w:val="auto"/>
              </w:rPr>
            </w:pPr>
          </w:p>
        </w:tc>
      </w:tr>
      <w:tr>
        <w:trPr>
          <w:trHeight w:val="212"/>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securities, available-for sale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12,179</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2"/>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27,878</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15,341</w:t>
            </w:r>
          </w:p>
        </w:tc>
        <w:tc>
          <w:tcPr>
            <w:tcW w:w="0" w:type="dxa"/>
            <w:vAlign w:val="bottom"/>
          </w:tcPr>
          <w:p>
            <w:pPr>
              <w:spacing w:after="0"/>
              <w:rPr>
                <w:sz w:val="1"/>
                <w:szCs w:val="1"/>
                <w:color w:val="auto"/>
              </w:rPr>
            </w:pPr>
          </w:p>
        </w:tc>
      </w:tr>
      <w:tr>
        <w:trPr>
          <w:trHeight w:val="212"/>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Reinsurance recoverable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Healthcare receivables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34,325</w:t>
            </w:r>
          </w:p>
        </w:tc>
        <w:tc>
          <w:tcPr>
            <w:tcW w:w="0" w:type="dxa"/>
            <w:vAlign w:val="bottom"/>
          </w:tcPr>
          <w:p>
            <w:pPr>
              <w:spacing w:after="0"/>
              <w:rPr>
                <w:sz w:val="1"/>
                <w:szCs w:val="1"/>
                <w:color w:val="auto"/>
              </w:rPr>
            </w:pPr>
          </w:p>
        </w:tc>
      </w:tr>
      <w:tr>
        <w:trPr>
          <w:trHeight w:val="212"/>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current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(3,222)</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18"/>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88"/>
              </w:rPr>
              <w:t>592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203,455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661,866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available-for-sale, at fair value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98,298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98,298</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9,106</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8,660</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held in trust account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828,097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(28,980)</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(6,036)</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(2,898)</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7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(789,934)</w:t>
            </w:r>
          </w:p>
        </w:tc>
        <w:tc>
          <w:tcPr>
            <w:tcW w:w="7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828,689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326,338</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(166,231)</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988,796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980" w:type="dxa"/>
            <w:vAlign w:val="bottom"/>
            <w:vMerge w:val="restart"/>
          </w:tcPr>
          <w:p>
            <w:pPr>
              <w:jc w:val="right"/>
              <w:ind w:right="81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6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into Cash</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700"/>
              <w:spacing w:after="0" w:line="114" w:lineRule="exact"/>
              <w:rPr>
                <w:sz w:val="20"/>
                <w:szCs w:val="20"/>
                <w:color w:val="auto"/>
              </w:rPr>
            </w:pPr>
            <w:r>
              <w:rPr>
                <w:rFonts w:ascii="Times New Roman" w:cs="Times New Roman" w:eastAsia="Times New Roman" w:hAnsi="Times New Roman"/>
                <w:sz w:val="13"/>
                <w:szCs w:val="13"/>
                <w:b w:val="1"/>
                <w:bCs w:val="1"/>
                <w:color w:val="auto"/>
              </w:rPr>
              <w:t>(A)</w:t>
            </w:r>
          </w:p>
        </w:tc>
        <w:tc>
          <w:tcPr>
            <w:tcW w:w="80" w:type="dxa"/>
            <w:vAlign w:val="bottom"/>
          </w:tcPr>
          <w:p>
            <w:pPr>
              <w:spacing w:after="0"/>
              <w:rPr>
                <w:sz w:val="9"/>
                <w:szCs w:val="9"/>
                <w:color w:val="auto"/>
              </w:rPr>
            </w:pPr>
          </w:p>
        </w:tc>
        <w:tc>
          <w:tcPr>
            <w:tcW w:w="580" w:type="dxa"/>
            <w:vAlign w:val="bottom"/>
          </w:tcPr>
          <w:p>
            <w:pPr>
              <w:jc w:val="right"/>
              <w:ind w:right="153"/>
              <w:spacing w:after="0" w:line="114" w:lineRule="exact"/>
              <w:rPr>
                <w:sz w:val="20"/>
                <w:szCs w:val="20"/>
                <w:color w:val="auto"/>
              </w:rPr>
            </w:pPr>
            <w:r>
              <w:rPr>
                <w:rFonts w:ascii="Times New Roman" w:cs="Times New Roman" w:eastAsia="Times New Roman" w:hAnsi="Times New Roman"/>
                <w:sz w:val="13"/>
                <w:szCs w:val="13"/>
                <w:b w:val="1"/>
                <w:bCs w:val="1"/>
                <w:color w:val="auto"/>
              </w:rPr>
              <w:t>(B)</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3"/>
          </w:tcPr>
          <w:p>
            <w:pPr>
              <w:jc w:val="right"/>
              <w:ind w:right="140"/>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5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SCH</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Clover</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6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0" w:type="dxa"/>
            <w:vAlign w:val="bottom"/>
          </w:tcPr>
          <w:p>
            <w:pPr>
              <w:spacing w:after="0"/>
              <w:rPr>
                <w:sz w:val="1"/>
                <w:szCs w:val="1"/>
                <w:color w:val="auto"/>
              </w:rPr>
            </w:pPr>
          </w:p>
        </w:tc>
      </w:tr>
      <w:tr>
        <w:trPr>
          <w:trHeight w:val="192"/>
        </w:trPr>
        <w:tc>
          <w:tcPr>
            <w:tcW w:w="536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Unpaid claims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93,615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93,615</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(8,307)</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(6h)</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15,307</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(1,808)</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(6e)</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(6b)</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notes and securities payable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20,198</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Reinsurance premium payable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149,557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(12,264)</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139,101</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13,152</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Notes and securities payable, net of discounts and deferred issuance costs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96,114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343,454</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(6g)</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35,339</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(404,229)</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(6h)</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(51,086)</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(6h)</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payable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49,402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(49,402)</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(6j)</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7,294</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28,980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(28,980)</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(6d)</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366,605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(202,507)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447,747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(447,747)</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(6i)</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53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Social Capital Hedosophia Class A ordinary shares subject to possible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5"/>
              </w:rPr>
              <w:t>792,901</w:t>
            </w: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(792,901)</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(6l)</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SCH preferred shares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SCH Class A ordinary shares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SCH Class B ordinary shares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(6k)</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Clover Common stock, $0.0001 par value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(6h)</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(6i)</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(6m)</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(6n)</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Clover Health Common shares, $0.0001 par value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(6k)</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(6l)</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(6m)</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(6c)</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408,949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412,532</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(6h)</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1,983,205</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447,740</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(6i)</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49,402</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(6j)</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(6,459)</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(6e)</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792,644</w:t>
            </w:r>
          </w:p>
        </w:tc>
        <w:tc>
          <w:tcPr>
            <w:tcW w:w="13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(6l)</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(26,168)</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(6b)</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5360" w:type="dxa"/>
            <w:vAlign w:val="bottom"/>
          </w:tcPr>
          <w:p>
            <w:pPr>
              <w:spacing w:after="0"/>
              <w:rPr>
                <w:sz w:val="24"/>
                <w:szCs w:val="24"/>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3"/>
                <w:szCs w:val="13"/>
                <w:color w:val="auto"/>
              </w:rPr>
            </w:pPr>
          </w:p>
        </w:tc>
        <w:tc>
          <w:tcPr>
            <w:tcW w:w="284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0" w:type="dxa"/>
            <w:vAlign w:val="bottom"/>
          </w:tcPr>
          <w:p>
            <w:pPr>
              <w:spacing w:after="0"/>
              <w:rPr>
                <w:sz w:val="1"/>
                <w:szCs w:val="1"/>
                <w:color w:val="auto"/>
              </w:rPr>
            </w:pPr>
          </w:p>
        </w:tc>
      </w:tr>
      <w:tr>
        <w:trPr>
          <w:trHeight w:val="170"/>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into Cash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6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600"/>
              <w:spacing w:after="0" w:line="114" w:lineRule="exact"/>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218"/>
              <w:spacing w:after="0" w:line="114" w:lineRule="exact"/>
              <w:rPr>
                <w:sz w:val="20"/>
                <w:szCs w:val="20"/>
                <w:color w:val="auto"/>
              </w:rPr>
            </w:pPr>
            <w:r>
              <w:rPr>
                <w:rFonts w:ascii="Times New Roman" w:cs="Times New Roman" w:eastAsia="Times New Roman" w:hAnsi="Times New Roman"/>
                <w:sz w:val="13"/>
                <w:szCs w:val="13"/>
                <w:b w:val="1"/>
                <w:bCs w:val="1"/>
                <w:color w:val="auto"/>
              </w:rPr>
              <w:t>(B)</w:t>
            </w: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right"/>
              <w:ind w:right="260"/>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56"/>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SCH</w:t>
            </w:r>
          </w:p>
        </w:tc>
        <w:tc>
          <w:tcPr>
            <w:tcW w:w="1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Clover</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05"/>
        </w:trPr>
        <w:tc>
          <w:tcPr>
            <w:tcW w:w="6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(3,047)</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ind w:right="94"/>
              <w:spacing w:after="0" w:line="205" w:lineRule="exact"/>
              <w:rPr>
                <w:sz w:val="20"/>
                <w:szCs w:val="20"/>
                <w:color w:val="auto"/>
              </w:rPr>
            </w:pPr>
            <w:r>
              <w:rPr>
                <w:rFonts w:ascii="Times New Roman" w:cs="Times New Roman" w:eastAsia="Times New Roman" w:hAnsi="Times New Roman"/>
                <w:sz w:val="18"/>
                <w:szCs w:val="18"/>
                <w:color w:val="auto"/>
              </w:rPr>
              <w:t>(6m)</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399,996</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(499,749)</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(901,634)</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2,231</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(1,194,002)</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(343,454)</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51,086</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3,034</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2"/>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(488,014)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1,276,924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793,910</w:t>
            </w:r>
          </w:p>
        </w:tc>
        <w:tc>
          <w:tcPr>
            <w:tcW w:w="0" w:type="dxa"/>
            <w:vAlign w:val="bottom"/>
          </w:tcPr>
          <w:p>
            <w:pPr>
              <w:spacing w:after="0"/>
              <w:rPr>
                <w:sz w:val="1"/>
                <w:szCs w:val="1"/>
                <w:color w:val="auto"/>
              </w:rPr>
            </w:pPr>
          </w:p>
        </w:tc>
      </w:tr>
      <w:tr>
        <w:trPr>
          <w:trHeight w:val="200"/>
        </w:trPr>
        <w:tc>
          <w:tcPr>
            <w:tcW w:w="6180" w:type="dxa"/>
            <w:vAlign w:val="bottom"/>
          </w:tcPr>
          <w:p>
            <w:pPr>
              <w:ind w:left="720"/>
              <w:spacing w:after="0" w:line="200" w:lineRule="exact"/>
              <w:rPr>
                <w:sz w:val="20"/>
                <w:szCs w:val="20"/>
                <w:color w:val="auto"/>
              </w:rPr>
            </w:pPr>
            <w:r>
              <w:rPr>
                <w:rFonts w:ascii="Times New Roman" w:cs="Times New Roman" w:eastAsia="Times New Roman" w:hAnsi="Times New Roman"/>
                <w:sz w:val="18"/>
                <w:szCs w:val="18"/>
                <w:color w:val="auto"/>
              </w:rPr>
              <w:t>Total liabilities, redeemable common stock and stockholders’ equity</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828,689</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326,338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(166,231)</w:t>
            </w:r>
          </w:p>
        </w:tc>
        <w:tc>
          <w:tcPr>
            <w:tcW w:w="7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988,796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450"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 into Cash</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9"/>
                <w:szCs w:val="9"/>
                <w:color w:val="auto"/>
              </w:rPr>
            </w:pPr>
          </w:p>
        </w:tc>
        <w:tc>
          <w:tcPr>
            <w:tcW w:w="1280" w:type="dxa"/>
            <w:vAlign w:val="bottom"/>
            <w:gridSpan w:val="2"/>
            <w:vMerge w:val="restart"/>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9"/>
                <w:szCs w:val="9"/>
                <w:color w:val="auto"/>
              </w:rPr>
            </w:pP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14"/>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SCH</w:t>
            </w:r>
          </w:p>
        </w:tc>
        <w:tc>
          <w:tcPr>
            <w:tcW w:w="100" w:type="dxa"/>
            <w:vAlign w:val="bottom"/>
          </w:tcPr>
          <w:p>
            <w:pPr>
              <w:spacing w:after="0"/>
              <w:rPr>
                <w:sz w:val="14"/>
                <w:szCs w:val="14"/>
                <w:color w:val="auto"/>
              </w:rPr>
            </w:pPr>
          </w:p>
        </w:tc>
        <w:tc>
          <w:tcPr>
            <w:tcW w:w="1280" w:type="dxa"/>
            <w:vAlign w:val="bottom"/>
            <w:gridSpan w:val="2"/>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Clover</w:t>
            </w: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0" w:type="dxa"/>
            <w:vAlign w:val="bottom"/>
          </w:tcPr>
          <w:p>
            <w:pPr>
              <w:spacing w:after="0"/>
              <w:rPr>
                <w:sz w:val="1"/>
                <w:szCs w:val="1"/>
                <w:color w:val="auto"/>
              </w:rPr>
            </w:pPr>
          </w:p>
        </w:tc>
      </w:tr>
      <w:tr>
        <w:trPr>
          <w:trHeight w:val="192"/>
        </w:trPr>
        <w:tc>
          <w:tcPr>
            <w:tcW w:w="514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 earned,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501,100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501,100</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18"/>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506,655</w:t>
            </w:r>
          </w:p>
        </w:tc>
        <w:tc>
          <w:tcPr>
            <w:tcW w:w="0" w:type="dxa"/>
            <w:vAlign w:val="bottom"/>
          </w:tcPr>
          <w:p>
            <w:pPr>
              <w:spacing w:after="0"/>
              <w:rPr>
                <w:sz w:val="1"/>
                <w:szCs w:val="1"/>
                <w:color w:val="auto"/>
              </w:rPr>
            </w:pPr>
          </w:p>
        </w:tc>
      </w:tr>
      <w:tr>
        <w:trPr>
          <w:trHeight w:val="31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410,540</w:t>
            </w:r>
          </w:p>
        </w:tc>
        <w:tc>
          <w:tcPr>
            <w:tcW w:w="0" w:type="dxa"/>
            <w:vAlign w:val="bottom"/>
          </w:tcPr>
          <w:p>
            <w:pPr>
              <w:spacing w:after="0"/>
              <w:rPr>
                <w:sz w:val="1"/>
                <w:szCs w:val="1"/>
                <w:color w:val="auto"/>
              </w:rPr>
            </w:pPr>
          </w:p>
        </w:tc>
      </w:tr>
      <w:tr>
        <w:trPr>
          <w:trHeight w:val="212"/>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423"/>
              <w:spacing w:after="0"/>
              <w:rPr>
                <w:sz w:val="20"/>
                <w:szCs w:val="20"/>
                <w:color w:val="auto"/>
              </w:rPr>
            </w:pPr>
            <w:r>
              <w:rPr>
                <w:rFonts w:ascii="Times New Roman" w:cs="Times New Roman" w:eastAsia="Times New Roman" w:hAnsi="Times New Roman"/>
                <w:sz w:val="18"/>
                <w:szCs w:val="18"/>
                <w:color w:val="auto"/>
              </w:rPr>
              <w:t>57,339</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57,339</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rPr>
              <w:t>79,798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79,798</w:t>
            </w:r>
          </w:p>
        </w:tc>
        <w:tc>
          <w:tcPr>
            <w:tcW w:w="0" w:type="dxa"/>
            <w:vAlign w:val="bottom"/>
          </w:tcPr>
          <w:p>
            <w:pPr>
              <w:spacing w:after="0"/>
              <w:rPr>
                <w:sz w:val="1"/>
                <w:szCs w:val="1"/>
                <w:color w:val="auto"/>
              </w:rPr>
            </w:pPr>
          </w:p>
        </w:tc>
      </w:tr>
      <w:tr>
        <w:trPr>
          <w:trHeight w:val="212"/>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 expense (benefit)</w:t>
            </w: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363"/>
              <w:spacing w:after="0"/>
              <w:rPr>
                <w:sz w:val="20"/>
                <w:szCs w:val="20"/>
                <w:color w:val="auto"/>
              </w:rPr>
            </w:pPr>
            <w:r>
              <w:rPr>
                <w:rFonts w:ascii="Times New Roman" w:cs="Times New Roman" w:eastAsia="Times New Roman" w:hAnsi="Times New Roman"/>
                <w:sz w:val="18"/>
                <w:szCs w:val="18"/>
                <w:color w:val="auto"/>
              </w:rPr>
              <w:t>(16,357)</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(16,357)</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2"/>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gridSpan w:val="2"/>
          </w:tcPr>
          <w:p>
            <w:pPr>
              <w:jc w:val="right"/>
              <w:ind w:right="457"/>
              <w:spacing w:after="0"/>
              <w:rPr>
                <w:sz w:val="20"/>
                <w:szCs w:val="20"/>
                <w:color w:val="auto"/>
              </w:rPr>
            </w:pPr>
            <w:r>
              <w:rPr>
                <w:rFonts w:ascii="Times New Roman" w:cs="Times New Roman" w:eastAsia="Times New Roman" w:hAnsi="Times New Roman"/>
                <w:sz w:val="18"/>
                <w:szCs w:val="18"/>
                <w:color w:val="auto"/>
              </w:rPr>
              <w:t>(7a)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(2,231)</w:t>
            </w:r>
          </w:p>
        </w:tc>
        <w:tc>
          <w:tcPr>
            <w:tcW w:w="11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(7b)</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531,899</w:t>
            </w:r>
          </w:p>
        </w:tc>
        <w:tc>
          <w:tcPr>
            <w:tcW w:w="0" w:type="dxa"/>
            <w:vAlign w:val="bottom"/>
          </w:tcPr>
          <w:p>
            <w:pPr>
              <w:spacing w:after="0"/>
              <w:rPr>
                <w:sz w:val="1"/>
                <w:szCs w:val="1"/>
                <w:color w:val="auto"/>
              </w:rPr>
            </w:pP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(25,078)</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423"/>
              <w:spacing w:after="0"/>
              <w:rPr>
                <w:sz w:val="20"/>
                <w:szCs w:val="20"/>
                <w:color w:val="auto"/>
              </w:rPr>
            </w:pPr>
            <w:r>
              <w:rPr>
                <w:rFonts w:ascii="Times New Roman" w:cs="Times New Roman" w:eastAsia="Times New Roman" w:hAnsi="Times New Roman"/>
                <w:sz w:val="18"/>
                <w:szCs w:val="18"/>
                <w:color w:val="auto"/>
              </w:rPr>
              <w:t>31,903</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(31,903)</w:t>
            </w:r>
          </w:p>
        </w:tc>
        <w:tc>
          <w:tcPr>
            <w:tcW w:w="1140" w:type="dxa"/>
            <w:vAlign w:val="bottom"/>
            <w:gridSpan w:val="2"/>
          </w:tcPr>
          <w:p>
            <w:pPr>
              <w:jc w:val="right"/>
              <w:ind w:right="457"/>
              <w:spacing w:after="0"/>
              <w:rPr>
                <w:sz w:val="20"/>
                <w:szCs w:val="20"/>
                <w:color w:val="auto"/>
              </w:rPr>
            </w:pPr>
            <w:r>
              <w:rPr>
                <w:rFonts w:ascii="Times New Roman" w:cs="Times New Roman" w:eastAsia="Times New Roman" w:hAnsi="Times New Roman"/>
                <w:sz w:val="18"/>
                <w:szCs w:val="18"/>
                <w:color w:val="auto"/>
              </w:rPr>
              <w:t>(7d)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rPr>
              <w:t>25,560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(22,019)</w:t>
            </w:r>
          </w:p>
        </w:tc>
        <w:tc>
          <w:tcPr>
            <w:tcW w:w="11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(7e)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12"/>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423"/>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(14,861)</w:t>
            </w:r>
          </w:p>
        </w:tc>
        <w:tc>
          <w:tcPr>
            <w:tcW w:w="1140" w:type="dxa"/>
            <w:vAlign w:val="bottom"/>
            <w:gridSpan w:val="2"/>
          </w:tcPr>
          <w:p>
            <w:pPr>
              <w:jc w:val="right"/>
              <w:ind w:right="457"/>
              <w:spacing w:after="0"/>
              <w:rPr>
                <w:sz w:val="20"/>
                <w:szCs w:val="20"/>
                <w:color w:val="auto"/>
              </w:rPr>
            </w:pPr>
            <w:r>
              <w:rPr>
                <w:rFonts w:ascii="Times New Roman" w:cs="Times New Roman" w:eastAsia="Times New Roman" w:hAnsi="Times New Roman"/>
                <w:sz w:val="18"/>
                <w:szCs w:val="18"/>
                <w:color w:val="auto"/>
              </w:rPr>
              <w:t>(7e)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derivative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3"/>
              <w:spacing w:after="0"/>
              <w:rPr>
                <w:sz w:val="20"/>
                <w:szCs w:val="20"/>
                <w:color w:val="auto"/>
              </w:rPr>
            </w:pPr>
            <w:r>
              <w:rPr>
                <w:rFonts w:ascii="Times New Roman" w:cs="Times New Roman" w:eastAsia="Times New Roman" w:hAnsi="Times New Roman"/>
                <w:sz w:val="18"/>
                <w:szCs w:val="18"/>
                <w:color w:val="auto"/>
              </w:rPr>
              <w:t>(87,475)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87,475</w:t>
            </w:r>
          </w:p>
        </w:tc>
        <w:tc>
          <w:tcPr>
            <w:tcW w:w="11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(7f)</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280" w:type="dxa"/>
            <w:vAlign w:val="bottom"/>
            <w:gridSpan w:val="2"/>
          </w:tcPr>
          <w:p>
            <w:pPr>
              <w:jc w:val="right"/>
              <w:ind w:right="50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tcPr>
          <w:p>
            <w:pPr>
              <w:jc w:val="right"/>
              <w:ind w:right="457"/>
              <w:spacing w:after="0"/>
              <w:rPr>
                <w:sz w:val="20"/>
                <w:szCs w:val="20"/>
                <w:color w:val="auto"/>
              </w:rPr>
            </w:pPr>
            <w:r>
              <w:rPr>
                <w:rFonts w:ascii="Times New Roman" w:cs="Times New Roman" w:eastAsia="Times New Roman" w:hAnsi="Times New Roman"/>
                <w:sz w:val="18"/>
                <w:szCs w:val="18"/>
                <w:color w:val="auto"/>
              </w:rPr>
              <w:t>(7c)</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3"/>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18,789</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Less: income (loss) attributable to ordinary shares subject 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1140" w:type="dxa"/>
            <w:vAlign w:val="bottom"/>
            <w:gridSpan w:val="2"/>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(7g)</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50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420"/>
              <w:spacing w:after="0" w:line="204"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63"/>
              <w:spacing w:after="0" w:line="204"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line="204"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6"/>
              </w:rPr>
              <w:t>20,157,288</w:t>
            </w:r>
          </w:p>
        </w:tc>
        <w:tc>
          <w:tcPr>
            <w:tcW w:w="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42,849,576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4" w:lineRule="exact"/>
              <w:rPr>
                <w:sz w:val="20"/>
                <w:szCs w:val="20"/>
                <w:color w:val="auto"/>
              </w:rPr>
            </w:pPr>
            <w:r>
              <w:rPr>
                <w:rFonts w:ascii="Times New Roman" w:cs="Times New Roman" w:eastAsia="Times New Roman" w:hAnsi="Times New Roman"/>
                <w:sz w:val="18"/>
                <w:szCs w:val="18"/>
                <w:color w:val="auto"/>
                <w:w w:val="95"/>
              </w:rPr>
              <w:t>384,283,521</w:t>
            </w:r>
          </w:p>
        </w:tc>
        <w:tc>
          <w:tcPr>
            <w:tcW w:w="1040" w:type="dxa"/>
            <w:vAlign w:val="bottom"/>
          </w:tcPr>
          <w:p>
            <w:pPr>
              <w:jc w:val="right"/>
              <w:ind w:right="353"/>
              <w:spacing w:after="0" w:line="204" w:lineRule="exact"/>
              <w:rPr>
                <w:sz w:val="20"/>
                <w:szCs w:val="20"/>
                <w:color w:val="auto"/>
              </w:rPr>
            </w:pPr>
            <w:r>
              <w:rPr>
                <w:rFonts w:ascii="Times New Roman" w:cs="Times New Roman" w:eastAsia="Times New Roman" w:hAnsi="Times New Roman"/>
                <w:sz w:val="18"/>
                <w:szCs w:val="18"/>
                <w:color w:val="auto"/>
              </w:rPr>
              <w:t>(7h)</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5"/>
              </w:rPr>
              <w:t>404,440,809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50"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gridSpan w:val="4"/>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Redemptions into Cash</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(C)</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9"/>
                <w:szCs w:val="9"/>
                <w:color w:val="auto"/>
              </w:rPr>
            </w:pPr>
          </w:p>
        </w:tc>
        <w:tc>
          <w:tcPr>
            <w:tcW w:w="11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right="14"/>
              <w:spacing w:after="0" w:line="11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70"/>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SCH</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Clover</w:t>
            </w: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0" w:type="dxa"/>
            <w:vAlign w:val="bottom"/>
          </w:tcPr>
          <w:p>
            <w:pPr>
              <w:spacing w:after="0"/>
              <w:rPr>
                <w:sz w:val="1"/>
                <w:szCs w:val="1"/>
                <w:color w:val="auto"/>
              </w:rPr>
            </w:pPr>
          </w:p>
        </w:tc>
      </w:tr>
      <w:tr>
        <w:trPr>
          <w:trHeight w:val="192"/>
        </w:trPr>
        <w:tc>
          <w:tcPr>
            <w:tcW w:w="536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 earned, net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456,926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456,926</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462,266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462,266</w:t>
            </w:r>
          </w:p>
        </w:tc>
        <w:tc>
          <w:tcPr>
            <w:tcW w:w="0" w:type="dxa"/>
            <w:vAlign w:val="bottom"/>
          </w:tcPr>
          <w:p>
            <w:pPr>
              <w:spacing w:after="0"/>
              <w:rPr>
                <w:sz w:val="1"/>
                <w:szCs w:val="1"/>
                <w:color w:val="auto"/>
              </w:rPr>
            </w:pPr>
          </w:p>
        </w:tc>
      </w:tr>
      <w:tr>
        <w:trPr>
          <w:trHeight w:val="21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450,645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450,645</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91,626</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91,626</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94,757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94,757</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 expense (benefit)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7,523</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4"/>
        </w:trPr>
        <w:tc>
          <w:tcPr>
            <w:tcW w:w="5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645,465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(183,199)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(183,217)</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Other expense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(2,909)</w:t>
            </w:r>
          </w:p>
        </w:tc>
        <w:tc>
          <w:tcPr>
            <w:tcW w:w="1020" w:type="dxa"/>
            <w:vAlign w:val="bottom"/>
            <w:gridSpan w:val="2"/>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(7d)</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23,155</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(16,690)</w:t>
            </w:r>
          </w:p>
        </w:tc>
        <w:tc>
          <w:tcPr>
            <w:tcW w:w="1020" w:type="dxa"/>
            <w:vAlign w:val="bottom"/>
            <w:gridSpan w:val="2"/>
          </w:tcPr>
          <w:p>
            <w:pPr>
              <w:jc w:val="right"/>
              <w:ind w:right="377"/>
              <w:spacing w:after="0"/>
              <w:rPr>
                <w:sz w:val="20"/>
                <w:szCs w:val="20"/>
                <w:color w:val="auto"/>
              </w:rPr>
            </w:pPr>
            <w:r>
              <w:rPr>
                <w:rFonts w:ascii="Times New Roman" w:cs="Times New Roman" w:eastAsia="Times New Roman" w:hAnsi="Times New Roman"/>
                <w:sz w:val="18"/>
                <w:szCs w:val="18"/>
                <w:color w:val="auto"/>
              </w:rPr>
              <w:t>(7e)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6,465</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(15,512)</w:t>
            </w:r>
          </w:p>
        </w:tc>
        <w:tc>
          <w:tcPr>
            <w:tcW w:w="1020" w:type="dxa"/>
            <w:vAlign w:val="bottom"/>
            <w:gridSpan w:val="2"/>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(7e)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2"/>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derivative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138,561</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(138,561)</w:t>
            </w:r>
          </w:p>
        </w:tc>
        <w:tc>
          <w:tcPr>
            <w:tcW w:w="1020" w:type="dxa"/>
            <w:vAlign w:val="bottom"/>
            <w:gridSpan w:val="2"/>
          </w:tcPr>
          <w:p>
            <w:pPr>
              <w:jc w:val="right"/>
              <w:ind w:right="377"/>
              <w:spacing w:after="0"/>
              <w:rPr>
                <w:sz w:val="20"/>
                <w:szCs w:val="20"/>
                <w:color w:val="auto"/>
              </w:rPr>
            </w:pPr>
            <w:r>
              <w:rPr>
                <w:rFonts w:ascii="Times New Roman" w:cs="Times New Roman" w:eastAsia="Times New Roman" w:hAnsi="Times New Roman"/>
                <w:sz w:val="18"/>
                <w:szCs w:val="18"/>
                <w:color w:val="auto"/>
              </w:rPr>
              <w:t>(7f)</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180,538</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(173,672)</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(363,737)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173,672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(190,083)</w:t>
            </w: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income (loss) attributable to ordinary shares subject to conversion</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(363,737)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(190,083)</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7"/>
              </w:rPr>
              <w:t>(17,631</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(8.56)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6"/>
              <w:spacing w:after="0" w:line="204"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4" w:lineRule="exact"/>
              <w:rPr>
                <w:sz w:val="20"/>
                <w:szCs w:val="20"/>
                <w:color w:val="auto"/>
              </w:rPr>
            </w:pPr>
            <w:r>
              <w:rPr>
                <w:rFonts w:ascii="Times New Roman" w:cs="Times New Roman" w:eastAsia="Times New Roman" w:hAnsi="Times New Roman"/>
                <w:sz w:val="18"/>
                <w:szCs w:val="18"/>
                <w:color w:val="auto"/>
                <w:w w:val="96"/>
              </w:rPr>
              <w:t>42,469,175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4" w:lineRule="exact"/>
              <w:rPr>
                <w:sz w:val="20"/>
                <w:szCs w:val="20"/>
                <w:color w:val="auto"/>
              </w:rPr>
            </w:pPr>
            <w:r>
              <w:rPr>
                <w:rFonts w:ascii="Times New Roman" w:cs="Times New Roman" w:eastAsia="Times New Roman" w:hAnsi="Times New Roman"/>
                <w:sz w:val="18"/>
                <w:szCs w:val="18"/>
                <w:color w:val="auto"/>
                <w:w w:val="95"/>
              </w:rPr>
              <w:t>404,440,808</w:t>
            </w:r>
          </w:p>
        </w:tc>
        <w:tc>
          <w:tcPr>
            <w:tcW w:w="1020" w:type="dxa"/>
            <w:vAlign w:val="bottom"/>
            <w:gridSpan w:val="2"/>
            <w:shd w:val="clear" w:color="auto" w:fill="CCEEFF"/>
          </w:tcPr>
          <w:p>
            <w:pPr>
              <w:jc w:val="right"/>
              <w:ind w:right="377"/>
              <w:spacing w:after="0" w:line="204" w:lineRule="exact"/>
              <w:rPr>
                <w:sz w:val="20"/>
                <w:szCs w:val="20"/>
                <w:color w:val="auto"/>
              </w:rPr>
            </w:pPr>
            <w:r>
              <w:rPr>
                <w:rFonts w:ascii="Times New Roman" w:cs="Times New Roman" w:eastAsia="Times New Roman" w:hAnsi="Times New Roman"/>
                <w:sz w:val="18"/>
                <w:szCs w:val="18"/>
                <w:color w:val="auto"/>
              </w:rPr>
              <w:t>(7h)</w:t>
            </w:r>
          </w:p>
        </w:tc>
        <w:tc>
          <w:tcPr>
            <w:tcW w:w="980" w:type="dxa"/>
            <w:vAlign w:val="bottom"/>
            <w:gridSpan w:val="2"/>
            <w:shd w:val="clear" w:color="auto" w:fill="CCEEFF"/>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w w:val="95"/>
              </w:rPr>
              <w:t>404,440,809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450"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Merger</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5, 2020, SCH entered into the Merger Agreement with Merger Sub, and Clover. At closing and pursuant to the Merger Agreement</w:t>
      </w:r>
    </w:p>
    <w:p>
      <w:pPr>
        <w:spacing w:after="0" w:line="22" w:lineRule="exact"/>
        <w:rPr>
          <w:sz w:val="20"/>
          <w:szCs w:val="20"/>
          <w:color w:val="auto"/>
        </w:rPr>
      </w:pPr>
    </w:p>
    <w:p>
      <w:pPr>
        <w:jc w:val="both"/>
        <w:ind w:right="20" w:firstLine="6"/>
        <w:spacing w:after="0" w:line="246" w:lineRule="auto"/>
        <w:tabs>
          <w:tab w:leader="none" w:pos="2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Clover, with the Clover surviving the merger as a wholly owned subsidiary of SCH, (ii) Clover merged with and into SCH, with SCH surviving the merger and (iii) SCH changed its name to Clover Health Investments, Corp. At the effective time of the First Merger, Clover amended its governing documents to authorize the Clover Class Z Common Stock at par value $0.0001 per share, which was issued to the excluded holders in connection with the Pre-Closing Restructuring Plan (as defined below).</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Clover affected the below steps set forth in the Merger Agreement (referring as “Pre-Closing Restructuring Plan”):</w:t>
      </w:r>
    </w:p>
    <w:p>
      <w:pPr>
        <w:spacing w:after="0" w:line="124" w:lineRule="exact"/>
        <w:rPr>
          <w:sz w:val="20"/>
          <w:szCs w:val="20"/>
          <w:color w:val="auto"/>
        </w:rPr>
      </w:pPr>
    </w:p>
    <w:p>
      <w:pPr>
        <w:ind w:left="1000" w:right="380" w:hanging="439"/>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Clover preferred stock converted into 67,427,138 shares of Clover common stock. Clover existing common stock refers to the shares of common stock, par value $0.0001 per share, of Clover.</w:t>
      </w:r>
    </w:p>
    <w:p>
      <w:pPr>
        <w:spacing w:after="0" w:line="76" w:lineRule="exact"/>
        <w:rPr>
          <w:rFonts w:ascii="Times New Roman" w:cs="Times New Roman" w:eastAsia="Times New Roman" w:hAnsi="Times New Roman"/>
          <w:sz w:val="18"/>
          <w:szCs w:val="18"/>
          <w:color w:val="auto"/>
        </w:rPr>
      </w:pPr>
    </w:p>
    <w:p>
      <w:pPr>
        <w:ind w:left="1000" w:right="240" w:hanging="439"/>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Clover existing common stock held by NJ Healthcare Investments, LLC, Caesar Ventures, LLC and Titus Ventures, LLC were exchanged for 39,419,411 shares of Clover Class Z Common Stock (“Founder Share Exchange”).</w:t>
      </w:r>
    </w:p>
    <w:p>
      <w:pPr>
        <w:spacing w:after="0" w:line="76" w:lineRule="exact"/>
        <w:rPr>
          <w:rFonts w:ascii="Times New Roman" w:cs="Times New Roman" w:eastAsia="Times New Roman" w:hAnsi="Times New Roman"/>
          <w:sz w:val="18"/>
          <w:szCs w:val="18"/>
          <w:color w:val="auto"/>
        </w:rPr>
      </w:pPr>
    </w:p>
    <w:p>
      <w:pPr>
        <w:ind w:left="1000" w:right="320" w:hanging="439"/>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principal and accrued but unpaid interest due on the Clover’s convertible securities was converted into 36,117,708 shares of Clover Class Z Common Stock.</w:t>
      </w:r>
    </w:p>
    <w:p>
      <w:pPr>
        <w:spacing w:after="0" w:line="76" w:lineRule="exact"/>
        <w:rPr>
          <w:rFonts w:ascii="Times New Roman" w:cs="Times New Roman" w:eastAsia="Times New Roman" w:hAnsi="Times New Roman"/>
          <w:sz w:val="18"/>
          <w:szCs w:val="18"/>
          <w:color w:val="auto"/>
        </w:rPr>
      </w:pPr>
    </w:p>
    <w:p>
      <w:pPr>
        <w:ind w:left="1000" w:right="120" w:hanging="439"/>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Clover’s warrants were converted into 3,484,154 shares of Clover common stock of which 331,280 shares were exchanged for cash in accordance with the Cash Consideration (as defined below).</w:t>
      </w:r>
    </w:p>
    <w:p>
      <w:pPr>
        <w:spacing w:after="0" w:line="169" w:lineRule="exact"/>
        <w:rPr>
          <w:sz w:val="20"/>
          <w:szCs w:val="20"/>
          <w:color w:val="auto"/>
        </w:rPr>
      </w:pPr>
    </w:p>
    <w:p>
      <w:pPr>
        <w:ind w:firstLine="44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among other things, (i) all outstanding shares of Clover common stock (after giving effect to the Pre-Closing Restructuring) as of immediately prior to the effective time of the First Merger, were cancelled in exchange for the right to receive, or the reservation of, at the election of the holders thereof (except with respect to the shares held by entities affiliated with Vivek Garipalli and certain other holders who received only shares of Clover Health B common stock), an amount in cash, shares of Clover Health Class B common stock, or a combination thereof, as adjusted in accordance with the Merger Agreement, which in the aggregate will equal an amount in cash of up to $500.0 million (less any redemptions from SCH’s public shareholders) (the “Cash Consideration”) and a number of shares of Clover Health Class B common stock equal to (A) 350,000,000, minus (B) the aggregate amount of Clover Health Class B common stock paid in respect of the shares held by entities controlled by Vivek Garipalli and certain other holders, minus</w:t>
      </w:r>
    </w:p>
    <w:p>
      <w:pPr>
        <w:spacing w:after="0" w:line="4" w:lineRule="exact"/>
        <w:rPr>
          <w:sz w:val="20"/>
          <w:szCs w:val="20"/>
          <w:color w:val="auto"/>
        </w:rPr>
      </w:pPr>
    </w:p>
    <w:p>
      <w:pPr>
        <w:ind w:right="60" w:firstLine="6"/>
        <w:spacing w:after="0" w:line="261" w:lineRule="auto"/>
        <w:tabs>
          <w:tab w:leader="none" w:pos="27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amount of Clover Health Class B common stock that were issued upon the net exercise or conversion, as applicable, of the Clover Awards, minus (D) the quotient obtained by dividing (x) the Cash Consideration by (y) $10.00; (ii) shares of Clover held by entities controlled by Vivek Garipalli and certain other holders immediately prior to the effective time of the First Merger were cancelled in exchange for the right to receive shares of Clover Health Class B common stock based on the Exchange Ratio (as defined in the Merger Agreement); and (iii) all shares of Clover common stock reserved in respect of the Clover Awards outstanding as of immediately prior to the effective time of the First Merger, were converted, based on the Exchange Ratio, into awards based on shares of Class B common stock, which, in the case of all shares described in clauses (i), (ii) and (iii) hereof, in the aggregate equal an aggregate merger consideration of $3,500,000,000 (the “Aggregate Merger Consideration”). Each share of the Company Class Z Common Stock, in each case, that is issued and outstanding immediately prior to the First Effective Time was cancelled and converted into the right to an aggregate number of shares of Clover Health Class B Common Stock equal to the Exchange Ratio as defined below. An aggregate of $499.8 million of cash was paid to those of the Clover Stockholders who are eligible to make a cash election on a pro rata basis and $0.2 million of redemptions were elected by SCH’s public shareholders.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80"/>
          </w:cols>
          <w:pgMar w:left="320" w:top="450" w:right="3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280" w:firstLine="449"/>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SCH entered into Subscription Agreements with the PIPE Investors. At closing, the PIPE Investors have collectively subscribed for 40,000,000 shares of the SCH Class A Common Stock for an aggregate purchase price equal to $400.0 million, a portion of which was funded by affiliates of Sponsor Related PIPE Investors.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unaudited pro forma condensed combined financial information is prepared in accordance with Article 11 of SEC</w:t>
      </w:r>
    </w:p>
    <w:p>
      <w:pPr>
        <w:spacing w:after="0" w:line="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Regulation S-X. The unaudited pro forma condensed combined balance sheet as of September 30, 2020 is prepared using the historical unaudited condensed balance sheets of SCH and Clover as of September 30, 2020 and gives effect to the Business Combination and the PIPE Investment as if they occurred on September 30, 2020. The unaudited pro forma condensed combined statements of operations for the year ended December 31, 2019 and the nine months ended September 30, 2020 give effect to the Business Combination and the PIPE Investment as if they occurred on January 1, 2019 and were prepared using:</w:t>
      </w:r>
    </w:p>
    <w:p>
      <w:pPr>
        <w:spacing w:after="0" w:line="81" w:lineRule="exact"/>
        <w:rPr>
          <w:sz w:val="20"/>
          <w:szCs w:val="20"/>
          <w:color w:val="auto"/>
        </w:rPr>
      </w:pPr>
    </w:p>
    <w:p>
      <w:pPr>
        <w:ind w:left="1020" w:hanging="565"/>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SCH for the period from October 18, 2019 (inception) through December 31, 2019;</w:t>
      </w:r>
    </w:p>
    <w:p>
      <w:pPr>
        <w:spacing w:after="0" w:line="123" w:lineRule="exact"/>
        <w:rPr>
          <w:rFonts w:ascii="Times New Roman" w:cs="Times New Roman" w:eastAsia="Times New Roman" w:hAnsi="Times New Roman"/>
          <w:sz w:val="18"/>
          <w:szCs w:val="18"/>
          <w:color w:val="auto"/>
        </w:rPr>
      </w:pPr>
    </w:p>
    <w:p>
      <w:pPr>
        <w:ind w:left="1020" w:hanging="565"/>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Clover for the year ended December 31, 2019;</w:t>
      </w:r>
    </w:p>
    <w:p>
      <w:pPr>
        <w:spacing w:after="0" w:line="123" w:lineRule="exact"/>
        <w:rPr>
          <w:rFonts w:ascii="Times New Roman" w:cs="Times New Roman" w:eastAsia="Times New Roman" w:hAnsi="Times New Roman"/>
          <w:sz w:val="18"/>
          <w:szCs w:val="18"/>
          <w:color w:val="auto"/>
        </w:rPr>
      </w:pPr>
    </w:p>
    <w:p>
      <w:pPr>
        <w:ind w:left="1020" w:hanging="565"/>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SCH as of and for the nine months ended September 30, 2020; and</w:t>
      </w:r>
    </w:p>
    <w:p>
      <w:pPr>
        <w:spacing w:after="0" w:line="123" w:lineRule="exact"/>
        <w:rPr>
          <w:rFonts w:ascii="Times New Roman" w:cs="Times New Roman" w:eastAsia="Times New Roman" w:hAnsi="Times New Roman"/>
          <w:sz w:val="18"/>
          <w:szCs w:val="18"/>
          <w:color w:val="auto"/>
        </w:rPr>
      </w:pPr>
    </w:p>
    <w:p>
      <w:pPr>
        <w:ind w:left="1020" w:hanging="565"/>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Clover as of and for the nine months ended September 30, 2020; and</w:t>
      </w:r>
    </w:p>
    <w:p>
      <w:pPr>
        <w:spacing w:after="0" w:line="216"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SCH and Clover have not had any historical relationship prior to the Business Combination. Accordingly, no pro forma adjustments were required to eliminate activities between the companies.</w:t>
      </w:r>
    </w:p>
    <w:p>
      <w:pPr>
        <w:spacing w:after="0" w:line="186"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actual redemptions of 24,892 SCH outstanding ordinary shares for an aggregate redemption payment of $0.2 million out of the trust account on the closing date of the Business Combination. No other SCH ordinary shares are subject to redemption.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Items Not Included in the Unaudited Pro Forma Condensed Combined Financial Statements</w:t>
      </w:r>
    </w:p>
    <w:p>
      <w:pPr>
        <w:spacing w:after="0" w:line="112" w:lineRule="exact"/>
        <w:rPr>
          <w:sz w:val="20"/>
          <w:szCs w:val="20"/>
          <w:color w:val="auto"/>
        </w:rPr>
      </w:pPr>
    </w:p>
    <w:p>
      <w:pPr>
        <w:ind w:right="340" w:firstLine="449"/>
        <w:spacing w:after="0" w:line="270"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do not include the impacts of any cost or other operating synergies that may result from the Business Combination or any related restructuring costs that may be contemplated.</w:t>
      </w:r>
    </w:p>
    <w:p>
      <w:pPr>
        <w:spacing w:after="0" w:line="169" w:lineRule="exact"/>
        <w:rPr>
          <w:sz w:val="20"/>
          <w:szCs w:val="20"/>
          <w:color w:val="auto"/>
        </w:rPr>
      </w:pPr>
    </w:p>
    <w:p>
      <w:pPr>
        <w:jc w:val="both"/>
        <w:ind w:right="260" w:firstLine="449"/>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do not include adjustments of $343.5 million of accretion of the unamortized discount and $51.1 million of elimination of the derivative liability associated with the conversion of Clover’s convertible securities, and $2.9 million to be paid to Connaught (UK) Limited as compensation for financial advisory services as these transactions are not expected to have a continuing impact on the operations of the combined companies.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450" w:right="3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Accounting for the Merger</w:t>
      </w:r>
    </w:p>
    <w:p>
      <w:pPr>
        <w:spacing w:after="0" w:line="112" w:lineRule="exact"/>
        <w:rPr>
          <w:sz w:val="20"/>
          <w:szCs w:val="20"/>
          <w:color w:val="auto"/>
        </w:rPr>
      </w:pPr>
    </w:p>
    <w:p>
      <w:pPr>
        <w:jc w:val="both"/>
        <w:ind w:right="80" w:firstLine="449"/>
        <w:spacing w:after="0" w:line="273" w:lineRule="auto"/>
        <w:rPr>
          <w:sz w:val="20"/>
          <w:szCs w:val="20"/>
          <w:color w:val="auto"/>
        </w:rPr>
      </w:pPr>
      <w:r>
        <w:rPr>
          <w:rFonts w:ascii="Times New Roman" w:cs="Times New Roman" w:eastAsia="Times New Roman" w:hAnsi="Times New Roman"/>
          <w:sz w:val="17"/>
          <w:szCs w:val="17"/>
          <w:color w:val="auto"/>
        </w:rPr>
        <w:t>The Business Combination will be accounted for as a reverse recapitalization in accordance with GAAP. Under this method of accounting, SCH will be treated as the “acquired” company for financial reporting purposes. Accordingly, the Business Combination will be treated as the equivalent of Clover issuing stock for the net assets of SCH, accompanied by a recapitalization. The net assets of SCH will be stated at historical cost, with no goodwill or other intangible assets recorded. Operations prior to the Business Combination will be those of Clover. See the accounting treatment discussed elsewhere in this prospectus.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Shares of Clover Common Stock</w:t>
      </w:r>
    </w:p>
    <w:p>
      <w:pPr>
        <w:spacing w:after="0" w:line="11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Clover Health issued approximately 260,965,701 shares of Clover Health Class B Common Stock in the Business Combination and paid an aggregate of $499.8 million of cash (equivalent to 49,975,104 shares after applying the exchange ratio) to those of the Clover Stockholders eligible to make a cash election on a pro rata basis, based on the exchange ratio of 2.0681 as follows:</w:t>
      </w:r>
    </w:p>
    <w:p>
      <w:pPr>
        <w:spacing w:after="0" w:line="223" w:lineRule="exact"/>
        <w:rPr>
          <w:sz w:val="20"/>
          <w:szCs w:val="20"/>
          <w:color w:val="auto"/>
        </w:rPr>
      </w:pPr>
    </w:p>
    <w:tbl>
      <w:tblPr>
        <w:tblLayout w:type="fixed"/>
        <w:tblInd w:w="1360" w:type="dxa"/>
        <w:tblCellMar>
          <w:top w:w="0" w:type="dxa"/>
          <w:left w:w="0" w:type="dxa"/>
          <w:bottom w:w="0" w:type="dxa"/>
          <w:right w:w="0" w:type="dxa"/>
        </w:tblCellMar>
      </w:tblP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Common Stock assumed outstanding</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to the closing of the Business Combination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10,747,570</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2.0681</w:t>
            </w:r>
          </w:p>
        </w:tc>
      </w:tr>
      <w:tr>
        <w:trPr>
          <w:trHeight w:val="222"/>
        </w:trPr>
        <w:tc>
          <w:tcPr>
            <w:tcW w:w="7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22,226,751</w:t>
            </w:r>
          </w:p>
        </w:tc>
        <w:tc>
          <w:tcPr>
            <w:tcW w:w="160" w:type="dxa"/>
            <w:vAlign w:val="bottom"/>
          </w:tcPr>
          <w:p>
            <w:pPr>
              <w:spacing w:after="0"/>
              <w:rPr>
                <w:sz w:val="19"/>
                <w:szCs w:val="19"/>
                <w:color w:val="auto"/>
              </w:rPr>
            </w:pPr>
          </w:p>
        </w:tc>
      </w:tr>
      <w:tr>
        <w:trPr>
          <w:trHeight w:val="101"/>
        </w:trPr>
        <w:tc>
          <w:tcPr>
            <w:tcW w:w="7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Class Z Common Stock assumed outstanding</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to the closing of the Business Combination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75,537,119</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2.0681</w:t>
            </w:r>
          </w:p>
        </w:tc>
      </w:tr>
      <w:tr>
        <w:trPr>
          <w:trHeight w:val="222"/>
        </w:trPr>
        <w:tc>
          <w:tcPr>
            <w:tcW w:w="7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156,216,390</w:t>
            </w:r>
          </w:p>
        </w:tc>
        <w:tc>
          <w:tcPr>
            <w:tcW w:w="160" w:type="dxa"/>
            <w:vAlign w:val="bottom"/>
          </w:tcPr>
          <w:p>
            <w:pPr>
              <w:spacing w:after="0"/>
              <w:rPr>
                <w:sz w:val="19"/>
                <w:szCs w:val="19"/>
                <w:color w:val="auto"/>
              </w:rPr>
            </w:pPr>
          </w:p>
        </w:tc>
      </w:tr>
      <w:tr>
        <w:trPr>
          <w:trHeight w:val="101"/>
        </w:trPr>
        <w:tc>
          <w:tcPr>
            <w:tcW w:w="7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convertible preferred stock assumed outstanding</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to the closing of the Business Combination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60,584,000</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2.0681</w:t>
            </w:r>
          </w:p>
        </w:tc>
      </w:tr>
      <w:tr>
        <w:trPr>
          <w:trHeight w:val="222"/>
        </w:trPr>
        <w:tc>
          <w:tcPr>
            <w:tcW w:w="7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125,292,174</w:t>
            </w:r>
          </w:p>
        </w:tc>
        <w:tc>
          <w:tcPr>
            <w:tcW w:w="160" w:type="dxa"/>
            <w:vAlign w:val="bottom"/>
          </w:tcPr>
          <w:p>
            <w:pPr>
              <w:spacing w:after="0"/>
              <w:rPr>
                <w:sz w:val="19"/>
                <w:szCs w:val="19"/>
                <w:color w:val="auto"/>
              </w:rPr>
            </w:pPr>
          </w:p>
        </w:tc>
      </w:tr>
      <w:tr>
        <w:trPr>
          <w:trHeight w:val="101"/>
        </w:trPr>
        <w:tc>
          <w:tcPr>
            <w:tcW w:w="7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warrant assumed outstanding prior to</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closing of the Business Combination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3,484,154</w:t>
            </w:r>
          </w:p>
        </w:tc>
        <w:tc>
          <w:tcPr>
            <w:tcW w:w="160" w:type="dxa"/>
            <w:vAlign w:val="bottom"/>
          </w:tcPr>
          <w:p>
            <w:pPr>
              <w:spacing w:after="0"/>
              <w:rPr>
                <w:sz w:val="18"/>
                <w:szCs w:val="18"/>
                <w:color w:val="auto"/>
              </w:rPr>
            </w:pP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2.0681</w:t>
            </w:r>
          </w:p>
        </w:tc>
      </w:tr>
      <w:tr>
        <w:trPr>
          <w:trHeight w:val="222"/>
        </w:trPr>
        <w:tc>
          <w:tcPr>
            <w:tcW w:w="7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7,205,490</w:t>
            </w:r>
          </w:p>
        </w:tc>
        <w:tc>
          <w:tcPr>
            <w:tcW w:w="160" w:type="dxa"/>
            <w:vAlign w:val="bottom"/>
          </w:tcPr>
          <w:p>
            <w:pPr>
              <w:spacing w:after="0"/>
              <w:rPr>
                <w:sz w:val="19"/>
                <w:szCs w:val="19"/>
                <w:color w:val="auto"/>
              </w:rPr>
            </w:pPr>
          </w:p>
        </w:tc>
      </w:tr>
      <w:tr>
        <w:trPr>
          <w:trHeight w:val="101"/>
        </w:trPr>
        <w:tc>
          <w:tcPr>
            <w:tcW w:w="7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cash consideration shares payment prior to</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closing of the Business Combination</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(24,165,040)</w:t>
            </w: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2.0681</w:t>
            </w:r>
          </w:p>
        </w:tc>
      </w:tr>
      <w:tr>
        <w:trPr>
          <w:trHeight w:val="218"/>
        </w:trPr>
        <w:tc>
          <w:tcPr>
            <w:tcW w:w="7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(49,975,104)</w:t>
            </w:r>
          </w:p>
        </w:tc>
        <w:tc>
          <w:tcPr>
            <w:tcW w:w="160" w:type="dxa"/>
            <w:vAlign w:val="bottom"/>
          </w:tcPr>
          <w:p>
            <w:pPr>
              <w:spacing w:after="0"/>
              <w:rPr>
                <w:sz w:val="18"/>
                <w:szCs w:val="18"/>
                <w:color w:val="auto"/>
              </w:rPr>
            </w:pPr>
          </w:p>
        </w:tc>
      </w:tr>
      <w:tr>
        <w:trPr>
          <w:trHeight w:val="21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Clover Health Class B Common Stock</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to Clover Stockholders upon closing of the Business Combination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260,965,701</w:t>
            </w:r>
          </w:p>
        </w:tc>
        <w:tc>
          <w:tcPr>
            <w:tcW w:w="16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Adjustments to Unaudited Pro Forma Condensed Combined Balance Sheet as of September 30, 2020</w:t>
      </w:r>
    </w:p>
    <w:p>
      <w:pPr>
        <w:spacing w:after="0" w:line="112" w:lineRule="exact"/>
        <w:rPr>
          <w:sz w:val="20"/>
          <w:szCs w:val="20"/>
          <w:color w:val="auto"/>
        </w:rPr>
      </w:pPr>
    </w:p>
    <w:p>
      <w:pPr>
        <w:ind w:right="680" w:firstLine="449"/>
        <w:spacing w:after="0" w:line="270"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2020 has been prepared to illustrate the effect of the Business Combination and has been prepared for informational purposes only.</w:t>
      </w:r>
    </w:p>
    <w:p>
      <w:pPr>
        <w:spacing w:after="0" w:line="16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2020 includes pro forma adjustments that are: (i) directly attributable to the Business Combination and the PIPE Investment, and (ii) factually supportable. SCH and Clover did not have any historical relationship prior to the Business Combination. Accordingly, no pro forma adjustments were required to eliminate activities between the companies.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450" w:right="3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pro forma notes and adjustments, included in the unaudited pro forma condensed combined balance sheet as of September 30, 2020, are as follows: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notes</w:t>
      </w:r>
    </w:p>
    <w:p>
      <w:pPr>
        <w:spacing w:after="0" w:line="126" w:lineRule="exact"/>
        <w:rPr>
          <w:sz w:val="20"/>
          <w:szCs w:val="20"/>
          <w:color w:val="auto"/>
        </w:rPr>
      </w:pPr>
    </w:p>
    <w:p>
      <w:pPr>
        <w:ind w:left="1020" w:hanging="565"/>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balance sheet of SCH as of September 30, 2020.</w:t>
      </w:r>
    </w:p>
    <w:p>
      <w:pPr>
        <w:spacing w:after="0" w:line="123" w:lineRule="exact"/>
        <w:rPr>
          <w:rFonts w:ascii="Times New Roman" w:cs="Times New Roman" w:eastAsia="Times New Roman" w:hAnsi="Times New Roman"/>
          <w:sz w:val="18"/>
          <w:szCs w:val="18"/>
          <w:color w:val="auto"/>
        </w:rPr>
      </w:pPr>
    </w:p>
    <w:p>
      <w:pPr>
        <w:ind w:left="1020" w:hanging="565"/>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balance sheet of Clover as of September 30, 2020.</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adjustments</w:t>
      </w:r>
    </w:p>
    <w:p>
      <w:pPr>
        <w:spacing w:after="0" w:line="126" w:lineRule="exact"/>
        <w:rPr>
          <w:sz w:val="20"/>
          <w:szCs w:val="20"/>
          <w:color w:val="auto"/>
        </w:rPr>
      </w:pPr>
    </w:p>
    <w:p>
      <w:pPr>
        <w:ind w:left="1020" w:right="140" w:hanging="565"/>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$789.9 million of cash from the cash and cash equivalents held in the trust account after adjustment for the payment of transaction-related fees.</w:t>
      </w:r>
    </w:p>
    <w:p>
      <w:pPr>
        <w:spacing w:after="0" w:line="76" w:lineRule="exact"/>
        <w:rPr>
          <w:rFonts w:ascii="Times New Roman" w:cs="Times New Roman" w:eastAsia="Times New Roman" w:hAnsi="Times New Roman"/>
          <w:sz w:val="18"/>
          <w:szCs w:val="18"/>
          <w:color w:val="auto"/>
        </w:rPr>
      </w:pPr>
    </w:p>
    <w:p>
      <w:pPr>
        <w:ind w:left="1020" w:right="40" w:hanging="565"/>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Clover’s payment for $21.3 million of finance and advisory fees, $2.7 million of legal fees, and $2.2 million of accounting and auditing fees and other professional fees related to the Business Combination. All such fees have been recorded as an offset to additional paid-in capital. The classification of transaction costs as of September 30, 2020 is as follows:</w:t>
      </w:r>
    </w:p>
    <w:p>
      <w:pPr>
        <w:spacing w:after="0" w:line="199" w:lineRule="exact"/>
        <w:rPr>
          <w:sz w:val="20"/>
          <w:szCs w:val="20"/>
          <w:color w:val="auto"/>
        </w:rPr>
      </w:pPr>
    </w:p>
    <w:tbl>
      <w:tblPr>
        <w:tblLayout w:type="fixed"/>
        <w:tblInd w:w="1800" w:type="dxa"/>
        <w:tblCellMar>
          <w:top w:w="0" w:type="dxa"/>
          <w:left w:w="0" w:type="dxa"/>
          <w:bottom w:w="0" w:type="dxa"/>
          <w:right w:w="0" w:type="dxa"/>
        </w:tblCellMar>
      </w:tblPr>
      <w:tr>
        <w:trPr>
          <w:trHeight w:val="176"/>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Transaction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5"/>
        </w:trPr>
        <w:tc>
          <w:tcPr>
            <w:tcW w:w="10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40" w:type="dxa"/>
            <w:vAlign w:val="bottom"/>
            <w:gridSpan w:val="2"/>
          </w:tcPr>
          <w:p>
            <w:pPr>
              <w:spacing w:after="0"/>
              <w:rPr>
                <w:sz w:val="12"/>
                <w:szCs w:val="12"/>
                <w:color w:val="auto"/>
              </w:rPr>
            </w:pPr>
          </w:p>
        </w:tc>
      </w:tr>
      <w:tr>
        <w:trPr>
          <w:trHeight w:val="212"/>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previously capitalized and paid</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1,073</w:t>
            </w:r>
          </w:p>
        </w:tc>
        <w:tc>
          <w:tcPr>
            <w:tcW w:w="20" w:type="dxa"/>
            <w:vAlign w:val="bottom"/>
            <w:shd w:val="clear" w:color="auto" w:fill="CCEEFF"/>
          </w:tcPr>
          <w:p>
            <w:pPr>
              <w:spacing w:after="0"/>
              <w:rPr>
                <w:sz w:val="18"/>
                <w:szCs w:val="18"/>
                <w:color w:val="auto"/>
              </w:rPr>
            </w:pPr>
          </w:p>
        </w:tc>
      </w:tr>
      <w:tr>
        <w:trPr>
          <w:trHeight w:val="212"/>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previously capitalized and not paid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Pr>
          <w:p>
            <w:pPr>
              <w:spacing w:after="0"/>
              <w:rPr>
                <w:sz w:val="18"/>
                <w:szCs w:val="18"/>
                <w:color w:val="auto"/>
              </w:rPr>
            </w:pPr>
          </w:p>
        </w:tc>
      </w:tr>
      <w:tr>
        <w:trPr>
          <w:trHeight w:val="212"/>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estimated and paid subsequently and as part of the Business Combination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22,946</w:t>
            </w:r>
          </w:p>
        </w:tc>
        <w:tc>
          <w:tcPr>
            <w:tcW w:w="20" w:type="dxa"/>
            <w:vAlign w:val="bottom"/>
            <w:shd w:val="clear" w:color="auto" w:fill="CCEEFF"/>
          </w:tcPr>
          <w:p>
            <w:pPr>
              <w:spacing w:after="0"/>
              <w:rPr>
                <w:sz w:val="18"/>
                <w:szCs w:val="18"/>
                <w:color w:val="auto"/>
              </w:rPr>
            </w:pPr>
          </w:p>
        </w:tc>
      </w:tr>
      <w:tr>
        <w:trPr>
          <w:trHeight w:val="21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4" w:lineRule="exact"/>
        <w:rPr>
          <w:sz w:val="20"/>
          <w:szCs w:val="20"/>
          <w:color w:val="auto"/>
        </w:rPr>
      </w:pPr>
    </w:p>
    <w:p>
      <w:pPr>
        <w:ind w:left="1020" w:right="280" w:hanging="565"/>
        <w:spacing w:after="0" w:line="300"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the issuance and sale of 40,000,000 shares of Clover Health Class A Common Stock to the PIPE investors pursuant to subscription agreements for an aggregate commitment amount of $400.0 million concurrent with the completion of the Business Combination.</w:t>
      </w:r>
    </w:p>
    <w:p>
      <w:pPr>
        <w:spacing w:after="0" w:line="53" w:lineRule="exact"/>
        <w:rPr>
          <w:rFonts w:ascii="Times New Roman" w:cs="Times New Roman" w:eastAsia="Times New Roman" w:hAnsi="Times New Roman"/>
          <w:sz w:val="17"/>
          <w:szCs w:val="17"/>
          <w:color w:val="auto"/>
        </w:rPr>
      </w:pPr>
    </w:p>
    <w:p>
      <w:pPr>
        <w:ind w:left="1020" w:hanging="565"/>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settlement of $29.0 million of deferred underwriters’ fees incurred during SCH’s IPO that are due upon completion of the Business Combination.</w:t>
      </w:r>
    </w:p>
    <w:p>
      <w:pPr>
        <w:spacing w:after="0" w:line="76" w:lineRule="exact"/>
        <w:rPr>
          <w:rFonts w:ascii="Times New Roman" w:cs="Times New Roman" w:eastAsia="Times New Roman" w:hAnsi="Times New Roman"/>
          <w:sz w:val="18"/>
          <w:szCs w:val="18"/>
          <w:color w:val="auto"/>
        </w:rPr>
      </w:pPr>
    </w:p>
    <w:p>
      <w:pPr>
        <w:ind w:left="1020" w:right="100" w:hanging="565"/>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SCH’s payment for $5.0 million of professional fees and $1.4 million of other transaction costs related to the Business Combination and the PIPE Investment. All such fees have been recorded as an offset to additional paid-in capital. The classification of transaction costs as of September 30, 2020 is as follows:</w:t>
      </w:r>
    </w:p>
    <w:p>
      <w:pPr>
        <w:sectPr>
          <w:pgSz w:w="11900" w:h="16838" w:orient="portrait"/>
          <w:cols w:equalWidth="0" w:num="1">
            <w:col w:w="11220"/>
          </w:cols>
          <w:pgMar w:left="320" w:top="450" w:right="359" w:bottom="1440" w:gutter="0" w:footer="0" w:header="0"/>
        </w:sectPr>
      </w:pPr>
    </w:p>
    <w:p>
      <w:pPr>
        <w:spacing w:after="0" w:line="19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u w:val="single" w:color="auto"/>
          <w:color w:val="auto"/>
        </w:rPr>
        <w:t>Transaction costs</w:t>
      </w:r>
    </w:p>
    <w:p>
      <w:pPr>
        <w:spacing w:after="0" w:line="16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Amounts previously capitalized and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-119380</wp:posOffset>
            </wp:positionV>
            <wp:extent cx="4852035" cy="134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52035" cy="134620"/>
                    </a:xfrm>
                    <a:prstGeom prst="rect">
                      <a:avLst/>
                    </a:prstGeom>
                    <a:noFill/>
                  </pic:spPr>
                </pic:pic>
              </a:graphicData>
            </a:graphic>
          </wp:anchor>
        </w:drawing>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Amounts previously capitalized and not paid</w:t>
      </w:r>
    </w:p>
    <w:p>
      <w:pPr>
        <w:spacing w:after="0" w:line="5" w:lineRule="exact"/>
        <w:rPr>
          <w:sz w:val="20"/>
          <w:szCs w:val="20"/>
          <w:color w:val="auto"/>
        </w:rPr>
      </w:pPr>
    </w:p>
    <w:p>
      <w:pPr>
        <w:ind w:left="1980" w:right="1112" w:hanging="175"/>
        <w:spacing w:after="0" w:line="250" w:lineRule="auto"/>
        <w:rPr>
          <w:sz w:val="20"/>
          <w:szCs w:val="20"/>
          <w:color w:val="auto"/>
        </w:rPr>
      </w:pPr>
      <w:r>
        <w:rPr>
          <w:rFonts w:ascii="Times New Roman" w:cs="Times New Roman" w:eastAsia="Times New Roman" w:hAnsi="Times New Roman"/>
          <w:sz w:val="18"/>
          <w:szCs w:val="18"/>
          <w:color w:val="auto"/>
        </w:rPr>
        <w:t>Amounts estimated and paid subsequently and as part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-272415</wp:posOffset>
            </wp:positionV>
            <wp:extent cx="4852035" cy="268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52035" cy="26860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812"/>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45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jc w:val="center"/>
        <w:ind w:right="1812"/>
        <w:spacing w:after="0"/>
        <w:rPr>
          <w:sz w:val="20"/>
          <w:szCs w:val="20"/>
          <w:color w:val="auto"/>
        </w:rPr>
      </w:pPr>
      <w:r>
        <w:rPr>
          <w:rFonts w:ascii="Times New Roman" w:cs="Times New Roman" w:eastAsia="Times New Roman" w:hAnsi="Times New Roman"/>
          <w:sz w:val="14"/>
          <w:szCs w:val="14"/>
          <w:b w:val="1"/>
          <w:bCs w:val="1"/>
          <w:color w:val="auto"/>
        </w:rPr>
        <w:t>(in thousands)</w:t>
      </w:r>
    </w:p>
    <w:p>
      <w:pPr>
        <w:ind w:left="588" w:hanging="588"/>
        <w:spacing w:after="0"/>
        <w:tabs>
          <w:tab w:leader="none" w:pos="5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 w:lineRule="exact"/>
        <w:rPr>
          <w:rFonts w:ascii="Times New Roman" w:cs="Times New Roman" w:eastAsia="Times New Roman" w:hAnsi="Times New Roman"/>
          <w:sz w:val="18"/>
          <w:szCs w:val="18"/>
          <w:color w:val="auto"/>
        </w:rPr>
      </w:pPr>
    </w:p>
    <w:p>
      <w:pPr>
        <w:ind w:left="4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1,807</w:t>
      </w:r>
    </w:p>
    <w:p>
      <w:pPr>
        <w:spacing w:after="0" w:line="210"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4,229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454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11" w:lineRule="exact"/>
        <w:rPr>
          <w:sz w:val="20"/>
          <w:szCs w:val="20"/>
          <w:color w:val="auto"/>
        </w:rPr>
      </w:pPr>
    </w:p>
    <w:p>
      <w:pPr>
        <w:ind w:left="468" w:hanging="468"/>
        <w:spacing w:after="0"/>
        <w:tabs>
          <w:tab w:leader="none" w:pos="46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5454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54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5454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7812" w:space="720"/>
            <w:col w:w="2688"/>
          </w:cols>
          <w:pgMar w:left="320" w:top="450" w:right="359" w:bottom="1440" w:gutter="0" w:footer="0" w:header="0"/>
          <w:type w:val="continuous"/>
        </w:sectPr>
      </w:pPr>
    </w:p>
    <w:p>
      <w:pPr>
        <w:ind w:left="1020" w:hanging="565"/>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SCH’s payment for financial advisory fees of $2.9 million, which will be paid upon the closing of the Business Combination.</w:t>
      </w:r>
    </w:p>
    <w:p>
      <w:pPr>
        <w:spacing w:after="0" w:line="123" w:lineRule="exact"/>
        <w:rPr>
          <w:rFonts w:ascii="Times New Roman" w:cs="Times New Roman" w:eastAsia="Times New Roman" w:hAnsi="Times New Roman"/>
          <w:sz w:val="18"/>
          <w:szCs w:val="18"/>
          <w:color w:val="auto"/>
        </w:rPr>
      </w:pPr>
    </w:p>
    <w:p>
      <w:pPr>
        <w:ind w:left="1020" w:right="300" w:hanging="565"/>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accretion of the unamortized discount related to the Clover’s convertible securities of $343.5 million prior to the conversion of such convertible securities upon consummation of the Business Combination.</w:t>
      </w:r>
    </w:p>
    <w:p>
      <w:pPr>
        <w:spacing w:after="0" w:line="76" w:lineRule="exact"/>
        <w:rPr>
          <w:rFonts w:ascii="Times New Roman" w:cs="Times New Roman" w:eastAsia="Times New Roman" w:hAnsi="Times New Roman"/>
          <w:sz w:val="18"/>
          <w:szCs w:val="18"/>
          <w:color w:val="auto"/>
        </w:rPr>
      </w:pPr>
    </w:p>
    <w:p>
      <w:pPr>
        <w:ind w:left="1020" w:hanging="565"/>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conversion of $404.2 million of the outstanding principal and $8.3 million of accrued interest under Clover’s convertible securities into 36,117,708 shares of Clover common stock upon</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450" w:right="35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right="340"/>
        <w:spacing w:after="0" w:line="273" w:lineRule="auto"/>
        <w:rPr>
          <w:sz w:val="20"/>
          <w:szCs w:val="20"/>
          <w:color w:val="auto"/>
        </w:rPr>
      </w:pPr>
      <w:r>
        <w:rPr>
          <w:rFonts w:ascii="Times New Roman" w:cs="Times New Roman" w:eastAsia="Times New Roman" w:hAnsi="Times New Roman"/>
          <w:sz w:val="17"/>
          <w:szCs w:val="17"/>
          <w:color w:val="auto"/>
        </w:rPr>
        <w:t>consummation of the Business Combination. The $51.1 million of derivative liability associated with Clover’s convertible securities was eliminated in connection with the conversion of Clover’s convertible securities. The elimination of the derivative liability is reflected in accumulated retained earnings (deficit) and not shown in the unaudited pro forma condensed combined statements of operations for the nine months ended September 30, 2020 and for the year ended December 31, 2019 as the transaction is not expected to have a recurring impact.</w:t>
      </w:r>
    </w:p>
    <w:p>
      <w:pPr>
        <w:spacing w:after="0" w:line="76" w:lineRule="exact"/>
        <w:rPr>
          <w:sz w:val="20"/>
          <w:szCs w:val="20"/>
          <w:color w:val="auto"/>
        </w:rPr>
      </w:pPr>
    </w:p>
    <w:p>
      <w:pPr>
        <w:ind w:left="1020" w:right="500" w:hanging="565"/>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automatic conversion, on a one to one basis, of all outstanding shares of Clover’s preferred stock, with a carrying amount of $447.7 million, into 60,584,000 shares of Clover common stock and 6,843,138 shares of Clover Class Z Common Stock as a part of the Pre-Closing Restructuring Plan. The Clover’s preferred stock outstanding shares are comprised of the following:</w:t>
      </w:r>
    </w:p>
    <w:p>
      <w:pPr>
        <w:spacing w:after="0" w:line="199" w:lineRule="exact"/>
        <w:rPr>
          <w:sz w:val="20"/>
          <w:szCs w:val="20"/>
          <w:color w:val="auto"/>
        </w:rPr>
      </w:pPr>
    </w:p>
    <w:tbl>
      <w:tblPr>
        <w:tblLayout w:type="fixed"/>
        <w:tblInd w:w="1800" w:type="dxa"/>
        <w:tblCellMar>
          <w:top w:w="0" w:type="dxa"/>
          <w:left w:w="0" w:type="dxa"/>
          <w:bottom w:w="0" w:type="dxa"/>
          <w:right w:w="0" w:type="dxa"/>
        </w:tblCellMar>
      </w:tblPr>
      <w:tr>
        <w:trPr>
          <w:trHeight w:val="190"/>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Preferred Stock classes</w:t>
            </w:r>
          </w:p>
        </w:tc>
        <w:tc>
          <w:tcPr>
            <w:tcW w:w="5100" w:type="dxa"/>
            <w:vAlign w:val="bottom"/>
          </w:tcPr>
          <w:p>
            <w:pPr>
              <w:spacing w:after="0"/>
              <w:rPr>
                <w:sz w:val="16"/>
                <w:szCs w:val="16"/>
                <w:color w:val="auto"/>
              </w:rPr>
            </w:pPr>
          </w:p>
        </w:tc>
        <w:tc>
          <w:tcPr>
            <w:tcW w:w="11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98"/>
        </w:trPr>
        <w:tc>
          <w:tcPr>
            <w:tcW w:w="650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A-1 Preferred Stock</w:t>
            </w:r>
            <w:r>
              <w:rPr>
                <w:rFonts w:ascii="Times New Roman" w:cs="Times New Roman" w:eastAsia="Times New Roman" w:hAnsi="Times New Roman"/>
                <w:sz w:val="14"/>
                <w:szCs w:val="14"/>
                <w:color w:val="auto"/>
              </w:rPr>
              <w:t>(1)</w:t>
            </w: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951,347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5,274,468</w:t>
            </w:r>
          </w:p>
        </w:tc>
        <w:tc>
          <w:tcPr>
            <w:tcW w:w="60" w:type="dxa"/>
            <w:vAlign w:val="bottom"/>
          </w:tcPr>
          <w:p>
            <w:pPr>
              <w:spacing w:after="0"/>
              <w:rPr>
                <w:sz w:val="18"/>
                <w:szCs w:val="18"/>
                <w:color w:val="auto"/>
              </w:rPr>
            </w:pPr>
          </w:p>
        </w:tc>
      </w:tr>
      <w:tr>
        <w:trPr>
          <w:trHeight w:val="212"/>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10,338,818</w:t>
            </w:r>
          </w:p>
        </w:tc>
        <w:tc>
          <w:tcPr>
            <w:tcW w:w="60" w:type="dxa"/>
            <w:vAlign w:val="bottom"/>
            <w:shd w:val="clear" w:color="auto" w:fill="CCEEFF"/>
          </w:tcPr>
          <w:p>
            <w:pPr>
              <w:spacing w:after="0"/>
              <w:rPr>
                <w:sz w:val="18"/>
                <w:szCs w:val="18"/>
                <w:color w:val="auto"/>
              </w:rPr>
            </w:pPr>
          </w:p>
        </w:tc>
      </w:t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Preferred Stock</w:t>
            </w:r>
            <w:r>
              <w:rPr>
                <w:rFonts w:ascii="Times New Roman" w:cs="Times New Roman" w:eastAsia="Times New Roman" w:hAnsi="Times New Roman"/>
                <w:sz w:val="14"/>
                <w:szCs w:val="14"/>
                <w:color w:val="auto"/>
              </w:rPr>
              <w:t>(1)</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18,471,585</w:t>
            </w:r>
          </w:p>
        </w:tc>
        <w:tc>
          <w:tcPr>
            <w:tcW w:w="60" w:type="dxa"/>
            <w:vAlign w:val="bottom"/>
          </w:tcPr>
          <w:p>
            <w:pPr>
              <w:spacing w:after="0"/>
              <w:rPr>
                <w:sz w:val="18"/>
                <w:szCs w:val="18"/>
                <w:color w:val="auto"/>
              </w:rPr>
            </w:pPr>
          </w:p>
        </w:tc>
      </w:tr>
      <w:tr>
        <w:trPr>
          <w:trHeight w:val="212"/>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25,547,782</w:t>
            </w:r>
          </w:p>
        </w:tc>
        <w:tc>
          <w:tcPr>
            <w:tcW w:w="60" w:type="dxa"/>
            <w:vAlign w:val="bottom"/>
            <w:shd w:val="clear" w:color="auto" w:fill="CCEEFF"/>
          </w:tcPr>
          <w:p>
            <w:pPr>
              <w:spacing w:after="0"/>
              <w:rPr>
                <w:sz w:val="18"/>
                <w:szCs w:val="18"/>
                <w:color w:val="auto"/>
              </w:rPr>
            </w:pPr>
          </w:p>
        </w:tc>
      </w:tr>
      <w:tr>
        <w:trPr>
          <w:trHeight w:val="218"/>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Preferred Stock issued and outstanding</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60,584,000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3" w:lineRule="exact"/>
        <w:rPr>
          <w:sz w:val="20"/>
          <w:szCs w:val="20"/>
          <w:color w:val="auto"/>
        </w:rPr>
      </w:pPr>
    </w:p>
    <w:p>
      <w:pPr>
        <w:ind w:left="1020" w:hanging="565"/>
        <w:spacing w:after="0" w:line="258" w:lineRule="auto"/>
        <w:tabs>
          <w:tab w:leader="none" w:pos="10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Excludes 6,247,914 Series A-1 Preferred Stock shares and 595,224 Series C Preferred Stock shares owned by founders prior to the conversion of the Founder Share Exchange. Per the Founder Share Exchange, these Series A-1 and Series C Preferred Stock shares are converted to Clover Class Z Common Stock.</w:t>
      </w:r>
    </w:p>
    <w:p>
      <w:pPr>
        <w:spacing w:after="0" w:line="86" w:lineRule="exact"/>
        <w:rPr>
          <w:sz w:val="20"/>
          <w:szCs w:val="20"/>
          <w:color w:val="auto"/>
        </w:rPr>
      </w:pPr>
    </w:p>
    <w:p>
      <w:pPr>
        <w:ind w:left="1020" w:right="140" w:hanging="565"/>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$49.4 million of warrant payable associated with liability-classified warrants upon the exercise of all Clover’s outstanding preferred stock and common stock warrants into an aggregate of 3,484,145 shares of Clover common stock upon consummation of the Business Combination, of which shares 331,280 were subject to the Cash Consideration.</w:t>
      </w:r>
    </w:p>
    <w:p>
      <w:pPr>
        <w:spacing w:after="0" w:line="85" w:lineRule="exact"/>
        <w:rPr>
          <w:rFonts w:ascii="Times New Roman" w:cs="Times New Roman" w:eastAsia="Times New Roman" w:hAnsi="Times New Roman"/>
          <w:sz w:val="18"/>
          <w:szCs w:val="18"/>
          <w:color w:val="auto"/>
        </w:rPr>
      </w:pPr>
    </w:p>
    <w:p>
      <w:pPr>
        <w:ind w:left="1020" w:right="140" w:hanging="565"/>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automatic conversion of all issued and outstanding shares of SCH Class B ordinary shares into an aggregate of 20,700,000 shares of Clover Health Class A common stock upon consummation of the Business Combination.</w:t>
      </w:r>
    </w:p>
    <w:p>
      <w:pPr>
        <w:spacing w:after="0" w:line="76" w:lineRule="exact"/>
        <w:rPr>
          <w:rFonts w:ascii="Times New Roman" w:cs="Times New Roman" w:eastAsia="Times New Roman" w:hAnsi="Times New Roman"/>
          <w:sz w:val="18"/>
          <w:szCs w:val="18"/>
          <w:color w:val="auto"/>
        </w:rPr>
      </w:pPr>
    </w:p>
    <w:p>
      <w:pPr>
        <w:ind w:left="1020" w:right="840" w:hanging="565"/>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redemption of 24,892 SCH Class A ordinary shares in an aggregate redemption payment of $0.2 million and the transfer of $792.7 million of remaining SCH Class A ordinary shares to permanent equity.</w:t>
      </w:r>
    </w:p>
    <w:p>
      <w:pPr>
        <w:spacing w:after="0" w:line="76" w:lineRule="exact"/>
        <w:rPr>
          <w:rFonts w:ascii="Times New Roman" w:cs="Times New Roman" w:eastAsia="Times New Roman" w:hAnsi="Times New Roman"/>
          <w:sz w:val="18"/>
          <w:szCs w:val="18"/>
          <w:color w:val="auto"/>
        </w:rPr>
      </w:pPr>
    </w:p>
    <w:p>
      <w:pPr>
        <w:ind w:left="1020" w:right="680" w:hanging="565"/>
        <w:spacing w:after="0" w:line="280"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the recapitalization of Clover through the contribution of all the share capital of Clover to Clover Health and the issuance of 143,475,108 shares of Clover Health Class A Common Stock and 260,965,701 shares of Clover Health Class B Common Stock and the elimination of the accumulated deficit of SCH, the accounting acquiree. See footnote 7(g) for further detail of share information.</w:t>
      </w:r>
    </w:p>
    <w:p>
      <w:pPr>
        <w:spacing w:after="0" w:line="69" w:lineRule="exact"/>
        <w:rPr>
          <w:rFonts w:ascii="Times New Roman" w:cs="Times New Roman" w:eastAsia="Times New Roman" w:hAnsi="Times New Roman"/>
          <w:sz w:val="17"/>
          <w:szCs w:val="17"/>
          <w:color w:val="auto"/>
        </w:rPr>
      </w:pPr>
    </w:p>
    <w:p>
      <w:pPr>
        <w:ind w:left="1020" w:right="160" w:hanging="565"/>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aggregate of $499.8 million of cash consideration payment (equivalent to 49,975,104 shares after applying the exchange ratio), to those of the Clover Stockholders eligible to make a cash election on a pro rata basis.</w:t>
      </w:r>
    </w:p>
    <w:p>
      <w:pPr>
        <w:spacing w:after="0" w:line="273" w:lineRule="exact"/>
        <w:rPr>
          <w:sz w:val="20"/>
          <w:szCs w:val="20"/>
          <w:color w:val="auto"/>
        </w:rPr>
      </w:pPr>
    </w:p>
    <w:p>
      <w:pPr>
        <w:ind w:right="340" w:firstLine="6"/>
        <w:spacing w:after="0" w:line="273" w:lineRule="auto"/>
        <w:tabs>
          <w:tab w:leader="none" w:pos="16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Statements of Operations for the Nine Months Ended September 30, 2020 and the Year Ended December 31, 2019</w:t>
      </w:r>
    </w:p>
    <w:p>
      <w:pPr>
        <w:spacing w:after="0" w:line="60" w:lineRule="exact"/>
        <w:rPr>
          <w:sz w:val="20"/>
          <w:szCs w:val="20"/>
          <w:color w:val="auto"/>
        </w:rPr>
      </w:pPr>
    </w:p>
    <w:p>
      <w:pPr>
        <w:ind w:right="860" w:firstLine="449"/>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include pro forma adjustments that are: (i) directly attributable to the transactions described above, (ii) factually supportable, and (iii) expected to</w:t>
      </w:r>
    </w:p>
    <w:p>
      <w:pPr>
        <w:spacing w:after="0" w:line="1"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have a continuing impact on the results of the post-combination company. SCH and Clover did not have any historical relationship prior to the Business Combination. Accordingly, no pro forma adjustments were required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450"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eliminate activities between the companies. SCH recognized $2.2 million of transaction costs during the nine months ended September 30, 2020 and no transaction costs during the period from October 18, 2019 (inception) through December 31, 2019. No material transaction costs were recognized for Clover during the nine months ended September 30, 2020 and the year ended December 31, 2019.</w:t>
      </w:r>
    </w:p>
    <w:p>
      <w:pPr>
        <w:spacing w:after="0" w:line="179" w:lineRule="exact"/>
        <w:rPr>
          <w:sz w:val="20"/>
          <w:szCs w:val="20"/>
          <w:color w:val="auto"/>
        </w:rPr>
      </w:pPr>
    </w:p>
    <w:p>
      <w:pPr>
        <w:ind w:right="360" w:firstLine="449"/>
        <w:spacing w:after="0" w:line="253"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statements of operations are based upon the number of Clover Health’s Class A and Class B shares outstanding at the closing of the Business Combination, assuming the Business Combination occurred on January 1, 2019. As the unaudited pro forma condensed combined statements of operations are in a loss position, anti-dilutive instruments were not included in the calculation of diluted weighted average number of common shares outstanding.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pro forma notes and adjustments, based on preliminary estimates that could change materially as additional information is obtained, are as follows: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notes</w:t>
      </w:r>
    </w:p>
    <w:p>
      <w:pPr>
        <w:spacing w:after="0" w:line="126" w:lineRule="exact"/>
        <w:rPr>
          <w:sz w:val="20"/>
          <w:szCs w:val="20"/>
          <w:color w:val="auto"/>
        </w:rPr>
      </w:pPr>
    </w:p>
    <w:p>
      <w:pPr>
        <w:ind w:left="1020" w:hanging="565"/>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statement of operations of SCH for the nine months ended September 30, 2020.</w:t>
      </w:r>
    </w:p>
    <w:p>
      <w:pPr>
        <w:spacing w:after="0" w:line="123" w:lineRule="exact"/>
        <w:rPr>
          <w:rFonts w:ascii="Times New Roman" w:cs="Times New Roman" w:eastAsia="Times New Roman" w:hAnsi="Times New Roman"/>
          <w:sz w:val="18"/>
          <w:szCs w:val="18"/>
          <w:color w:val="auto"/>
        </w:rPr>
      </w:pPr>
    </w:p>
    <w:p>
      <w:pPr>
        <w:ind w:left="1020" w:right="520" w:hanging="565"/>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statement of operations and comprehensive loss of Clover for the nine months ended September 30, 2020.</w:t>
      </w:r>
    </w:p>
    <w:p>
      <w:pPr>
        <w:spacing w:after="0" w:line="76" w:lineRule="exact"/>
        <w:rPr>
          <w:rFonts w:ascii="Times New Roman" w:cs="Times New Roman" w:eastAsia="Times New Roman" w:hAnsi="Times New Roman"/>
          <w:sz w:val="18"/>
          <w:szCs w:val="18"/>
          <w:color w:val="auto"/>
        </w:rPr>
      </w:pPr>
    </w:p>
    <w:p>
      <w:pPr>
        <w:ind w:left="1020" w:hanging="565"/>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statement of operations of SCH for the period from October 18, 2019 (Inception) through December 31, 2019.</w:t>
      </w:r>
    </w:p>
    <w:p>
      <w:pPr>
        <w:spacing w:after="0" w:line="123" w:lineRule="exact"/>
        <w:rPr>
          <w:rFonts w:ascii="Times New Roman" w:cs="Times New Roman" w:eastAsia="Times New Roman" w:hAnsi="Times New Roman"/>
          <w:sz w:val="18"/>
          <w:szCs w:val="18"/>
          <w:color w:val="auto"/>
        </w:rPr>
      </w:pPr>
    </w:p>
    <w:p>
      <w:pPr>
        <w:ind w:left="1020" w:hanging="565"/>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and comprehensive loss of Clover for the year ended December 31, 2019.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adjustments</w:t>
      </w:r>
    </w:p>
    <w:p>
      <w:pPr>
        <w:spacing w:after="0" w:line="126" w:lineRule="exact"/>
        <w:rPr>
          <w:sz w:val="20"/>
          <w:szCs w:val="20"/>
          <w:color w:val="auto"/>
        </w:rPr>
      </w:pPr>
    </w:p>
    <w:p>
      <w:pPr>
        <w:jc w:val="both"/>
        <w:ind w:left="1020" w:right="120" w:hanging="565"/>
        <w:spacing w:after="0" w:line="258"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$50,000 for administrative and support services to the Sponsor that terminates upon the completion of the Business Combination. SCH entered into an agreement whereby, commencing on April 21, 2020, SCH paid an affiliate of the Sponsor $10,000 per month for office space, administrative and support services.</w:t>
      </w:r>
    </w:p>
    <w:p>
      <w:pPr>
        <w:spacing w:after="0" w:line="85" w:lineRule="exact"/>
        <w:rPr>
          <w:rFonts w:ascii="Times New Roman" w:cs="Times New Roman" w:eastAsia="Times New Roman" w:hAnsi="Times New Roman"/>
          <w:sz w:val="18"/>
          <w:szCs w:val="18"/>
          <w:color w:val="auto"/>
        </w:rPr>
      </w:pPr>
    </w:p>
    <w:p>
      <w:pPr>
        <w:ind w:left="1020" w:right="260" w:hanging="565"/>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direct transaction fees incurred as a result of the Business Combination as those fees are not expected to have a continuing impact on the operations of the combined organization.</w:t>
      </w:r>
    </w:p>
    <w:p>
      <w:pPr>
        <w:spacing w:after="0" w:line="76" w:lineRule="exact"/>
        <w:rPr>
          <w:rFonts w:ascii="Times New Roman" w:cs="Times New Roman" w:eastAsia="Times New Roman" w:hAnsi="Times New Roman"/>
          <w:sz w:val="18"/>
          <w:szCs w:val="18"/>
          <w:color w:val="auto"/>
        </w:rPr>
      </w:pPr>
    </w:p>
    <w:p>
      <w:pPr>
        <w:ind w:left="1020" w:right="520" w:hanging="565"/>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interest income on cash and marketable securities held in the trust account as of the beginning of the period.</w:t>
      </w:r>
    </w:p>
    <w:p>
      <w:pPr>
        <w:spacing w:after="0" w:line="76" w:lineRule="exact"/>
        <w:rPr>
          <w:rFonts w:ascii="Times New Roman" w:cs="Times New Roman" w:eastAsia="Times New Roman" w:hAnsi="Times New Roman"/>
          <w:sz w:val="18"/>
          <w:szCs w:val="18"/>
          <w:color w:val="auto"/>
        </w:rPr>
      </w:pPr>
    </w:p>
    <w:p>
      <w:pPr>
        <w:ind w:left="1020" w:right="60" w:hanging="565"/>
        <w:spacing w:after="0" w:line="280"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an adjustment to eliminate the impact of the change in the fair value of warrant payable for warrants issued by Clover as it is assumed that all warrants would have been exercised for Clover Common Stock pursuant to the Merger Agreement. As a result, such warrants would no longer be subject to fair value accounting following the assumed closing of the Business Combination on January 1, 2019.</w:t>
      </w:r>
    </w:p>
    <w:p>
      <w:pPr>
        <w:spacing w:after="0" w:line="69" w:lineRule="exact"/>
        <w:rPr>
          <w:rFonts w:ascii="Times New Roman" w:cs="Times New Roman" w:eastAsia="Times New Roman" w:hAnsi="Times New Roman"/>
          <w:sz w:val="17"/>
          <w:szCs w:val="17"/>
          <w:color w:val="auto"/>
        </w:rPr>
      </w:pPr>
    </w:p>
    <w:p>
      <w:pPr>
        <w:ind w:left="1020" w:hanging="565"/>
        <w:spacing w:after="0" w:line="253"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interest expense and amortization of discounts on Clover’s convertible securities that were converted to equity upon completion of the Business Combination. The adjustments were based on the total interest expense and amortization of discounts on Clover’s convertible securities recorded as of and for the nine months period ended September 30, 2020 and for the year ended December 31, 2019.</w:t>
      </w:r>
    </w:p>
    <w:p>
      <w:pPr>
        <w:spacing w:after="0" w:line="92" w:lineRule="exact"/>
        <w:rPr>
          <w:rFonts w:ascii="Times New Roman" w:cs="Times New Roman" w:eastAsia="Times New Roman" w:hAnsi="Times New Roman"/>
          <w:sz w:val="18"/>
          <w:szCs w:val="18"/>
          <w:color w:val="auto"/>
        </w:rPr>
      </w:pPr>
    </w:p>
    <w:p>
      <w:pPr>
        <w:ind w:left="1020" w:right="560" w:hanging="565"/>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the impact of the change in the fair value of derivative liability associated with Clover’s convertible securities as it is assumed that all convertible securities would</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450" w:right="3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spacing w:after="0" w:line="270" w:lineRule="auto"/>
        <w:rPr>
          <w:sz w:val="20"/>
          <w:szCs w:val="20"/>
          <w:color w:val="auto"/>
        </w:rPr>
      </w:pPr>
      <w:r>
        <w:rPr>
          <w:rFonts w:ascii="Times New Roman" w:cs="Times New Roman" w:eastAsia="Times New Roman" w:hAnsi="Times New Roman"/>
          <w:sz w:val="18"/>
          <w:szCs w:val="18"/>
          <w:color w:val="auto"/>
        </w:rPr>
        <w:t>have been converted to Clover’s common stock and then to Clover Health Class B Common Stock on January 1, 2019. As a result, the derivative liability would be extinguished following the assumed closing of the Business Combination on January 1, 2019.</w:t>
      </w:r>
    </w:p>
    <w:p>
      <w:pPr>
        <w:spacing w:after="0" w:line="76" w:lineRule="exact"/>
        <w:rPr>
          <w:sz w:val="20"/>
          <w:szCs w:val="20"/>
          <w:color w:val="auto"/>
        </w:rPr>
      </w:pPr>
    </w:p>
    <w:p>
      <w:pPr>
        <w:ind w:left="1020" w:hanging="565"/>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income attributable to ordinary shares subject to redemption as of the beginning of the period.</w:t>
      </w:r>
    </w:p>
    <w:p>
      <w:pPr>
        <w:spacing w:after="0" w:line="123" w:lineRule="exact"/>
        <w:rPr>
          <w:rFonts w:ascii="Times New Roman" w:cs="Times New Roman" w:eastAsia="Times New Roman" w:hAnsi="Times New Roman"/>
          <w:sz w:val="18"/>
          <w:szCs w:val="18"/>
          <w:color w:val="auto"/>
        </w:rPr>
      </w:pPr>
    </w:p>
    <w:p>
      <w:pPr>
        <w:ind w:left="1020" w:hanging="565"/>
        <w:spacing w:after="0" w:line="25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Business Combination and the PIPE Investment are being reflected as if they had occurred at the beginning of the earliest period presented, the calculation of weighted average shares outstanding for basic and diluted net loss per share assumes that the shares issuable relating to the Business Combination and the PIPE Investment have been outstanding for the entirety of the periods presented. The 24,892 shares redeemed by SCH’s public shareholders have been retroactively adjusted to eliminate such shares for the entire period. Weighted average common shares outstanding—basic and diluted for the nine months ended September 30, 2020 and year ended December 31, 2019 are calculated as follows:</w:t>
      </w:r>
    </w:p>
    <w:p>
      <w:pPr>
        <w:spacing w:after="0" w:line="192"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Combined (Actual</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Remptions into</w:t>
            </w:r>
          </w:p>
        </w:tc>
        <w:tc>
          <w:tcPr>
            <w:tcW w:w="0" w:type="dxa"/>
            <w:vAlign w:val="bottom"/>
          </w:tcPr>
          <w:p>
            <w:pPr>
              <w:spacing w:after="0"/>
              <w:rPr>
                <w:sz w:val="1"/>
                <w:szCs w:val="1"/>
                <w:color w:val="auto"/>
              </w:rPr>
            </w:pPr>
          </w:p>
        </w:tc>
      </w:tr>
      <w:tr>
        <w:trPr>
          <w:trHeight w:val="170"/>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Cash)</w:t>
            </w:r>
          </w:p>
        </w:tc>
        <w:tc>
          <w:tcPr>
            <w:tcW w:w="0" w:type="dxa"/>
            <w:vAlign w:val="bottom"/>
          </w:tcPr>
          <w:p>
            <w:pPr>
              <w:spacing w:after="0"/>
              <w:rPr>
                <w:sz w:val="1"/>
                <w:szCs w:val="1"/>
                <w:color w:val="auto"/>
              </w:rPr>
            </w:pPr>
          </w:p>
        </w:tc>
      </w:tr>
      <w:tr>
        <w:trPr>
          <w:trHeight w:val="192"/>
        </w:trPr>
        <w:tc>
          <w:tcPr>
            <w:tcW w:w="632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Weighted average shares calculation - basic and diluted</w:t>
            </w:r>
          </w:p>
        </w:tc>
        <w:tc>
          <w:tcPr>
            <w:tcW w:w="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SCH issuance of Class B ordinary shares</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20,700,000</w:t>
            </w:r>
          </w:p>
        </w:tc>
        <w:tc>
          <w:tcPr>
            <w:tcW w:w="0" w:type="dxa"/>
            <w:vAlign w:val="bottom"/>
          </w:tcPr>
          <w:p>
            <w:pPr>
              <w:spacing w:after="0"/>
              <w:rPr>
                <w:sz w:val="1"/>
                <w:szCs w:val="1"/>
                <w:color w:val="auto"/>
              </w:rPr>
            </w:pPr>
          </w:p>
        </w:tc>
      </w:tr>
      <w:tr>
        <w:trPr>
          <w:trHeight w:val="193"/>
        </w:trPr>
        <w:tc>
          <w:tcPr>
            <w:tcW w:w="63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Issuance of Clover Health of Class A Common Stock in connection with</w:t>
            </w: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 of the PIPE Investment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193"/>
        </w:trPr>
        <w:tc>
          <w:tcPr>
            <w:tcW w:w="63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Issuance of Clover Health Class B Common Stock to Clover shareholders in</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the Business Combination</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260,965,701</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Class A ordinary shares subject to redemption reclassified to equity</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82,775,108</w:t>
            </w:r>
          </w:p>
        </w:tc>
        <w:tc>
          <w:tcPr>
            <w:tcW w:w="0" w:type="dxa"/>
            <w:vAlign w:val="bottom"/>
          </w:tcPr>
          <w:p>
            <w:pPr>
              <w:spacing w:after="0"/>
              <w:rPr>
                <w:sz w:val="1"/>
                <w:szCs w:val="1"/>
                <w:color w:val="auto"/>
              </w:rPr>
            </w:pPr>
          </w:p>
        </w:tc>
      </w:tr>
      <w:tr>
        <w:trPr>
          <w:trHeight w:val="218"/>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404,440,809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0"/>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Combined (Actual</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Remptions into</w:t>
            </w:r>
          </w:p>
        </w:tc>
        <w:tc>
          <w:tcPr>
            <w:tcW w:w="0" w:type="dxa"/>
            <w:vAlign w:val="bottom"/>
          </w:tcPr>
          <w:p>
            <w:pPr>
              <w:spacing w:after="0"/>
              <w:rPr>
                <w:sz w:val="1"/>
                <w:szCs w:val="1"/>
                <w:color w:val="auto"/>
              </w:rPr>
            </w:pPr>
          </w:p>
        </w:tc>
      </w:tr>
      <w:tr>
        <w:trPr>
          <w:trHeight w:val="170"/>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92"/>
        </w:trPr>
        <w:tc>
          <w:tcPr>
            <w:tcW w:w="632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Weighted average shares calculation - basic and diluted</w:t>
            </w:r>
          </w:p>
        </w:tc>
        <w:tc>
          <w:tcPr>
            <w:tcW w:w="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SCH issuance of Class B ordinary shares</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20,700,000</w:t>
            </w:r>
          </w:p>
        </w:tc>
        <w:tc>
          <w:tcPr>
            <w:tcW w:w="0" w:type="dxa"/>
            <w:vAlign w:val="bottom"/>
          </w:tcPr>
          <w:p>
            <w:pPr>
              <w:spacing w:after="0"/>
              <w:rPr>
                <w:sz w:val="1"/>
                <w:szCs w:val="1"/>
                <w:color w:val="auto"/>
              </w:rPr>
            </w:pPr>
          </w:p>
        </w:tc>
      </w:tr>
      <w:tr>
        <w:trPr>
          <w:trHeight w:val="193"/>
        </w:trPr>
        <w:tc>
          <w:tcPr>
            <w:tcW w:w="63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Issuance of Clover Health of Class A Common Stock in connection with</w:t>
            </w: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 of the PIPE Investment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193"/>
        </w:trPr>
        <w:tc>
          <w:tcPr>
            <w:tcW w:w="63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Issuance of Clover Health Class B Common Stock to Clover shareholders in</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the Business Combination</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260,965,701</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Class A ordinary shares subject to redemption reclassified to equity</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82,775,108</w:t>
            </w:r>
          </w:p>
        </w:tc>
        <w:tc>
          <w:tcPr>
            <w:tcW w:w="0" w:type="dxa"/>
            <w:vAlign w:val="bottom"/>
          </w:tcPr>
          <w:p>
            <w:pPr>
              <w:spacing w:after="0"/>
              <w:rPr>
                <w:sz w:val="1"/>
                <w:szCs w:val="1"/>
                <w:color w:val="auto"/>
              </w:rPr>
            </w:pPr>
          </w:p>
        </w:tc>
      </w:tr>
      <w:tr>
        <w:trPr>
          <w:trHeight w:val="218"/>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404,440,809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449"/>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our operations should be read together with the “Selected Historical Financial Information of Clover” section of this prospectus and our consolidated financial statements, including the related notes thereto, included elsewhere in this prospectus. The discussion and analysis should also be read together with the unaudited pro forma condensed combined financial information, including the notes thereto, included in this prospectus under the section entitled “Unaudited Pro Forma Condensed Combined Financial Information.” The following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and “Cautionary Note Regarding Forward-Looking Statements” included elsewhere in this prospectus. Additionally, our historical results are not necessarily indicative of the results that may be expected for any period in the future.</w:t>
      </w:r>
    </w:p>
    <w:p>
      <w:pPr>
        <w:spacing w:after="0" w:line="186" w:lineRule="exact"/>
        <w:rPr>
          <w:sz w:val="20"/>
          <w:szCs w:val="20"/>
          <w:color w:val="auto"/>
        </w:rPr>
      </w:pPr>
    </w:p>
    <w:p>
      <w:pPr>
        <w:jc w:val="both"/>
        <w:ind w:right="100" w:firstLine="449"/>
        <w:spacing w:after="0" w:line="259"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“Management’s Discussion and Analysis of Financial Condition and Results of Operations” to “we”, “our”, “us”, the “Company” or “Clover Health” is intended to mean the business and operations of Clover and its consolidated subsidiaries prior to the Closing.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2"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insurer, we leverage our flagship software platform, the Clover Assistant, to provide America’s seniors with PPO and HMO plans that are the obvious choice for Medicare-eligible consumers. We call our plans “Obvious” because we believe they are highly affordable—offering most of our members the lowest average out-of-pocket costs for PCP co-pays, specialist co-pays, drug deductibles and drug costs in their markets—and provide peace of mind with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Today, we have the highest membership growth rate among Medicare Advantage plans in the United States with over 50,000 members, based on CMS enrollment data, and reach a broad array of consumers, including traditionally underserved populations. We believe our growth potential in existing and future markets is high. We were founded with the goal of using data and technology to improve and transform health care. We offer MA plans, which are provided as part of the U.S. federal Medicare program. Our current footprint spans seven states, and we are licensed as a risk-bearing entity in 45 states and the District of Columbia, and as a health maintenance organization in New Jersey and Texas.</w:t>
      </w:r>
    </w:p>
    <w:p>
      <w:pPr>
        <w:spacing w:after="0" w:line="19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7"/>
          <w:szCs w:val="17"/>
          <w:color w:val="auto"/>
        </w:rPr>
        <w:t>We initially launched our MA offering in 2013, scaling to our first nine MA markets, or counties, by 2016 with approximately 15,000 members, to 34 MA markets across seven states with 57,503 members as of September 30, 2020, representing 8% market share of the individual, non-SNP MA enrollees in these markets. These markets also represent 3.1 million available Medicare-eligible beneficiaries as of 2019. We are launching in 74 additional MA markets, expanding our footprint by an additional state, in 2021. Together with our current markets, these new markets represent 4.2 million available Medicare-eligible beneficiaries as of 2019. Our membership growth has largely been driven by our nation-leading established market take rate, which has averaged more than 50% over the past three years across a group of counties in New Jersey that grew from eight to 13 over the period. Established market take rate, which is derived from publicly available CMS data, represents the number of members gained by an insurer as a percentage of the total number of incremental MA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450"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members added to comparable plans in “established” markets, which we define as markets where an insurer has over 500 members as of the end of the prior year. Our take rate has allowed us to achieve a top three market position in all of our established markets according to CMS data. We plan to leverage our scalable business model to continue to enter into new markets nationally to serve a greater percentage of the over 60 million Medicare-eligible beneficiaries nationwide.</w:t>
      </w:r>
    </w:p>
    <w:p>
      <w:pPr>
        <w:spacing w:after="0" w:line="185" w:lineRule="exact"/>
        <w:rPr>
          <w:sz w:val="20"/>
          <w:szCs w:val="20"/>
          <w:color w:val="auto"/>
        </w:rPr>
      </w:pPr>
    </w:p>
    <w:p>
      <w:pPr>
        <w:ind w:right="100" w:firstLine="449"/>
        <w:spacing w:after="0" w:line="248" w:lineRule="auto"/>
        <w:rPr>
          <w:sz w:val="20"/>
          <w:szCs w:val="20"/>
          <w:color w:val="auto"/>
        </w:rPr>
      </w:pPr>
      <w:r>
        <w:rPr>
          <w:rFonts w:ascii="Times New Roman" w:cs="Times New Roman" w:eastAsia="Times New Roman" w:hAnsi="Times New Roman"/>
          <w:sz w:val="18"/>
          <w:szCs w:val="18"/>
          <w:color w:val="auto"/>
        </w:rPr>
        <w:t>Since our inception, we have invested our efforts and financial resources to introduce our MA plans, build our clinical care capabilities and develop the foundational elements of our technology and systems. This allowed us to invent the Clover Assistant while simultaneously building our organization and raising capital to support growth of our operations. In July 2018, we introduced the first version of the Clover Assistant with the goal of providing significant clinical value to physicians through surfacing important information specific to each patient at the point of care. The Clover Assistant platform synthesizes comprehensive, longitudinal sets of data directly available to us as a health plan, generates physician-focused machine learning, artificial intelligence, and rules-based insights, and drives action by surfacing the most relevant, personalized information to PCPs directly at the point of care. As of September 30, 2020, over 2,300 PCPs, who already treat our members and are responsible for caring for 65% of our total membership, had contracted to use the Clover Assistant to manage our members’ care. Additionally, onboarded physicians are highly engaged, using the Clover Assistant for 92% of their member visits in 2019.</w:t>
      </w:r>
    </w:p>
    <w:p>
      <w:pPr>
        <w:spacing w:after="0" w:line="190"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In addition to partnering with PCPs for care delivery, we also deploy the Clover Assistant in support of other clinical programs. The Clover Assistant not only drives better care, but also improves identification of, and engagement with, members to increase enrollment rates in these programs. For example, we have a small portion of our members who benefit from more intense, in-home primary care, in which Clover-employed PCPs and NPs either support and supplement our network PCPs or transition to become our members’ PCPs. To best serve this population, we launched and expanded our in-home complex care program to provide palliative and supportive care services for members with advanced illness or chronic conditions. Through our own clinical staff or vendors, we also conduct in-home programs targeting members who have been recently discharged from hospitals or who do not receive regular care from a PCP. Since the COVID-19 pandemic, these clinical programs are also carried out through telehealth visits.</w:t>
      </w:r>
    </w:p>
    <w:p>
      <w:pPr>
        <w:spacing w:after="0" w:line="189" w:lineRule="exact"/>
        <w:rPr>
          <w:sz w:val="20"/>
          <w:szCs w:val="20"/>
          <w:color w:val="auto"/>
        </w:rPr>
      </w:pPr>
    </w:p>
    <w:p>
      <w:pPr>
        <w:ind w:right="260" w:firstLine="449"/>
        <w:spacing w:after="0" w:line="250" w:lineRule="auto"/>
        <w:rPr>
          <w:sz w:val="20"/>
          <w:szCs w:val="20"/>
          <w:color w:val="auto"/>
        </w:rPr>
      </w:pPr>
      <w:r>
        <w:rPr>
          <w:rFonts w:ascii="Times New Roman" w:cs="Times New Roman" w:eastAsia="Times New Roman" w:hAnsi="Times New Roman"/>
          <w:sz w:val="18"/>
          <w:szCs w:val="18"/>
          <w:color w:val="auto"/>
        </w:rPr>
        <w:t>The combination of our Clover Assistant-empowered physicians and “Obvious” plan design creates a powerful network effect that has enabled us to achieve not only market-leading membership growth, as compared to other MA plans with over 50,000 members, but also attractive unit economics. In the markets we select, we rapidly deploy the Clover Assistant to physicians. The attractive physician-oriented attributes of the Clover Assistant drive increased adoption and engagement with the platform. Our unit economics have improved through the use of Clover Assistant, enabling us to offer “Obvious” plan designs, capture market share and collect even more clinical data that benefits our platform. This virtuous cycle also enables us to reinvest in our existing markets through improved plan designs and to expand into adjacent and new markets, all of which benefit the cycle.</w:t>
      </w:r>
    </w:p>
    <w:p>
      <w:pPr>
        <w:spacing w:after="0" w:line="187" w:lineRule="exact"/>
        <w:rPr>
          <w:sz w:val="20"/>
          <w:szCs w:val="20"/>
          <w:color w:val="auto"/>
        </w:rPr>
      </w:pPr>
    </w:p>
    <w:p>
      <w:pPr>
        <w:ind w:firstLine="449"/>
        <w:spacing w:after="0" w:line="264" w:lineRule="auto"/>
        <w:rPr>
          <w:sz w:val="20"/>
          <w:szCs w:val="20"/>
          <w:color w:val="auto"/>
        </w:rPr>
      </w:pPr>
      <w:r>
        <w:rPr>
          <w:rFonts w:ascii="Times New Roman" w:cs="Times New Roman" w:eastAsia="Times New Roman" w:hAnsi="Times New Roman"/>
          <w:sz w:val="17"/>
          <w:szCs w:val="17"/>
          <w:color w:val="auto"/>
        </w:rPr>
        <w:t>Through our “Obvious” plans, we have achieved significant organic membership growth. Our membership has expanded from 30,677 as of January 1, 2018, to 57,503 as of September 30, 2020, representing 25% share of the individual, non-SNP MA market in our established markets. This expansion has largely been driven by our nation-leading established-market take rate, which has averaged more than 50% over the past three years, across a group of counties in New Jersey that grew from eight to 13 over the period. This rapid growth generated a 59.1% increase in our total revenues from $290.6 million for the year ended December 31, 2018, to $462.3 million for the year ended December 31, 2019, and our gross premiums earned, before the impact of premiums ceded to third party reinsurers under reinsurance agreements, grew 29.4%, from $353.9 million to $457.8 million over the same period. For the nine months ended September 30, 2020, our total revenues were $506.7 million and gross premiums earned were $501.5 million as compared to $347.0 million in total revenues and $344.3 million in gross premiums earned for the nine months ended September 30, 2019, in each case, representing a 46% increase. During 2018 and 2019, we also built the infrastructure to deliver on a more efficient healthcare experience for our members, resulting in net losses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320" w:top="450" w:right="3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of $(201.9) million and $(363.7) million for the years ended December 31, 2018 and 2019. For the years ended December 31, 2018 and 2019, our adjusted EBITDA was $(177.1) million and $(175.5) million, respectively, and our Adjusted EBITDA Margin was (50.1)% and (38.3)%, respectively. For the nine months ended September 30, 2020, our net loss was $(10.0) million, our adjusted EBITDA was $(11.0) million and our Adjusted EBITDA Margin was (2.2)%. Our improved results in the current year were the result of operational execution as well as reduced utilization of healthcare services as a result of COVID-19. Adjusted EBITDA and Adjusted EBITDA Margin are financial measures not presented in accordance with GAAP. See the section entitled “Selected Historical Financial Information of Clover—Non-GAAP Financial Measures” for information regarding the limitations of using Adjusted EBITDA and Adjusted EBITDA Margin as financial measures and for a reconciliation of Adjusted EBITDA to net loss, the most directly comparable financial measure calculated in accordance with GAAP.</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Advantage Background</w:t>
      </w:r>
    </w:p>
    <w:p>
      <w:pPr>
        <w:spacing w:after="0" w:line="112"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Medicare is the U.S. federal health insurance program for Americans aged 65 or older and certain younger people with disabilities, providing hospital and medical insurance and prescription drug benefits to its participants. The Centers for Medicare &amp; Medicaid Services (“CMS”), an agency of the United States Department of Health and Human Services, administers the Medicare program. Throughout the United States, CMS operates “Original Medicare,” or traditional fee-for-service Medicare (“Medicare FFS”), under which individuals pay premiums to the government and out-of-pocket deductibles and coinsurance to providers. In many counties, there is an alternative to Original Medicare whereby private companies contract with CMS to provide coverage through MA plans. MA organizations provide benefits at least comparable to those offered under Medicare FFS, and may provide certain supplemental benefits, such as dental, vision and gym benefits. MA plans often provide reduced cost-sharing, care coordination, wellness and prevention programs and reduced or $0 monthly premiums. Most MA plans also offer prescription drug coverage as part of the basic plan, subject to cost-sharing and other limitations; these plans are referred to as Medicare Advantage Prescription Drug (“MAPD”) plans. Unlike Original Medicare, which does not cap out-of-pocket costs for enrolled beneficiaries, MA plans limit member-required payments through annual out-of-pocket maximums. When they first become eligible for Medicare and then during specific periods every following year, individuals may choose to enroll in Original Medicare, or if one is available in their county of residence, a Medicare Advantage plan instead. An annual election period runs from October 15 to December 7, and any changes become effective the following January 1. Between January 1 and March 31, all Medicare Advantage enrollees have another opportunity to make enrollment changes, which generally become effective the next month.</w:t>
      </w:r>
    </w:p>
    <w:p>
      <w:pPr>
        <w:spacing w:after="0" w:line="190"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The most common types of Medicare Advantage plans are: HMO plans, which generally restrict care options to a plan’s network of providers; PPO plans, which allow in- and out-of-network care, but usually require members to pay more for out-of-network providers; and special needs plans, which restrict enrollment to people who have specific diseases, live in institutional settings, or have dual Medicare/Medicaid status. While most such plans are individual, or non-group, plans, in which any individual who meets the eligibility criteria can enroll, there are also group Medicare Advantage plans, which are offered by companies, unions or government agencies to their employees or retirees.</w:t>
      </w:r>
    </w:p>
    <w:p>
      <w:pPr>
        <w:spacing w:after="0" w:line="187" w:lineRule="exact"/>
        <w:rPr>
          <w:sz w:val="20"/>
          <w:szCs w:val="20"/>
          <w:color w:val="auto"/>
        </w:rPr>
      </w:pPr>
    </w:p>
    <w:p>
      <w:pPr>
        <w:ind w:right="80" w:firstLine="449"/>
        <w:spacing w:after="0" w:line="265" w:lineRule="auto"/>
        <w:rPr>
          <w:sz w:val="20"/>
          <w:szCs w:val="20"/>
          <w:color w:val="auto"/>
        </w:rPr>
      </w:pPr>
      <w:r>
        <w:rPr>
          <w:rFonts w:ascii="Times New Roman" w:cs="Times New Roman" w:eastAsia="Times New Roman" w:hAnsi="Times New Roman"/>
          <w:sz w:val="17"/>
          <w:szCs w:val="17"/>
          <w:color w:val="auto"/>
        </w:rPr>
        <w:t>We contract with CMS to provide a comprehensive array of health insurance benefits for Medicare-eligible beneficiaries in individual PPO and, to a far lesser extent, HMO MAPD plans in exchange for contractual payments received from CMS. These contractual payments take the form of a fixed payment per member per month (“PMPM”). CMS payments, and any premium payments charged to members, are set prospectively. Each June, we submit to CMS plan-specific bids, which represent our projection of the expected cost of covering a standard benefit package for an average risk member for the next year. CMS compares the bid against county-level benchmark rates, based on Medicare FFS costs, in order to determine the plan-specific payment as well as any associated premiums, cost-sharing or additional coverage benefits. The payments made to plans, including for supplemental benefits, may be higher, depending on a plan’s score in the CMS Star Ratings Program, which measures plan performance on a variety of clinical and administrative measures. The plan payments are also adjusted based on member risk scores, which are meant to compensate plans that enroll beneficiaries with 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450"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higher than average health risk and to reduce payments for healthier beneficiaries who have a lower health risk. Risk scores are based on member diagnoses from the previous year and are periodically adjusted retroactively based on additional plan data collection.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Model</w:t>
      </w:r>
    </w:p>
    <w:p>
      <w:pPr>
        <w:spacing w:after="0" w:line="11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Our revenue model is based on the number of members enrolled in the plans we offer under contracts with CMS. We generate revenues primarily from premiums paid by CMS based on enrollment and to a much lesser extent, from direct payments by members. In advance of each plan year, we enter into contracts with CMS under which it pays us fixed monthly premiums per member based on our actuarial bid and the CMS risk-adjustment model. The CMS risk adjustment model assesses health conditions and other factors to determine a member’s risk score. It then uses these scores to compensate or reduce payments to plans whose members are higher or lower than average health risk, with such changes taking effect in the plan year following the assessment. One feature of the Clover Assistant is that it allows us to accurately capture member disease burden and submit that data to CMS on a timely basis to ensure appropriate revenues to cover the care of our members.</w:t>
      </w:r>
    </w:p>
    <w:p>
      <w:pPr>
        <w:spacing w:after="0" w:line="189"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Our membership acquisition is highly seasonal, with January being the highest enrollment month as a result of Medicare’s annual election period at the end of the year. Our members generally enroll for a full calendar year, creating a highly predictable revenue stream for that year and meaningful opportunities for us to re-enroll members for years to come. We offer affordable, wide network access plans in each of our markets, which gives members the freedom to choose any Medicare provider willing to see them. This approach helps us retain members and drives membership growth and market share gains across our markets.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important factors, including:</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Enrollment</w:t>
      </w:r>
    </w:p>
    <w:p>
      <w:pPr>
        <w:spacing w:after="0" w:line="114"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Our revenue growth rate and long-term profitability are affected by our ability to increase our number of members, which requires that we both continue to enroll new members in our MA plans and retain existing members. Our membership rapidly expanded from 30,677 as of January 1, 2018, to 54,525 as of January 1, 2020, and we added an additional 2,978 members through September 30, 2020, primarily under Medicare’s annual election period process. We believe our “Obvious” plans drive our membership growth in our markets. Most of our members are enrolled in plans that offer the lowest average out-of-pocket costs for PCP co-pays, specialist copays, drug deductibles and drug costs in their markets while also providing peace of mind with wide network access and with the same in- and out-of-network costs for physician visits. With our focus on clinical value delivery to our members, we are able to improve our economics and share that back with members in the form of more affordable and attractive plan designs. Our plans create high levels of member satisfaction, as evidenced by our members rating of our 2018 plans an average of 8.73 out of 10 according to the most recent CMS-administered survey. To further drive our membership growth in our markets, we develop internal and external sales channels that market our value proposition and our products, leveraging targeted messages that resonate with our members. Our proven ability to drive membership growth has largely been powered by our nation-leading established-market take rate, which has exceeded 50% on average the last three years (based on the number of members gained in markets in which we had over 500 members in the applicable year), and has resulted in 25% market share across these markets. In addition to driving revenue growth, membership growth is integral to the powerful network effects in our business.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450" w:right="3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Share (Established Markets)</w:t>
      </w:r>
      <w:r>
        <w:rPr>
          <w:rFonts w:ascii="Times New Roman" w:cs="Times New Roman" w:eastAsia="Times New Roman" w:hAnsi="Times New Roman"/>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1628140</wp:posOffset>
            </wp:positionV>
            <wp:extent cx="789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9305" cy="8255"/>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175895</wp:posOffset>
            </wp:positionV>
            <wp:extent cx="3089275" cy="13601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89275" cy="136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454"/>
        <w:spacing w:after="0"/>
        <w:tabs>
          <w:tab w:leader="none" w:pos="4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Markets where Clover has over 500 members prior to AEP results. 13 of our 34 counties.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Coverage</w:t>
      </w:r>
    </w:p>
    <w:p>
      <w:pPr>
        <w:spacing w:after="0" w:line="114"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We are focused on driving membership growth through geographic and market share expansion and are allocating resources and taking strategic actions to increase our share in existing markets and enter into new markets. As a result, our revenue, growth rate and long-term profitability are also affected by our ability to achieve both objectives. Our approach of offering “Obvious” plans in each market is a key element of our overall expansion strategy, and we supplement it with targeted investments in advertising and marketing to build brand awareness in select markets. We have achieved a top three market position in all of our established markets, and we have proven our ability to consistently drive membership across a cross-section of urban, suburban and rural markets with differing demographic, socio-economic and MA market trends. We believe our success across these markets positions us to drive growth and execute on our expansion plans into new markets. We currently offer MA plans in 34 markets, or counties, across seven states, with 8% market share of the individual, non-SNP MA enrollees in these markets. These markets also represent 3.1 million available Medicare-eligible beneficiaries as of 2019. We are launching in 74 additional MA markets, expanding our footprint by an additional state, in 2021. Together with our current markets, these new markets represent 4.2 million available Medicare-eligible beneficiaries as of 2019. Through driving adoption and use of the Clover Assistant, we believe we have significant opportunities to expand our membership in our other existing markets, and to leverage our scalable business model to enter into new markets nationally to serve a greater percentage of the over 60 million Medicare-eligible beneficiaries.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450" w:right="3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Leading Market Share Across Urban, Suburban and Rural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167005</wp:posOffset>
            </wp:positionV>
            <wp:extent cx="6253480" cy="20231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5348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CMS and US consensus</w:t>
      </w:r>
    </w:p>
    <w:p>
      <w:pPr>
        <w:ind w:left="460" w:hanging="454"/>
        <w:spacing w:after="0"/>
        <w:tabs>
          <w:tab w:leader="none" w:pos="4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Population per square mile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 and adoption of our Clover Assistant platform</w:t>
      </w:r>
    </w:p>
    <w:p>
      <w:pPr>
        <w:spacing w:after="0" w:line="114"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Our success is also dependent on our ability to innovate and drive further adoption of the Clover Assistant in order to maintain our competitive advantage, including continuing to offer “Obvious” plans in the markets we serve. As of September 30, 2020, over 2,300 PCPs, who already treat our members and are responsible for caring for 65% of our total membership, had contracted to use the Clover Assistant to manage our members’ care. Additionally, as of December 31, 2018 and 2019, we had Clover Assistant coverage of 33% and 59%, respectively, which represented the percentage of our total members attributed to a physician who had contracted to use the Clover Assistant platform. We note that a portion of our membership does not regularly see PCPs and hence are not currently attributed to a PCP. Our Clover Assistant coverage for members who are attributed to PCPs is materially higher. As of September 30, 2020, 80% of our members who regularly see PCPs receive care from PCPs who are contracted on the Clover Assistant platform. Additionally, onboarded physicians are highly engaged, using the Clover Assistant for 92% of their member visits in 2019.</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450"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Assistant Penetration</w:t>
      </w:r>
    </w:p>
    <w:p>
      <w:pPr>
        <w:spacing w:after="0" w:line="216" w:lineRule="exact"/>
        <w:rPr>
          <w:sz w:val="20"/>
          <w:szCs w:val="20"/>
          <w:color w:val="auto"/>
        </w:rPr>
      </w:pPr>
    </w:p>
    <w:p>
      <w:pPr>
        <w:ind w:left="1720"/>
        <w:spacing w:after="0"/>
        <w:tabs>
          <w:tab w:leader="none" w:pos="7060" w:val="left"/>
        </w:tabs>
        <w:rPr>
          <w:sz w:val="20"/>
          <w:szCs w:val="20"/>
          <w:color w:val="auto"/>
        </w:rPr>
      </w:pPr>
      <w:r>
        <w:rPr>
          <w:rFonts w:ascii="Times New Roman" w:cs="Times New Roman" w:eastAsia="Times New Roman" w:hAnsi="Times New Roman"/>
          <w:sz w:val="18"/>
          <w:szCs w:val="18"/>
          <w:i w:val="1"/>
          <w:iCs w:val="1"/>
          <w:color w:val="auto"/>
        </w:rPr>
        <w:t>Members Assigned to a CA PCP</w:t>
      </w:r>
      <w:r>
        <w:rPr>
          <w:sz w:val="20"/>
          <w:szCs w:val="20"/>
          <w:color w:val="auto"/>
        </w:rPr>
        <w:tab/>
      </w:r>
      <w:r>
        <w:rPr>
          <w:rFonts w:ascii="Times New Roman" w:cs="Times New Roman" w:eastAsia="Times New Roman" w:hAnsi="Times New Roman"/>
          <w:sz w:val="17"/>
          <w:szCs w:val="17"/>
          <w:i w:val="1"/>
          <w:iCs w:val="1"/>
          <w:color w:val="auto"/>
        </w:rPr>
        <w:t>Percent CA Coverage of Total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158750</wp:posOffset>
            </wp:positionV>
            <wp:extent cx="6111240" cy="1922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1240" cy="192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Percentage CA Coverage of Members Assigned to a PCP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149860</wp:posOffset>
            </wp:positionV>
            <wp:extent cx="2484755" cy="1939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8475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8"/>
          <w:szCs w:val="18"/>
          <w:color w:val="auto"/>
        </w:rPr>
        <w:t>We believe that we have built a highly-effective platform that will position us to further expand our provider network in new and existing markets. Through driving personalized, evidence-based clinical decision-making, improving closure of care gaps and facilitating interventions in our various clinical programs, the Clover Assistant has improved our plan economics by reducing medical expenses and enabling more accurate measurement of disease burden. We intend to continue to invest in and enhance new and existing features and functionality that expand our capabilities and facilitate the extension of the Clover Assistant to new use cases for physicians.</w:t>
      </w:r>
    </w:p>
    <w:p>
      <w:pPr>
        <w:spacing w:after="0" w:line="187"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We believe we are well positioned to leverage the power of the Clover Assistant to further capture Medicare market share through emerging payment models. For example, we plan to participate in CMS’s Direct Contracting program, which is scheduled to begin in April 2021 for a period of at least five years and provides for payment incentives similar to those in MA for physician practices and other organizations serving Original Medicare beneficiaries. As part of the program, Clover contracts directly with physicians to use the Clover Assistant to help manage their Original Medicare patients. A member becomes aligned to our Direct Contracting Entity (“DCE”) when CMS’s attribution model attributes them to (or they voluntarily elect to designate) a PCP with whom Clover has contracted as a “DC Participant” provider. To date, we already have contracts with</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80"/>
          </w:cols>
          <w:pgMar w:left="320" w:top="450" w:right="39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physicians through which approximately 200,000 lives may be aligned with our DCE under the program. We also contract with “Preferred” providers, which includes other types of providers to which the PCP may refer or admit patients. Under our global risk arrangement, total medical costs for these members are calculated and compared to a risk-adjusted benchmark rate. Our DCE will receive any savings, or bear any losses, generated, limited by several risk mitigation mechanisms. We believe this program represents a significant economic and market opportunity for us to deploy our platform across a national footprint since we plan to scale this beyond our MA markets and greatly enhance the velocity of our new market growth.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the Cost of Care of Our Members</w:t>
      </w:r>
    </w:p>
    <w:p>
      <w:pPr>
        <w:spacing w:after="0" w:line="114"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We focus on lowering the cost of medical services for our members, or medical expenses, in order to enable us to continue to offer “Obvious” plans and drive membership growth, as well as achieve and sustain profitability in the future. Medical expenses primarily consist of payments to physicians, hospitals and other health care providers for services provided to our members. While the premiums for our MA plans are established primarily by bid and cannot be modified during the plan year, except under limited circumstances, the medical expenses we are obligated to pay can vary and could exceed premiums earned. Medical expenses can vary for a variety of reasons, including variance in cost of healthcare services and supplies, utilization rate and mandated increases in benefits. We rely on our Clover Assistant platform to identify care issues that drive value at the point of care, supporting better clinical decision-making and improving care, which in turn helps to improve our MCR and reduce medical expenses in the long term.</w:t>
      </w:r>
    </w:p>
    <w:p>
      <w:pPr>
        <w:spacing w:after="0" w:line="189"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Our new member MCR tends to be higher than our returning member MCR, as new members typically join us with less complete or accurate documentation (and therefore lower risk adjustment scores). Additionally, our efforts to manage our members’ medical costs through our clinical programs have a more significant impact after a member has been enrolled with Clover for a full year.</w:t>
      </w:r>
    </w:p>
    <w:p>
      <w:pPr>
        <w:spacing w:after="0" w:line="179"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Our focus on improving member care and economics is having a real and measurable impact. Our Medicare covered medical expenses increased by 1.2% between 2018 and 2019 as compared to 4.5% for overall Original Medicare expenses for a comparable population over the same period. In 2019, our members had 197 inpatient hospital admissions per 1,000 members compared to the Original Medicare benchmark of 252 admissions per 1,000 enrollees (Medicare FFS data from 2018, the most recent year available). Our members had 465 emergency room visits per 1,000 members in 2019, compared to 600 emergency room visits per 1,000 beneficiaries in Original Medicare. Additionally, as presented in the chart below, the performance of our returning members with a PCP who used the Clover Assistant has improved over time, with those members showing an MCR of 82% for the three months ended March 31, 2020. This represented a 720-basis point improvement as compared to the MCR for that same member cohort for full year 2019, and these members consistently show better MCRs as compared to returning members with a PCP who did not use the Clover Assistant. See “—Key Performance Measures—Medical care ratio, gross and net” below for a description of how this metric is calculated. See “—Key Performance Measures—Membership and associated premiums earned and medical claim expenses” below for a description of returning members and new members.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320" w:top="450" w:right="3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Returning Member Medical Care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167005</wp:posOffset>
            </wp:positionV>
            <wp:extent cx="4541520" cy="28873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41520" cy="288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Our MCR is lower for members whose PCP uses the Clover Assistant because usage of the Clover Assistant helps to close care gaps consistent with evidence-based guidelines, enhances physicians’ understanding of their patients, thus improving care and lowering treatment costs, and improves data collection to support accurate CMS risk adjustment. Additionally, we use our platform to identify members—such as those with multiple chronic conditions or those who are high risk for near-term hospitalization—who are suitable for our specialized clinical care programs, and deploy our team of employed physicians, nurses, and care managers to incrementally support their care. For example, through our in-home care program, we work with our members with medically complex conditions to ensure they receive frequent telehealth and home visits, often multiple times a month, by Clover’s physicians and nurses. Since the program’s inception on May 1, 2017, until March 31, 2020, inpatient admissions and the MCR of the 1,061 program enrollees were 12% and 1,900 basis points lower, respectively, than the admissions and MCR of 716 people in a matched control group.</w:t>
      </w:r>
    </w:p>
    <w:p>
      <w:pPr>
        <w:spacing w:after="0" w:line="193"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We believe that the first quarter of 2020 is the most appropriate period, to date, to measure the impact of the Clover Assistant on our financial performance. We launched the Clover Assistant in 2018 and during 2019 we rapidly expanded coverage, from 33% of our total membership on December 31, 2018, to 59% on December 31, 2019. While the Clover Assistant had a positive impact on our 2019 MCR, its impact was dampened by the lower coverage early in the year and the lag between identifying member disease burden through Clover Assistant and seeing a positive impact on our margin through medical management and receipt of appropriate reimbursement. Looking at 2020, although we began to see some impact from reduced utilization in the last two weeks of the first quarter as a result of the COVID-19 pandemic, other factors occurred during the quarter that helped to mitigate any favorable impact from reduced utilization, including:</w:t>
      </w:r>
    </w:p>
    <w:p>
      <w:pPr>
        <w:spacing w:after="0" w:line="96" w:lineRule="exact"/>
        <w:rPr>
          <w:sz w:val="20"/>
          <w:szCs w:val="20"/>
          <w:color w:val="auto"/>
        </w:rPr>
      </w:pPr>
    </w:p>
    <w:p>
      <w:pPr>
        <w:ind w:left="1000" w:right="200" w:hanging="439"/>
        <w:spacing w:after="0" w:line="270"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COVID-related inpatient admissions that occurred in March given our concentration of members in New Jersey, which was one of the earliest hotspots for the virus;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 D component of overall MCR is seasonally higher in the first quarter as a result of risk corridor impact; and</w:t>
      </w:r>
    </w:p>
    <w:p>
      <w:pPr>
        <w:spacing w:after="0" w:line="123" w:lineRule="exact"/>
        <w:rPr>
          <w:rFonts w:ascii="Times New Roman" w:cs="Times New Roman" w:eastAsia="Times New Roman" w:hAnsi="Times New Roman"/>
          <w:sz w:val="18"/>
          <w:szCs w:val="18"/>
          <w:color w:val="auto"/>
        </w:rPr>
      </w:pPr>
    </w:p>
    <w:p>
      <w:pPr>
        <w:ind w:left="5540" w:right="240" w:hanging="4979"/>
        <w:spacing w:after="0" w:line="439" w:lineRule="auto"/>
        <w:tabs>
          <w:tab w:leader="none" w:pos="100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increase in pharmacy benefit costs due to higher than usual early prescription refills and refills of extended day supply medications. 87</w:t>
      </w:r>
    </w:p>
    <w:p>
      <w:pPr>
        <w:sectPr>
          <w:pgSz w:w="11900" w:h="16838" w:orient="portrait"/>
          <w:cols w:equalWidth="0" w:num="1">
            <w:col w:w="11200"/>
          </w:cols>
          <w:pgMar w:left="320" w:top="450" w:right="3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entitled “—COVID-19 Impact” below for a further description of the impacts of the global pandemic on our business.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 economics</w:t>
      </w:r>
    </w:p>
    <w:p>
      <w:pPr>
        <w:spacing w:after="0" w:line="1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measure the effectiveness of our growth investments by comparing the lifetime value of a member to customer acquisition cost (“LTV/CAC”). The lifetime value (“LTV”) of a member represents projected premium collected less projected medical expense incurred less variable operating expense related to ongoing member service and retention, over the estimated lifetime of a member. We divide members into two categories, new and returning, that reflect the different profitability characteristics of our business. Any member who is active on July 1 of a given year is considered a returning member in the following year. Any member who joins a Clover plan after July 1 in a given year is considered a new member for the entirety of the following calendar year. We calculate customer acquisition cost (“CAC”) as sales, marketing and commission expense related to attracting new members.</w:t>
      </w:r>
    </w:p>
    <w:p>
      <w:pPr>
        <w:spacing w:after="0" w:line="18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Based on our new and returning members’ MCR in the first quarter of 2020 and an average member lifetime of six years, which is consistent with our historical member retention, our LTV/CAC is 4.5x. Our six-year member lifetime is driven by total retention being approximately 600 bps higher than the industry average reported by the Kaiser Family Foundation in 2016. We believe that the continued adoption of the Clover Assistant will allow us to improve this metric over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w:t>
      </w:r>
    </w:p>
    <w:p>
      <w:pPr>
        <w:spacing w:after="0" w:line="112"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We typically experience the strongest increase in quarterly membership and revenue during the first quarter of each year because of Medicare’s annual election period at the end of the year. Members generally enroll in new plans for a full year. We incur marketing and advertising expenses in advance of the enrollment periods, principally in the fourth quarter of each year, and we also incur sales commissions in the first quarter of each year to coincide with the effective dates of members that joined our plans during these periods. Additionally, our annual financial results will primarily depend on our ability to market to and enroll existing and potential members during the 54-day annual election period in the fourth quarter of each year and, to a lesser extent, during the open enrollment period spanning the first quarter of each year when enrollees under MA plans in the prior year can renew or choose a different a MA plan. See the section entitled “Risk Factors—If we are unable to succeed in expanding our member base, our future growth would be limited and our business, financial condition and results of operations would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PMPM Premium Earned, Net</w:t>
      </w:r>
    </w:p>
    <w:p>
      <w:pPr>
        <w:spacing w:after="0" w:line="112"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While our total premium revenue has increased year over year, we experience some seasonality in our PMPM premiums earned, net as they generally decline over the course of the year due to shifts in our member base. In January of each year, CMS revises the risk adjustment factor for each member based upon health conditions documented in the prior year, typically leading to an overall increase in PMPM revenue. As the year progresses, we onboard new members, who may contribute lower PMPM premiums earned, net, as new members typically join us with less complete or accurate documentation (and therefore lower risk adjustment scores). Likewise, as we experience member mortality during the year, our PMPM premiums earned, net, may decline as sicker members generally have higher risk adjustment scores.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Expenses</w:t>
      </w:r>
    </w:p>
    <w:p>
      <w:pPr>
        <w:spacing w:after="0" w:line="112" w:lineRule="exact"/>
        <w:rPr>
          <w:sz w:val="20"/>
          <w:szCs w:val="20"/>
          <w:color w:val="auto"/>
        </w:rPr>
      </w:pPr>
    </w:p>
    <w:p>
      <w:pPr>
        <w:ind w:right="260" w:firstLine="449"/>
        <w:spacing w:after="0" w:line="270" w:lineRule="auto"/>
        <w:rPr>
          <w:sz w:val="20"/>
          <w:szCs w:val="20"/>
          <w:color w:val="auto"/>
        </w:rPr>
      </w:pPr>
      <w:r>
        <w:rPr>
          <w:rFonts w:ascii="Times New Roman" w:cs="Times New Roman" w:eastAsia="Times New Roman" w:hAnsi="Times New Roman"/>
          <w:sz w:val="18"/>
          <w:szCs w:val="18"/>
          <w:color w:val="auto"/>
        </w:rPr>
        <w:t>Medical expenses vary seasonally depending on a number of factors, including the incidence of illnesses as well as the timing of certain member cost sharing. Certain illnesses, such as the influenza virus, are far more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450"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prevalent during colder months of the year, which results in an increase in medical expenses during these time periods. As a result, we typically see higher levels of PMPM medical expenses in the first and fourth quarters. Medical costs also depend upon the number of business days in a period. Shorter periods will have lower medical expenses due to fewer business days, impacting comparability between periods. We would also expect to experience an impact should there be a pandemic such as COVID-19, which may result in increased or decreased total medical expenses depending on the severity of the illness and the concentration of our membership in a given area.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Growth</w:t>
      </w:r>
    </w:p>
    <w:p>
      <w:pPr>
        <w:spacing w:after="0" w:line="114"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We plan to continue investing in our business to capitalize on our market opportunity. We intend to increase spending for member acquisition, new market development and network expansion. For example, we intend to make focused investments in marketing expenses to drive brand awareness to attract new members and physicians in existing markets. We also target expansion into new markets, including making investments in complementary programs to MA that leverage our technology and support our growth initiatives. Moreover, we expect to make investments in software development as we continue to improve our Clover Assistant platform and technology infrastructure to generate data-driven insights to support the care of our members and reduce medical expenses. Additionally, we expect to continue to add headcount to support our growth. Although our investments in growth may adversely affect our operating results in the near term, we believe that they will contribute to our long-term growth.</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Star Ratings</w:t>
      </w:r>
    </w:p>
    <w:p>
      <w:pPr>
        <w:spacing w:after="0" w:line="11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 CMS Star Ratings Program measures plan performance on a variety of clinical and administrative measures. For payment year 2020, Clover’s plans achieved a 3.0 Star Rating. When a plan achieves a 3.5 Star or higher rating, it qualifies for certain bonus payments. We believe that the Clover Assistant will help improve our Star ratings because it can help physicians better address many measures at the point of care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clinical gap closures, care coordination). To date, we have built only some features over 2019 and 2020 that address Star Ratings measures, such as: preventive cancer screenings, flu shot, and medication adherence reminders. We expect to develop additional features to the Clover Assistant that will help improve performance on more measures, and thus believe the Clover Assistant will drive improvement in our plans’ Star Ratings.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12"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We entered into the Merger Agreement with SCH, a special purpose acquisition company, on October 5, 2020. Pursuant to the Merger Agreement, and assuming a favorable vote of SCH’s stockholders, Merger Sub, a newly formed subsidiary of SCH, will be merged with and into Clover. Upon consummation of the Business Combination, the separate corporate existence of Merger Sub shall cease, Clover will survive and merge with SCH, which will be renamed Clover Health Investments, Corp.</w:t>
      </w:r>
    </w:p>
    <w:p>
      <w:pPr>
        <w:spacing w:after="0" w:line="185"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The Business Combination is expected to be accounted for as a reverse capitalization in accordance with GAAP. Under the guidance in ASC 805, SCH is expected to be treated as the “acquired” company for financial reporting purposes. We expect to be deemed the accounting predecessor of the combined business, and Clover, as the parent company of the combined business, will be the successor SEC registrant, meaning that our financial statements for previous periods will be disclosed in the registrant’s future periodic reports filed with the SEC. The Business Combination is expected to have a significant impact on our future reported financial position and results as a consequence of the reverse capitalization. The most significant changes in Clover’s future reported financial position and results are expected to be an estimated net increase in cash (as compared to our consolidated balance sheet at September 30, 2020) of between approximately $1,154 million, assuming maximum shareholder redemptions permitted under the Merger Agreement, and $626 million, assuming no shareholder redemptions. Each redemption scenario includes approximately $400 million in proceeds from the private placement (“PIPE Investment”) to be consummated substantially simultaneously with the Business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450"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Combination, offset by additional transaction costs for the Business Combination. The estimated transaction costs for the Business Combination are approximately $71.8 million, of which $29.0 million represents deferred underwriter fees related to SCH’s initial public offering. See “Unaudited Pro Forma Combined Financial Information.”</w:t>
      </w:r>
    </w:p>
    <w:p>
      <w:pPr>
        <w:spacing w:after="0" w:line="179" w:lineRule="exact"/>
        <w:rPr>
          <w:sz w:val="20"/>
          <w:szCs w:val="20"/>
          <w:color w:val="auto"/>
        </w:rPr>
      </w:pPr>
    </w:p>
    <w:p>
      <w:pPr>
        <w:jc w:val="both"/>
        <w:ind w:right="120" w:firstLine="449"/>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we expect to become the successor to an SEC-registered and NYSE-listed company, which will require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1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COVID-19 pandemic is rapidly evolving, and the ultimate impact on our business, results of operations, financial condition and cash flows is uncertain and difficult to predict. The global pandemic has severely impacted businesses worldwide, including many in the insurance sector. In response to the pandemic, we have implemented additional steps to our care delivery, our member support, and our internal policies and operations.</w:t>
      </w:r>
    </w:p>
    <w:p>
      <w:pPr>
        <w:spacing w:after="0" w:line="17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refocused our clinical operations in mid-March 2020 and fully adopted the CMS COVID-19 emergency policy changes, including multiple summary guidances issued over a 12-week period, from March 2020 to June 2020. We implemented many changes to provide continued care to members, including reorienting our in-home primary care program to provide care remotely, pivoting our post-hospital discharge program to video and telephonic encounters, and helping members receive their prescription medications at home.</w:t>
      </w:r>
    </w:p>
    <w:p>
      <w:pPr>
        <w:spacing w:after="0" w:line="18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Additionally, we rapidly enhanced our Clover Assistant platform to focus on video and telephonic visits to ensure that our members received appropriate levels of care despite their inability to visit a physician’s office. In total, we pivoted from 100% in-person Clover Assistant visits before the COVID-19 pandemic to 82% and 64% virtual Clover Assistant visits during the months of April and May 2020, respectively.</w:t>
      </w:r>
    </w:p>
    <w:p>
      <w:pPr>
        <w:spacing w:after="0" w:line="179"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To ensure care continuity, we have implemented multi-channel member communications to support our members staying in place, provider network support for telehealth adoption by PCP practices, and a nurse practitioner COVID-19 hotline reaching out to our most vulnerable members—acting as a clinical bridge for members whose provider offices had transiently closed.</w:t>
      </w:r>
    </w:p>
    <w:p>
      <w:pPr>
        <w:spacing w:after="0" w:line="179"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We are continuing to monitor the ongoing financial impact that COVID-19 will have on our business and operations and are making adjustments accordingly. We have waived member copays on certain COVID-19-related services and have worked very closely with our open network of providers to ensure that members are receiving necessary care. Given that a large portion of our membership is elderly and generally in the high-risk category for COVID-19, we have incurred additional costs during 2020 to care for those members who have contracted the virus, and we will likely continue to incur similar costs in the near future. However, for the nine months ended September 30, 2020, our increased medical expenses and investments in the health of our members during the pandemic are being offset by the reduction in overall utilization of healthcare services across our entire membership base as a result of stay-at-home orders and the closure of certain provider facilities. We believe that a portion of these services are being deferred, but the timing and intensity in which these services will return is subject to several factors outside of our control, including the containment of the virus as well as capacity constraints of providers. Additionally, CMS risk adjustment requires that a member’s health issues be documented annually regardless of the permanence of the underlying causes. Historically, this documentation was required to be completed during an in-person visit with a patient. As part of the CARES Act, Medicare is allowing documentation for conditions identified during video visits with patients. While we intend to leverage Clover Assistant to increase the video visits for our members and document their health conditions on a timely basis, given the disruption caused by COVID-19, we may be unable to document the health conditions of our members as comprehensively as we did in previous years, which may adversely impact the accuracy of our risk adjustment factors and revenue in future periods.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450"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00" w:firstLine="449"/>
        <w:spacing w:after="0" w:line="270" w:lineRule="auto"/>
        <w:rPr>
          <w:sz w:val="20"/>
          <w:szCs w:val="20"/>
          <w:color w:val="auto"/>
        </w:rPr>
      </w:pPr>
      <w:r>
        <w:rPr>
          <w:rFonts w:ascii="Times New Roman" w:cs="Times New Roman" w:eastAsia="Times New Roman" w:hAnsi="Times New Roman"/>
          <w:sz w:val="18"/>
          <w:szCs w:val="18"/>
          <w:color w:val="auto"/>
        </w:rPr>
        <w:t>In addition to the information presented above in “Managing the Cost of Care of our Members,” the quarterly information presented in the following table illustrates the impact of COVID-19 on our financial results during each of the first three quarters of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39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40" w:type="dxa"/>
            <w:vAlign w:val="bottom"/>
            <w:gridSpan w:val="4"/>
          </w:tcPr>
          <w:p>
            <w:pPr>
              <w:ind w:left="300"/>
              <w:spacing w:after="0" w:line="139" w:lineRule="exact"/>
              <w:rPr>
                <w:sz w:val="20"/>
                <w:szCs w:val="20"/>
                <w:color w:val="auto"/>
              </w:rPr>
            </w:pPr>
            <w:r>
              <w:rPr>
                <w:rFonts w:ascii="Times New Roman" w:cs="Times New Roman" w:eastAsia="Times New Roman" w:hAnsi="Times New Roman"/>
                <w:sz w:val="14"/>
                <w:szCs w:val="14"/>
                <w:b w:val="1"/>
                <w:bCs w:val="1"/>
                <w:color w:val="auto"/>
              </w:rPr>
              <w:t>March 31, 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center"/>
              <w:ind w:right="280"/>
              <w:spacing w:after="0" w:line="13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60" w:type="dxa"/>
            <w:vAlign w:val="bottom"/>
          </w:tcPr>
          <w:p>
            <w:pPr>
              <w:spacing w:after="0"/>
              <w:rPr>
                <w:sz w:val="12"/>
                <w:szCs w:val="12"/>
                <w:color w:val="auto"/>
              </w:rPr>
            </w:pPr>
          </w:p>
        </w:tc>
      </w:tr>
      <w:tr>
        <w:trPr>
          <w:trHeight w:val="139"/>
        </w:trPr>
        <w:tc>
          <w:tcPr>
            <w:tcW w:w="39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1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top w:val="single" w:sz="8" w:color="auto"/>
              <w:bottom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PMPM</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7"/>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Borders>
              <w:top w:val="single" w:sz="8" w:color="auto"/>
              <w:bottom w:val="single" w:sz="8" w:color="auto"/>
            </w:tcBorders>
            <w:gridSpan w:val="2"/>
          </w:tcPr>
          <w:p>
            <w:pPr>
              <w:ind w:left="160"/>
              <w:spacing w:after="0" w:line="139" w:lineRule="exact"/>
              <w:rPr>
                <w:sz w:val="20"/>
                <w:szCs w:val="20"/>
                <w:color w:val="auto"/>
              </w:rPr>
            </w:pPr>
            <w:r>
              <w:rPr>
                <w:rFonts w:ascii="Times New Roman" w:cs="Times New Roman" w:eastAsia="Times New Roman" w:hAnsi="Times New Roman"/>
                <w:sz w:val="14"/>
                <w:szCs w:val="14"/>
                <w:b w:val="1"/>
                <w:bCs w:val="1"/>
                <w:color w:val="auto"/>
              </w:rPr>
              <w:t>PMPM</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top w:val="single" w:sz="8" w:color="auto"/>
              <w:bottom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PMPM</w:t>
            </w:r>
          </w:p>
        </w:tc>
        <w:tc>
          <w:tcPr>
            <w:tcW w:w="60" w:type="dxa"/>
            <w:vAlign w:val="bottom"/>
          </w:tcPr>
          <w:p>
            <w:pPr>
              <w:spacing w:after="0"/>
              <w:rPr>
                <w:sz w:val="12"/>
                <w:szCs w:val="12"/>
                <w:color w:val="auto"/>
              </w:rPr>
            </w:pPr>
          </w:p>
        </w:tc>
      </w:tr>
      <w:tr>
        <w:trPr>
          <w:trHeight w:val="139"/>
        </w:trPr>
        <w:tc>
          <w:tcPr>
            <w:tcW w:w="39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gridSpan w:val="11"/>
          </w:tcPr>
          <w:p>
            <w:pPr>
              <w:jc w:val="center"/>
              <w:ind w:right="537"/>
              <w:spacing w:after="0" w:line="139" w:lineRule="exact"/>
              <w:rPr>
                <w:sz w:val="20"/>
                <w:szCs w:val="20"/>
                <w:color w:val="auto"/>
              </w:rPr>
            </w:pPr>
            <w:r>
              <w:rPr>
                <w:rFonts w:ascii="Times New Roman" w:cs="Times New Roman" w:eastAsia="Times New Roman" w:hAnsi="Times New Roman"/>
                <w:sz w:val="14"/>
                <w:szCs w:val="14"/>
                <w:b w:val="1"/>
                <w:bCs w:val="1"/>
                <w:color w:val="auto"/>
              </w:rPr>
              <w:t>(dollars in thousands, except PMPM amounts)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 net</w:t>
            </w:r>
          </w:p>
        </w:tc>
        <w:tc>
          <w:tcPr>
            <w:tcW w:w="29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$163,710</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95"/>
              </w:rPr>
              <w:t>170,315</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w w:val="95"/>
              </w:rPr>
              <w:t>167,075</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972</w:t>
            </w:r>
          </w:p>
        </w:tc>
      </w:tr>
      <w:tr>
        <w:trPr>
          <w:trHeight w:val="21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$146,328</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880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95"/>
              </w:rPr>
              <w:t>119,366</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95"/>
              </w:rPr>
              <w:t>144,846</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842</w:t>
            </w:r>
          </w:p>
        </w:tc>
      </w:tr>
      <w:tr>
        <w:trPr>
          <w:trHeight w:val="21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(28,162)</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5,403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12,758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(21,703)</w:t>
            </w:r>
          </w:p>
        </w:tc>
        <w:tc>
          <w:tcPr>
            <w:tcW w:w="24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28,830</w:t>
            </w:r>
          </w:p>
        </w:tc>
        <w:tc>
          <w:tcPr>
            <w:tcW w:w="22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(18,158)</w:t>
            </w:r>
          </w:p>
        </w:tc>
        <w:tc>
          <w:tcPr>
            <w:tcW w:w="2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MCR</w:t>
            </w:r>
          </w:p>
        </w:tc>
        <w:tc>
          <w:tcPr>
            <w:tcW w:w="2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86.7%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Beginning in late March and early April 2020, COVID-19 caused an increase in our inpatient hospital costs as members started to experience admissions caused by the virus. The increase in hospital costs was ultimately more than fully offset by a reduction in outpatient and office-based utilization during the second quarter. In the second quarter, we experienced a reduction in utilization across all settings, including inpatient hospital admissions. By the end of the third quarter, our non-COVID-19 utilization of healthcare services returned to near pre-COVID-19 levels but remained slightly below historical benchmarks. In the fourth quarter we expect to incur additional net medical claims incurred related to COVID-19, but the level of these expenses is highly uncertain and cannot be predicted at this time. Additionally, we are unable to predict if there will be a corresponding offset to non-COVID-19 utilization as we have seen in prior quarters.</w:t>
      </w:r>
    </w:p>
    <w:p>
      <w:pPr>
        <w:spacing w:after="0" w:line="189"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8"/>
          <w:szCs w:val="18"/>
          <w:color w:val="auto"/>
        </w:rPr>
        <w:t>Due to the speed with which the COVID-19 situation is developing, the global breadth of its spread and the range of governmental and community reactions thereto, there remains uncertainty around its duration and ultimate impact, and the related financial impact on our business could change and cannot be accurately predicted at this time. See the section entitled “Risk Factors—Risks Related to Clover’s Business and Industry—We are subject to risks associated with the COVID-19 pandemic, which could have a material adverse effect on our business, results of operations, financial condition and financial performance.”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450"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12"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investors and counterparties to model the performance of healthcare companies such as Clover.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Borders>
              <w:bottom w:val="single" w:sz="8" w:color="auto"/>
            </w:tcBorders>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Borders>
              <w:bottom w:val="single" w:sz="8" w:color="auto"/>
            </w:tcBorders>
          </w:tcPr>
          <w:p>
            <w:pPr>
              <w:ind w:left="760"/>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tcPr>
          <w:p>
            <w:pPr>
              <w:jc w:val="right"/>
              <w:ind w:right="30"/>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ind w:right="51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PMPM</w:t>
            </w:r>
            <w:r>
              <w:rPr>
                <w:rFonts w:ascii="Times New Roman" w:cs="Times New Roman" w:eastAsia="Times New Roman" w:hAnsi="Times New Roman"/>
                <w:sz w:val="11"/>
                <w:szCs w:val="11"/>
                <w:b w:val="1"/>
                <w:bCs w:val="1"/>
                <w:color w:val="auto"/>
                <w:w w:val="99"/>
              </w:rPr>
              <w:t>(1)</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6"/>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PMPM</w:t>
            </w:r>
            <w:r>
              <w:rPr>
                <w:rFonts w:ascii="Times New Roman" w:cs="Times New Roman" w:eastAsia="Times New Roman" w:hAnsi="Times New Roman"/>
                <w:sz w:val="11"/>
                <w:szCs w:val="11"/>
                <w:b w:val="1"/>
                <w:bCs w:val="1"/>
                <w:color w:val="auto"/>
                <w:w w:val="99"/>
              </w:rPr>
              <w:t>(1)</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Borders>
              <w:bottom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PMPM</w:t>
            </w:r>
            <w:r>
              <w:rPr>
                <w:rFonts w:ascii="Times New Roman" w:cs="Times New Roman" w:eastAsia="Times New Roman" w:hAnsi="Times New Roman"/>
                <w:sz w:val="11"/>
                <w:szCs w:val="11"/>
                <w:b w:val="1"/>
                <w:bCs w:val="1"/>
                <w:color w:val="auto"/>
                <w:w w:val="99"/>
              </w:rPr>
              <w:t>(1)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5"/>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Borders>
              <w:bottom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PMPM</w:t>
            </w:r>
            <w:r>
              <w:rPr>
                <w:rFonts w:ascii="Times New Roman" w:cs="Times New Roman" w:eastAsia="Times New Roman" w:hAnsi="Times New Roman"/>
                <w:sz w:val="11"/>
                <w:szCs w:val="11"/>
                <w:b w:val="1"/>
                <w:bCs w:val="1"/>
                <w:color w:val="auto"/>
                <w:w w:val="99"/>
              </w:rPr>
              <w:t>(1)</w:t>
            </w:r>
          </w:p>
        </w:tc>
        <w:tc>
          <w:tcPr>
            <w:tcW w:w="60" w:type="dxa"/>
            <w:vAlign w:val="bottom"/>
          </w:tcPr>
          <w:p>
            <w:pPr>
              <w:spacing w:after="0"/>
              <w:rPr>
                <w:sz w:val="12"/>
                <w:szCs w:val="12"/>
                <w:color w:val="auto"/>
              </w:rPr>
            </w:pPr>
          </w:p>
        </w:tc>
      </w:tr>
      <w:tr>
        <w:trPr>
          <w:trHeight w:val="139"/>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60" w:type="dxa"/>
            <w:vAlign w:val="bottom"/>
            <w:gridSpan w:val="6"/>
          </w:tcPr>
          <w:p>
            <w:pPr>
              <w:ind w:left="760"/>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 except PMPM amounts)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Members as of period end</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32,529</w:t>
            </w:r>
          </w:p>
        </w:tc>
        <w:tc>
          <w:tcPr>
            <w:tcW w:w="3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42,592</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42,087</w:t>
            </w:r>
          </w:p>
        </w:tc>
        <w:tc>
          <w:tcPr>
            <w:tcW w:w="2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57,503</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 gross</w:t>
            </w:r>
          </w:p>
        </w:tc>
        <w:tc>
          <w:tcPr>
            <w:tcW w:w="12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$ 353,918</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937</w:t>
            </w:r>
          </w:p>
        </w:tc>
        <w:tc>
          <w:tcPr>
            <w:tcW w:w="11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97"/>
              </w:rPr>
              <w:t>$ 457,758</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927</w:t>
            </w:r>
          </w:p>
        </w:tc>
        <w:tc>
          <w:tcPr>
            <w:tcW w:w="13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$ 344,250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939</w:t>
            </w:r>
          </w:p>
        </w:tc>
        <w:tc>
          <w:tcPr>
            <w:tcW w:w="10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4"/>
              </w:rPr>
              <w:t>$501,483</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Premiums earned, net</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$ 286,515</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758</w:t>
            </w: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97"/>
              </w:rPr>
              <w:t>$ 456,926</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$ 343,549</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937</w:t>
            </w: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w w:val="94"/>
              </w:rPr>
              <w:t>$501,100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claim expense incurred, gross</w:t>
            </w:r>
          </w:p>
        </w:tc>
        <w:tc>
          <w:tcPr>
            <w:tcW w:w="12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$ 343,529</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909</w:t>
            </w:r>
          </w:p>
        </w:tc>
        <w:tc>
          <w:tcPr>
            <w:tcW w:w="11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97"/>
              </w:rPr>
              <w:t>$ 452,261</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w:t>
            </w:r>
          </w:p>
        </w:tc>
        <w:tc>
          <w:tcPr>
            <w:tcW w:w="13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$ 338,271</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923</w:t>
            </w:r>
          </w:p>
        </w:tc>
        <w:tc>
          <w:tcPr>
            <w:tcW w:w="108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4"/>
              </w:rPr>
              <w:t>$411,243</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808</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$ 279,050</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739</w:t>
            </w:r>
          </w:p>
        </w:tc>
        <w:tc>
          <w:tcPr>
            <w:tcW w:w="11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97"/>
              </w:rPr>
              <w:t>$ 450,645</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912</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$ 337,441</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920</w:t>
            </w: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w w:val="94"/>
              </w:rPr>
              <w:t>$410,540</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807</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care ratio, gross</w:t>
            </w:r>
          </w:p>
        </w:tc>
        <w:tc>
          <w:tcPr>
            <w:tcW w:w="1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Medical care ratio, net</w:t>
            </w: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97.4%</w:t>
            </w:r>
          </w:p>
        </w:tc>
        <w:tc>
          <w:tcPr>
            <w:tcW w:w="3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$(201,928)</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95"/>
              </w:rPr>
              <w:t>$(363,737)</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$(285,066)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93"/>
              </w:rPr>
              <w:t>$ (10,001)</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4"/>
                <w:szCs w:val="14"/>
                <w:color w:val="auto"/>
              </w:rPr>
              <w:t>(2)</w:t>
            </w:r>
          </w:p>
        </w:tc>
        <w:tc>
          <w:tcPr>
            <w:tcW w:w="12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$(177,146)</w:t>
            </w:r>
          </w:p>
        </w:tc>
        <w:tc>
          <w:tcPr>
            <w:tcW w:w="3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95"/>
              </w:rPr>
              <w:t>$(175,457)</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$(116,345)</w:t>
            </w:r>
          </w:p>
        </w:tc>
        <w:tc>
          <w:tcPr>
            <w:tcW w:w="2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3"/>
              </w:rPr>
              <w:t>$ (11,031)</w:t>
            </w:r>
          </w:p>
        </w:tc>
        <w:tc>
          <w:tcPr>
            <w:tcW w:w="2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14"/>
                <w:szCs w:val="14"/>
                <w:color w:val="auto"/>
              </w:rPr>
              <w:t>(2)</w:t>
            </w: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89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47" w:lineRule="exact"/>
        <w:rPr>
          <w:sz w:val="20"/>
          <w:szCs w:val="20"/>
          <w:color w:val="auto"/>
        </w:rPr>
      </w:pPr>
    </w:p>
    <w:p>
      <w:pPr>
        <w:ind w:left="460" w:right="40" w:hanging="454"/>
        <w:spacing w:after="0" w:line="255"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PMPM figures are based on the applicable amount divided by member months in the given period. Member months represents the number of months members are enrolled in a Clover Health plan in the period.</w:t>
      </w:r>
    </w:p>
    <w:p>
      <w:pPr>
        <w:ind w:left="460" w:right="60" w:hanging="454"/>
        <w:spacing w:after="0" w:line="250"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financial measures that are not calculated in accordance with U.S. GAAP. See the section entitled “Selected Historical Financial Information of Clover—Non-GAAP financial measures.”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Membership and Associated Premiums Earned and Medical Claim Expenses</w:t>
      </w:r>
    </w:p>
    <w:p>
      <w:pPr>
        <w:spacing w:after="0" w:line="114" w:lineRule="exact"/>
        <w:rPr>
          <w:sz w:val="20"/>
          <w:szCs w:val="20"/>
          <w:color w:val="auto"/>
        </w:rPr>
      </w:pPr>
    </w:p>
    <w:p>
      <w:pPr>
        <w:ind w:right="140" w:firstLine="449"/>
        <w:spacing w:after="0" w:line="265" w:lineRule="auto"/>
        <w:rPr>
          <w:sz w:val="20"/>
          <w:szCs w:val="20"/>
          <w:color w:val="auto"/>
        </w:rPr>
      </w:pPr>
      <w:r>
        <w:rPr>
          <w:rFonts w:ascii="Times New Roman" w:cs="Times New Roman" w:eastAsia="Times New Roman" w:hAnsi="Times New Roman"/>
          <w:sz w:val="17"/>
          <w:szCs w:val="17"/>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Gross</w:t>
      </w:r>
    </w:p>
    <w:p>
      <w:pPr>
        <w:spacing w:after="0" w:line="114"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450"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Premiums earned, gross excludes the effects of premiums ceded to reinsurers, and therefore should not be used as a substitute for premiums earned, net, total revenue or any other measure presented in accordance with GAAP. See the section entitled “Clover’s Management’s Discussion and Analysis of Financial Condition and Results of Operations—Components of Our Results of Operations—Premiums Earned, Net.”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14" w:lineRule="exact"/>
        <w:rPr>
          <w:sz w:val="20"/>
          <w:szCs w:val="20"/>
          <w:color w:val="auto"/>
        </w:rPr>
      </w:pPr>
    </w:p>
    <w:p>
      <w:pPr>
        <w:ind w:right="180" w:firstLine="449"/>
        <w:spacing w:after="0" w:line="270"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as presented on our consolidated statement of operations in accordance with GAAP.</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Medical Claims Incurred</w:t>
      </w:r>
    </w:p>
    <w:p>
      <w:pPr>
        <w:spacing w:after="0" w:line="114" w:lineRule="exact"/>
        <w:rPr>
          <w:sz w:val="20"/>
          <w:szCs w:val="20"/>
          <w:color w:val="auto"/>
        </w:rPr>
      </w:pPr>
    </w:p>
    <w:p>
      <w:pPr>
        <w:jc w:val="both"/>
        <w:ind w:right="20" w:firstLine="449"/>
        <w:spacing w:after="0" w:line="258" w:lineRule="auto"/>
        <w:rPr>
          <w:sz w:val="20"/>
          <w:szCs w:val="20"/>
          <w:color w:val="auto"/>
        </w:rPr>
      </w:pPr>
      <w:r>
        <w:rPr>
          <w:rFonts w:ascii="Times New Roman" w:cs="Times New Roman" w:eastAsia="Times New Roman" w:hAnsi="Times New Roman"/>
          <w:sz w:val="18"/>
          <w:szCs w:val="18"/>
          <w:color w:val="auto"/>
        </w:rPr>
        <w:t>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79" w:lineRule="exact"/>
        <w:rPr>
          <w:sz w:val="20"/>
          <w:szCs w:val="20"/>
          <w:color w:val="auto"/>
        </w:rPr>
      </w:pPr>
    </w:p>
    <w:p>
      <w:pPr>
        <w:jc w:val="both"/>
        <w:ind w:right="340" w:firstLine="449"/>
        <w:spacing w:after="0" w:line="280" w:lineRule="auto"/>
        <w:rPr>
          <w:sz w:val="20"/>
          <w:szCs w:val="20"/>
          <w:color w:val="auto"/>
        </w:rPr>
      </w:pPr>
      <w:r>
        <w:rPr>
          <w:rFonts w:ascii="Times New Roman" w:cs="Times New Roman" w:eastAsia="Times New Roman" w:hAnsi="Times New Roman"/>
          <w:sz w:val="17"/>
          <w:szCs w:val="17"/>
          <w:color w:val="auto"/>
        </w:rPr>
        <w:t>Gross medical claims incurred excludes the effects of medical claims and associated costs ceded to reinsurers, and therefore should not be used as a substitute for net claims incurred, total expenses or any other measure presented in accordance with GAAP. See “Clover’s Management’s Discussion and Analysis of Financial Condition and Results of Operations—Components of Our Results of Operations—Net Medical Claims Incurred.”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14" w:lineRule="exact"/>
        <w:rPr>
          <w:sz w:val="20"/>
          <w:szCs w:val="20"/>
          <w:color w:val="auto"/>
        </w:rPr>
      </w:pPr>
    </w:p>
    <w:p>
      <w:pPr>
        <w:ind w:right="220" w:firstLine="449"/>
        <w:spacing w:after="0" w:line="270" w:lineRule="auto"/>
        <w:rPr>
          <w:sz w:val="20"/>
          <w:szCs w:val="20"/>
          <w:color w:val="auto"/>
        </w:rPr>
      </w:pPr>
      <w:r>
        <w:rPr>
          <w:rFonts w:ascii="Times New Roman" w:cs="Times New Roman" w:eastAsia="Times New Roman" w:hAnsi="Times New Roman"/>
          <w:sz w:val="18"/>
          <w:szCs w:val="18"/>
          <w:color w:val="auto"/>
        </w:rPr>
        <w:t>Net medical claims incurred consists of the costs of claims, including the costs incurred for claims net of amounts ceded to reinsurers as presented on our consolidated statement of operations in accordance with GAAP.</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Care Ratio, Gross and Net</w:t>
      </w:r>
    </w:p>
    <w:p>
      <w:pPr>
        <w:spacing w:after="0" w:line="11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calculate our medical care ratio by dividing total net medical claim expenses incurred by premiums earned, in each case on a gross or net basis, as the case may be, in a given period. We believe our MCR is an indicator of our gross profit for our MA plans and the ability of our Clover Assistant platform to capture and analyze data over time to generate actionable insights for returning members to improve care and reduce medical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EBITDA Margin</w:t>
      </w:r>
    </w:p>
    <w:p>
      <w:pPr>
        <w:spacing w:after="0" w:line="114" w:lineRule="exact"/>
        <w:rPr>
          <w:sz w:val="20"/>
          <w:szCs w:val="20"/>
          <w:color w:val="auto"/>
        </w:rPr>
      </w:pPr>
    </w:p>
    <w:p>
      <w:pPr>
        <w:ind w:right="100" w:firstLine="449"/>
        <w:spacing w:after="0" w:line="248"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loss before interest expense, amortization of notes and securities discounts, provision for income taxes, depreciation and amortization expense, change in fair value of warrants expense, loss (gain) on derivative, restructuring cost, stock-based compensation expense and health insurance industry fee. Adjusted EBITDA Margin is a non-GAAP financial measure defined by us as Adjusted EBITDA divided by premiums earned, gross. Adjusted EBITDA and Adjusted EBITDA Margin are key measures used by our management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and EBITDA Margin provides useful measures for period-to-period comparisons of our business. Accordingly, we believe that Adjusted EBITDA and Adjusted EBITDA Margin provide useful information in understanding and evaluating our operating results in the same manner as our management and our board of directors. Adjusted EBITDA and Adjusted EBITDA Margin should not be considered in isolation of, or as an alternative to, measures prepared in accordance with GAAP. There are a number of limitations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00"/>
          </w:cols>
          <w:pgMar w:left="320" w:top="450" w:right="3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related to the use of these non-GAAP financial measures rather than net loss, which is the most directly comparable financial measure calculated in accordance with GAAP. See the section entitled “Selected Historical Financial Information of Clover—Non-GAAP Financial Measures” for information regarding the limitations of using Adjusted EBITDA and Adjusted EBITDA Margin as financial measures and for a reconciliation of Adjusted EBITDA to net loss, the most directly comparable financial measure calculated in accordance with GAAP.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14" w:lineRule="exact"/>
        <w:rPr>
          <w:sz w:val="20"/>
          <w:szCs w:val="20"/>
          <w:color w:val="auto"/>
        </w:rPr>
      </w:pPr>
    </w:p>
    <w:p>
      <w:pPr>
        <w:ind w:right="220" w:firstLine="449"/>
        <w:spacing w:after="0" w:line="253"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Health Care Reform Law.</w:t>
      </w:r>
    </w:p>
    <w:p>
      <w:pPr>
        <w:spacing w:after="0" w:line="185"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the CMS.</w:t>
      </w:r>
    </w:p>
    <w:p>
      <w:pPr>
        <w:spacing w:after="0" w:line="18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 is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87"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While we have not entered into or maintained reinsurance contracts since the third quarter of 2018, during 2018, we maintained a quota share reinsurance program (“Quota Share Reinsurance Program”) under which we transferred, or “ceded,” 25% of our premiums earned to our reinsurer. In exchange, the reinsurer paid us a “ceding commission” of 75% for every dollar ceded, in addition to funding all of the corresponding claims, or 25% of all our claims for our MA and MAPD plans, with a limit of $10 million in excess of the ceded net written premium, less: (i) ceding commission and federal excise tax thereon; (ii) profit commission, if any; (iii) brokerage; and (iv) allocated fees incurred in establishing a trust account.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4"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Other income primarily consists of income earned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 Other income also includes income generated from ceded allowances under reinsurance agreements, which are amounts paid by the reinsurers to help cover certain expenses incurred by the ceding party in relation to the ceded contracts. In addition, we generate an immaterial amount of other income from rental agreements with third parties for subleases of our leased office facilities.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450"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11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Net investment income represents interest earned from fixed-maturity securities, short-term securities and other investments, the gains or losses on sales and maturities of investments. Our cash and invested assets primarily 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1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Net medical claims incurred are our medical expenses and consists of the costs of claims, including the costs incurred for claims net of amounts ceded to reinsurers. We enter into reinsurance contracts to limit our exposure to potential losses as well as to provide additional capacity for growth. These expenses generally vary based on the total number of members and their utilization rate of our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14" w:lineRule="exact"/>
        <w:rPr>
          <w:sz w:val="20"/>
          <w:szCs w:val="20"/>
          <w:color w:val="auto"/>
        </w:rPr>
      </w:pPr>
    </w:p>
    <w:p>
      <w:pPr>
        <w:ind w:right="360" w:firstLine="449"/>
        <w:spacing w:after="0" w:line="270" w:lineRule="auto"/>
        <w:rPr>
          <w:sz w:val="20"/>
          <w:szCs w:val="20"/>
          <w:color w:val="auto"/>
        </w:rPr>
      </w:pPr>
      <w:r>
        <w:rPr>
          <w:rFonts w:ascii="Times New Roman" w:cs="Times New Roman" w:eastAsia="Times New Roman" w:hAnsi="Times New Roman"/>
          <w:sz w:val="18"/>
          <w:szCs w:val="18"/>
          <w:color w:val="auto"/>
        </w:rPr>
        <w:t>Salaries and benefits consist of salaries, sales commissions, stock-based compensation expense, employee benefit costs, severance costs and payroll taxes for employees.</w:t>
      </w:r>
    </w:p>
    <w:p>
      <w:pPr>
        <w:spacing w:after="0" w:line="169"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Following the Closing, we expect to incur significant additional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14" w:lineRule="exact"/>
        <w:rPr>
          <w:sz w:val="20"/>
          <w:szCs w:val="20"/>
          <w:color w:val="auto"/>
        </w:rPr>
      </w:pPr>
    </w:p>
    <w:p>
      <w:pPr>
        <w:ind w:right="40" w:firstLine="449"/>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 consists of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membership-driven administrative costs, lease and occupancy costs, statutory and other fees and other overhead costs. Membership-driven administrative costs consist of enrollment-related costs, broker commissions and call center expenses.</w:t>
      </w:r>
    </w:p>
    <w:p>
      <w:pPr>
        <w:spacing w:after="0" w:line="168"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are subject to the Health Care Reform Law, which established insurance industry assessments, including an annual health insurance industry fee. The annual health insurance industry fee was assessed in 2018 and suspended in 2019. In 2020, the fee will again be assessed. Under current law, the fee has been permanently repealed beginning in 2021.</w:t>
      </w:r>
    </w:p>
    <w:p>
      <w:pPr>
        <w:spacing w:after="0" w:line="179" w:lineRule="exact"/>
        <w:rPr>
          <w:sz w:val="20"/>
          <w:szCs w:val="20"/>
          <w:color w:val="auto"/>
        </w:rPr>
      </w:pPr>
    </w:p>
    <w:p>
      <w:pPr>
        <w:ind w:right="440" w:firstLine="449"/>
        <w:spacing w:after="0" w:line="273" w:lineRule="auto"/>
        <w:rPr>
          <w:sz w:val="20"/>
          <w:szCs w:val="20"/>
          <w:color w:val="auto"/>
        </w:rPr>
      </w:pPr>
      <w:r>
        <w:rPr>
          <w:rFonts w:ascii="Times New Roman" w:cs="Times New Roman" w:eastAsia="Times New Roman" w:hAnsi="Times New Roman"/>
          <w:sz w:val="17"/>
          <w:szCs w:val="17"/>
          <w:color w:val="auto"/>
        </w:rPr>
        <w:t>Following the Closing, we expect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Deficiency Reserve Expense (Benefit)</w:t>
      </w:r>
    </w:p>
    <w:p>
      <w:pPr>
        <w:spacing w:after="0" w:line="114"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Premium deficiency reserves are established to the extent that the sum of expected future costs, claim adjustment expenses, and maintenance costs exceeds related future premiums under contracts without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450"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consideration of investment income. We assess the profitability of our contracts with CMS to identify those contracts where current operating results or forecasts indicate probable future losses. Premium deficiency reserve expense (benefit) is recognized in the period in which the losses are identified. We may identify and recognize additional premium deficiency reserves depending on the rates that are paid to us by CMS based on our actuarial bids and the utilization of healthcare services by our members.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14" w:lineRule="exact"/>
        <w:rPr>
          <w:sz w:val="20"/>
          <w:szCs w:val="20"/>
          <w:color w:val="auto"/>
        </w:rPr>
      </w:pPr>
    </w:p>
    <w:p>
      <w:pPr>
        <w:jc w:val="both"/>
        <w:ind w:right="20" w:firstLine="449"/>
        <w:spacing w:after="0" w:line="270" w:lineRule="auto"/>
        <w:rPr>
          <w:sz w:val="20"/>
          <w:szCs w:val="20"/>
          <w:color w:val="auto"/>
        </w:rPr>
      </w:pPr>
      <w:r>
        <w:rPr>
          <w:rFonts w:ascii="Times New Roman" w:cs="Times New Roman" w:eastAsia="Times New Roman" w:hAnsi="Times New Roman"/>
          <w:sz w:val="18"/>
          <w:szCs w:val="18"/>
          <w:color w:val="auto"/>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4"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Other expense consists primarily of debt issuance costs incurred in connection with the issuance of an aggregate of $373.8 million initial principal amount of convertible securities (“Convertible Securities”) in February, May and August 2019.</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Expense</w:t>
      </w:r>
    </w:p>
    <w:p>
      <w:pPr>
        <w:spacing w:after="0" w:line="11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Change in fair value of warrants expense is related to a mark to market adjustment associated with warrants to purchase our capital stock. In connection with the Closing, the warrants will automatically be converted into shares of Class B common stock, and we will no longer be required to re-measure the value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4" w:lineRule="exact"/>
        <w:rPr>
          <w:sz w:val="20"/>
          <w:szCs w:val="20"/>
          <w:color w:val="auto"/>
        </w:rPr>
      </w:pPr>
    </w:p>
    <w:p>
      <w:pPr>
        <w:ind w:right="100" w:firstLine="449"/>
        <w:spacing w:after="0" w:line="270" w:lineRule="auto"/>
        <w:rPr>
          <w:sz w:val="20"/>
          <w:szCs w:val="20"/>
          <w:color w:val="auto"/>
        </w:rPr>
      </w:pPr>
      <w:r>
        <w:rPr>
          <w:rFonts w:ascii="Times New Roman" w:cs="Times New Roman" w:eastAsia="Times New Roman" w:hAnsi="Times New Roman"/>
          <w:sz w:val="18"/>
          <w:szCs w:val="18"/>
          <w:color w:val="auto"/>
        </w:rPr>
        <w:t>Interest expense consists primarily of interest expense associated with our outstanding Convertible Securities and non-convertible notes under our term loan facility (“Term Loan Notes”).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Notes and Securities Discounts</w:t>
      </w:r>
    </w:p>
    <w:p>
      <w:pPr>
        <w:spacing w:after="0" w:line="114"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Amortization of notes and securities discounts consists of amortization of the debt discount associated with the Convertible Securities, warrants and debt issuance costs associated with the Term Loan Notes.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on Derivative</w:t>
      </w:r>
    </w:p>
    <w:p>
      <w:pPr>
        <w:spacing w:after="0" w:line="114"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Loss on derivative consists of loss on embedded derivatives contained in the Convertible Securities. The embedded derivatives relate to the conversion features of the Convertible Securities, which reflect a premium above the principal and accrued interest thereon.</w:t>
      </w:r>
    </w:p>
    <w:p>
      <w:pPr>
        <w:spacing w:after="0" w:line="169"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We record a gain or loss on derivative based on changes in fair value of the embedded derivatives contained in the Convertible Securities. The carrying amounts of these embedded derivatives are recorded at fair value at issuance, marked-to-market as of each balance sheet date, and changes in fair value are reported as either income or expense during the period.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order to estimate the fair value attributable to these features, we estimate the value of the Convertible Securities (i) with the embedded derivatives and</w:t>
      </w:r>
    </w:p>
    <w:p>
      <w:pPr>
        <w:spacing w:after="0" w:line="34" w:lineRule="exact"/>
        <w:rPr>
          <w:sz w:val="20"/>
          <w:szCs w:val="20"/>
          <w:color w:val="auto"/>
        </w:rPr>
      </w:pPr>
    </w:p>
    <w:p>
      <w:pPr>
        <w:ind w:firstLine="6"/>
        <w:spacing w:after="0" w:line="246" w:lineRule="auto"/>
        <w:tabs>
          <w:tab w:leader="none" w:pos="2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embedded derivatives. The incremental difference between the two values is then used to estimate the fair value of the embedded derivatives. A probability-weighted present value of expected future returns model is then used in order to estimate the value of the conversion features under various probable scenarios. The assumptions used to arrive at the estimated fair value generally include the stock price, strike price, volatility, risk-free rate and time to maturity, among others.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450" w:right="3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2020</w:t>
      </w:r>
    </w:p>
    <w:p>
      <w:pPr>
        <w:spacing w:after="0" w:line="114"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consolidated results of operations for the periods presented and as a percentage of our total revenues for those periods. The period-to-period comparison of results is not necessarily indicative of results for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39"/>
        </w:trPr>
        <w:tc>
          <w:tcPr>
            <w:tcW w:w="6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3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39"/>
        </w:trPr>
        <w:tc>
          <w:tcPr>
            <w:tcW w:w="6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3"/>
          </w:tcPr>
          <w:p>
            <w:pPr>
              <w:jc w:val="right"/>
              <w:ind w:right="914"/>
              <w:spacing w:after="0" w:line="13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05"/>
        </w:trPr>
        <w:tc>
          <w:tcPr>
            <w:tcW w:w="64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6420" w:type="dxa"/>
            <w:vAlign w:val="bottom"/>
          </w:tcPr>
          <w:p>
            <w:pPr>
              <w:ind w:left="360"/>
              <w:spacing w:after="0" w:line="193" w:lineRule="exact"/>
              <w:rPr>
                <w:sz w:val="20"/>
                <w:szCs w:val="20"/>
                <w:color w:val="auto"/>
              </w:rPr>
            </w:pPr>
            <w:r>
              <w:rPr>
                <w:rFonts w:ascii="Times New Roman" w:cs="Times New Roman" w:eastAsia="Times New Roman" w:hAnsi="Times New Roman"/>
                <w:sz w:val="18"/>
                <w:szCs w:val="18"/>
                <w:color w:val="auto"/>
              </w:rPr>
              <w:t>Premiums earned, net (Net of ceded premiums of $701 and $383 for the nine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month period ended September 30, 2019 and September 30, 2020,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343,549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501,100</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$ 157,551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2"/>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3,329</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3,034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12"/>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1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3,147</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2,226</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(921)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6"/>
        </w:trPr>
        <w:tc>
          <w:tcPr>
            <w:tcW w:w="6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346,991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506,655</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159,664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claims incurred and claims adjustment expense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337,441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410,540</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73,099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r>
              <w:rPr>
                <w:rFonts w:ascii="Times New Roman" w:cs="Times New Roman" w:eastAsia="Times New Roman" w:hAnsi="Times New Roman"/>
                <w:sz w:val="14"/>
                <w:szCs w:val="14"/>
                <w:color w:val="auto"/>
              </w:rPr>
              <w:t>(1)</w:t>
            </w:r>
          </w:p>
        </w:tc>
        <w:tc>
          <w:tcPr>
            <w:tcW w:w="1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73,825</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57,339</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(16,486)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65,596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79,798</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14,202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 expense</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(7,203)</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(16,357)</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(9,154)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2"/>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w:t>
            </w: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(279)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6"/>
        </w:trPr>
        <w:tc>
          <w:tcPr>
            <w:tcW w:w="6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470,372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531,733</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61,361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(123,381)</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(25,078)</w:t>
            </w:r>
          </w:p>
        </w:tc>
        <w:tc>
          <w:tcPr>
            <w:tcW w:w="300" w:type="dxa"/>
            <w:vAlign w:val="bottom"/>
          </w:tcPr>
          <w:p>
            <w:pPr>
              <w:spacing w:after="0"/>
              <w:rPr>
                <w:sz w:val="19"/>
                <w:szCs w:val="19"/>
                <w:color w:val="auto"/>
              </w:rPr>
            </w:pP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98,303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2"/>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31,903</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29,978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1,557</w:t>
            </w:r>
          </w:p>
        </w:tc>
      </w:tr>
      <w:tr>
        <w:trPr>
          <w:trHeight w:val="212"/>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15,637</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25,560</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9,923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14,935</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4,894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derivative</w:t>
            </w:r>
          </w:p>
        </w:tc>
        <w:tc>
          <w:tcPr>
            <w:tcW w:w="1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134,082</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(87,475)</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(221,557)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6"/>
        </w:trPr>
        <w:tc>
          <w:tcPr>
            <w:tcW w:w="6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(285,066)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(10,001)</w:t>
            </w: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$ 275,065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6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89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56" w:lineRule="exact"/>
        <w:rPr>
          <w:sz w:val="20"/>
          <w:szCs w:val="20"/>
          <w:color w:val="auto"/>
        </w:rPr>
      </w:pPr>
    </w:p>
    <w:p>
      <w:pPr>
        <w:ind w:right="840" w:firstLine="6"/>
        <w:spacing w:after="0" w:line="407" w:lineRule="auto"/>
        <w:tabs>
          <w:tab w:leader="none" w:pos="44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expenses of $2.6 million and $4.9 million are included in salaries and benefits for the nine months ended September 30, 2019 and 2020, respectively. N/M = Not Meaningful</w:t>
      </w: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450" w:right="3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32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9"/>
        </w:trPr>
        <w:tc>
          <w:tcPr>
            <w:tcW w:w="80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5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Revenues</w:t>
            </w:r>
          </w:p>
        </w:tc>
        <w:tc>
          <w:tcPr>
            <w:tcW w:w="6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360"/>
              <w:spacing w:after="0" w:line="193" w:lineRule="exact"/>
              <w:rPr>
                <w:sz w:val="20"/>
                <w:szCs w:val="20"/>
                <w:color w:val="auto"/>
              </w:rPr>
            </w:pPr>
            <w:r>
              <w:rPr>
                <w:rFonts w:ascii="Times New Roman" w:cs="Times New Roman" w:eastAsia="Times New Roman" w:hAnsi="Times New Roman"/>
                <w:sz w:val="18"/>
                <w:szCs w:val="18"/>
                <w:color w:val="auto"/>
              </w:rPr>
              <w:t>Premiums earned, net (Net of ceded premiums of $701 and $383 for the nine month period</w:t>
            </w:r>
          </w:p>
        </w:tc>
        <w:tc>
          <w:tcPr>
            <w:tcW w:w="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ended September 30, 2019 and September 30, 2020, respectively)</w:t>
            </w:r>
          </w:p>
        </w:tc>
        <w:tc>
          <w:tcPr>
            <w:tcW w:w="226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99%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260" w:type="dxa"/>
            <w:vAlign w:val="bottom"/>
            <w:gridSpan w:val="2"/>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226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260" w:type="dxa"/>
            <w:vAlign w:val="bottom"/>
            <w:gridSpan w:val="2"/>
            <w:shd w:val="clear" w:color="auto" w:fill="CCEEFF"/>
          </w:tcPr>
          <w:p>
            <w:pPr>
              <w:jc w:val="right"/>
              <w:ind w:right="158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68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260" w:type="dxa"/>
            <w:vAlign w:val="bottom"/>
            <w:gridSpan w:val="2"/>
            <w:shd w:val="clear" w:color="auto" w:fill="CCEEFF"/>
          </w:tcPr>
          <w:p>
            <w:pPr>
              <w:jc w:val="right"/>
              <w:ind w:right="1580"/>
              <w:spacing w:after="0"/>
              <w:rPr>
                <w:sz w:val="20"/>
                <w:szCs w:val="20"/>
                <w:color w:val="auto"/>
              </w:rPr>
            </w:pPr>
            <w:r>
              <w:rPr>
                <w:rFonts w:ascii="Times New Roman" w:cs="Times New Roman" w:eastAsia="Times New Roman" w:hAnsi="Times New Roman"/>
                <w:sz w:val="18"/>
                <w:szCs w:val="18"/>
                <w:color w:val="auto"/>
              </w:rPr>
              <w:t>97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226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60" w:type="dxa"/>
            <w:vAlign w:val="bottom"/>
            <w:gridSpan w:val="2"/>
            <w:shd w:val="clear" w:color="auto" w:fill="CCEEFF"/>
          </w:tcPr>
          <w:p>
            <w:pPr>
              <w:jc w:val="right"/>
              <w:ind w:right="1580"/>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 expense (benefit)</w:t>
            </w:r>
          </w:p>
        </w:tc>
        <w:tc>
          <w:tcPr>
            <w:tcW w:w="226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60" w:type="dxa"/>
            <w:vAlign w:val="bottom"/>
            <w:gridSpan w:val="2"/>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2260" w:type="dxa"/>
            <w:vAlign w:val="bottom"/>
            <w:gridSpan w:val="2"/>
            <w:shd w:val="clear" w:color="auto" w:fill="CCEEFF"/>
          </w:tcPr>
          <w:p>
            <w:pPr>
              <w:jc w:val="right"/>
              <w:ind w:right="1580"/>
              <w:spacing w:after="0"/>
              <w:rPr>
                <w:sz w:val="20"/>
                <w:szCs w:val="20"/>
                <w:color w:val="auto"/>
              </w:rPr>
            </w:pPr>
            <w:r>
              <w:rPr>
                <w:rFonts w:ascii="Times New Roman" w:cs="Times New Roman" w:eastAsia="Times New Roman" w:hAnsi="Times New Roman"/>
                <w:sz w:val="18"/>
                <w:szCs w:val="18"/>
                <w:color w:val="auto"/>
              </w:rPr>
              <w:t>135</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shd w:val="clear" w:color="auto" w:fill="000000"/>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580" w:type="dxa"/>
            <w:vAlign w:val="bottom"/>
            <w:vMerge w:val="continue"/>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 expense</w:t>
            </w:r>
          </w:p>
        </w:tc>
        <w:tc>
          <w:tcPr>
            <w:tcW w:w="2260" w:type="dxa"/>
            <w:vAlign w:val="bottom"/>
            <w:gridSpan w:val="2"/>
            <w:shd w:val="clear" w:color="auto" w:fill="CCEEFF"/>
          </w:tcPr>
          <w:p>
            <w:pPr>
              <w:jc w:val="right"/>
              <w:ind w:right="15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6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2260" w:type="dxa"/>
            <w:vAlign w:val="bottom"/>
            <w:gridSpan w:val="2"/>
            <w:shd w:val="clear" w:color="auto" w:fill="CCEEFF"/>
          </w:tcPr>
          <w:p>
            <w:pPr>
              <w:jc w:val="right"/>
              <w:ind w:right="158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derivative</w:t>
            </w:r>
          </w:p>
        </w:tc>
        <w:tc>
          <w:tcPr>
            <w:tcW w:w="226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gridSpan w:val="2"/>
            <w:shd w:val="clear" w:color="auto" w:fill="CCEEFF"/>
          </w:tcPr>
          <w:p>
            <w:pPr>
              <w:jc w:val="right"/>
              <w:ind w:right="1380"/>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14"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Premiums earned, net increased $157.6 million, or 46%, to $501.1 million for the nine months ended September 30, 2020, compared to the nine months ended September 30, 2019. The increase was primarily due to membership growth from 42,087 at September 30, 2019, to 57,503 at September 30, 2020. Premiums earned, net for the nine months ended September 30, 2019 and 2020, includes the impact of $1.7 million and $5.1 million, respectively, of additional revenue from finalized risk adjustment payments related to 2018 and 2019 members,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Other income increased $3.0 million to $3.3 million for the nine months ended September 30, 2020, compared to the nine months ended September 30,</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The increase was primarily due to higher rental income from subleases of $2.2 million and other income of $0.8 million.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114" w:lineRule="exact"/>
        <w:rPr>
          <w:sz w:val="20"/>
          <w:szCs w:val="20"/>
          <w:color w:val="auto"/>
        </w:rPr>
      </w:pPr>
    </w:p>
    <w:p>
      <w:pPr>
        <w:jc w:val="both"/>
        <w:ind w:right="320" w:firstLine="449"/>
        <w:spacing w:after="0" w:line="253" w:lineRule="auto"/>
        <w:rPr>
          <w:sz w:val="20"/>
          <w:szCs w:val="20"/>
          <w:color w:val="auto"/>
        </w:rPr>
      </w:pPr>
      <w:r>
        <w:rPr>
          <w:rFonts w:ascii="Times New Roman" w:cs="Times New Roman" w:eastAsia="Times New Roman" w:hAnsi="Times New Roman"/>
          <w:sz w:val="18"/>
          <w:szCs w:val="18"/>
          <w:color w:val="auto"/>
        </w:rPr>
        <w:t>Investment income, net decreased $0.9 million, or 29% to $2.2 million for the nine months ended September 30, 2020, compared to the nine months ended September 30, 2019. The decrease was primarily due to a lower average balance of short-term investments and investment securities during the nine months ended September 30, 2020, as well as decreases in short-term interest rates which declined over the first nine months of 2020. Investment balances were $235.4 million and $126.7 million as of September 30, 2019 and 2020,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450"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14" w:lineRule="exact"/>
        <w:rPr>
          <w:sz w:val="20"/>
          <w:szCs w:val="20"/>
          <w:color w:val="auto"/>
        </w:rPr>
      </w:pPr>
    </w:p>
    <w:p>
      <w:pPr>
        <w:jc w:val="both"/>
        <w:ind w:right="320" w:firstLine="449"/>
        <w:spacing w:after="0" w:line="258" w:lineRule="auto"/>
        <w:rPr>
          <w:sz w:val="20"/>
          <w:szCs w:val="20"/>
          <w:color w:val="auto"/>
        </w:rPr>
      </w:pPr>
      <w:r>
        <w:rPr>
          <w:rFonts w:ascii="Times New Roman" w:cs="Times New Roman" w:eastAsia="Times New Roman" w:hAnsi="Times New Roman"/>
          <w:sz w:val="18"/>
          <w:szCs w:val="18"/>
          <w:color w:val="auto"/>
        </w:rPr>
        <w:t>Net medical claims incurred increased $73.1 million, or 22% to $410.5 million for the nine months ended September 30, 2020, compared to the nine months ended September 30, 2019. The increase was primarily due to membership growth from 42,087 at September 30, 2019, to 57,503 at September 30, 2020, partially offset by reduced health care utilization in connection with the COVID-19 pandemic.</w:t>
      </w:r>
    </w:p>
    <w:p>
      <w:pPr>
        <w:spacing w:after="0" w:line="179" w:lineRule="exact"/>
        <w:rPr>
          <w:sz w:val="20"/>
          <w:szCs w:val="20"/>
          <w:color w:val="auto"/>
        </w:rPr>
      </w:pPr>
    </w:p>
    <w:p>
      <w:pPr>
        <w:ind w:right="280" w:firstLine="449"/>
        <w:spacing w:after="0" w:line="253" w:lineRule="auto"/>
        <w:rPr>
          <w:sz w:val="20"/>
          <w:szCs w:val="20"/>
          <w:color w:val="auto"/>
        </w:rPr>
      </w:pPr>
      <w:r>
        <w:rPr>
          <w:rFonts w:ascii="Times New Roman" w:cs="Times New Roman" w:eastAsia="Times New Roman" w:hAnsi="Times New Roman"/>
          <w:sz w:val="18"/>
          <w:szCs w:val="18"/>
          <w:color w:val="auto"/>
        </w:rPr>
        <w:t>Beginning in late March and early April 2020, COVID-19 caused an increase in our inpatient hospital costs as members started to experience admissions caused by the virus. The increase in hospital costs was ultimately more than fully offset by a reduction in outpatient and office-based utilization during the second and third quarters. Through September 30, 2020, we experienced a reduction in utilization across all settings, including inpatient hospital admissions compared to the nine month period ended September 30, 2019.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14" w:lineRule="exact"/>
        <w:rPr>
          <w:sz w:val="20"/>
          <w:szCs w:val="20"/>
          <w:color w:val="auto"/>
        </w:rPr>
      </w:pPr>
    </w:p>
    <w:p>
      <w:pPr>
        <w:jc w:val="both"/>
        <w:ind w:right="300" w:firstLine="449"/>
        <w:spacing w:after="0" w:line="253" w:lineRule="auto"/>
        <w:rPr>
          <w:sz w:val="20"/>
          <w:szCs w:val="20"/>
          <w:color w:val="auto"/>
        </w:rPr>
      </w:pPr>
      <w:r>
        <w:rPr>
          <w:rFonts w:ascii="Times New Roman" w:cs="Times New Roman" w:eastAsia="Times New Roman" w:hAnsi="Times New Roman"/>
          <w:sz w:val="18"/>
          <w:szCs w:val="18"/>
          <w:color w:val="auto"/>
        </w:rPr>
        <w:t>Salaries and benefits decreased $16.5 million, or 22%, to $57.3 million for the nine months period ended September 30, 2020, compared to the nine months period ended September 30, 2019. The decrease was primarily driven by a 28% reduction in full-time employees between September 30, 2019 and September 30, 2020, resulting in lower salaries and payroll taxes of $15.7 million, bonus payments of $1.6 million, and severance of $1.3 million, partially offset by increases in stock-based compensation expense of $2.4 million and employee commissions of $0.3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expenses increased $14.2 million, or 22% to $79.8 million for the nine months period ended September 30, 2020, compared to the nine months period ended September 30, 2019. The increase was primarily driven by increased legal and professional expenses of $11.7 million, increased commissions paid to outside brokers of $6.4 million and the presence of the health industry fee expense of $6.0 million, which was not applicable in 2019, partially offset by lower expenses associated with administrative costs of $4.5 million, consulting fees of $2.1 million, payroll fees of $1.7 million, implementation fees of $1.3 million, and software application expense of $0.5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Deficiency Reserve Expense (Benefit)</w:t>
      </w:r>
    </w:p>
    <w:p>
      <w:pPr>
        <w:spacing w:after="0" w:line="114"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Premium deficiency reserve expense (benefit) amortization increased $9.2 million, or 127% to $16.4 million for the nine months ended September 30, 2020, compared to the nine months ended September 30, 2019. The increase was primarily due to changes in actual and anticipated experience in management’s assessment of the profitability of contracts.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Expense</w:t>
      </w:r>
    </w:p>
    <w:p>
      <w:pPr>
        <w:spacing w:after="0" w:line="114"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Change in fair value of warrants expense increased by $30.0 million, for the nine months ended September 30, 2020, compared to the nine months ended September 30, 2019. The increase was primarily due to a larger increase in the valuation of warrants in 2020 as compared to the valuation of warrants in 2019, driven by the change in beginning stock price, the estimated holding period, the volatility in the stock price and a change in the risk-free interest rate period over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Interest expense increased $9.9 million, or 63%, for the nine months period ended September 30, 2020, primarily related to stated interest associated with convertible securities issued during 2019, partially offset by lower stated interest on the Term Loan Notes resulting from the decrease in principal balance. Interest expense associated with convertible securities and non-convertible securities increased $11.1 million and decreased $1.2 million for the nine months period ended September 30, 2020,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450"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Notes and Securities Discounts</w:t>
      </w:r>
    </w:p>
    <w:p>
      <w:pPr>
        <w:spacing w:after="0" w:line="114" w:lineRule="exact"/>
        <w:rPr>
          <w:sz w:val="20"/>
          <w:szCs w:val="20"/>
          <w:color w:val="auto"/>
        </w:rPr>
      </w:pPr>
    </w:p>
    <w:p>
      <w:pPr>
        <w:ind w:right="140" w:firstLine="449"/>
        <w:spacing w:after="0" w:line="270" w:lineRule="auto"/>
        <w:rPr>
          <w:sz w:val="20"/>
          <w:szCs w:val="20"/>
          <w:color w:val="auto"/>
        </w:rPr>
      </w:pPr>
      <w:r>
        <w:rPr>
          <w:rFonts w:ascii="Times New Roman" w:cs="Times New Roman" w:eastAsia="Times New Roman" w:hAnsi="Times New Roman"/>
          <w:sz w:val="18"/>
          <w:szCs w:val="18"/>
          <w:color w:val="auto"/>
        </w:rPr>
        <w:t>Amortization of notes and securities discounts increased $4.9 million for the nine months period ended September 30, 2020. The increase relates to the amortization of debt discounts associated with the convertible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on Derivative</w:t>
      </w:r>
    </w:p>
    <w:p>
      <w:pPr>
        <w:spacing w:after="0" w:line="114" w:lineRule="exact"/>
        <w:rPr>
          <w:sz w:val="20"/>
          <w:szCs w:val="20"/>
          <w:color w:val="auto"/>
        </w:rPr>
      </w:pPr>
    </w:p>
    <w:p>
      <w:pPr>
        <w:ind w:right="80" w:firstLine="449"/>
        <w:spacing w:after="0" w:line="270" w:lineRule="auto"/>
        <w:rPr>
          <w:sz w:val="20"/>
          <w:szCs w:val="20"/>
          <w:color w:val="auto"/>
        </w:rPr>
      </w:pPr>
      <w:r>
        <w:rPr>
          <w:rFonts w:ascii="Times New Roman" w:cs="Times New Roman" w:eastAsia="Times New Roman" w:hAnsi="Times New Roman"/>
          <w:sz w:val="18"/>
          <w:szCs w:val="18"/>
          <w:color w:val="auto"/>
        </w:rPr>
        <w:t>We incurred a gain on derivative of $87.5 million for the nine months period ended September 30, 2020. The gain relates to the decrease in fair value of embedded derivatives associated with the convertible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14"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The following tables summarize our consolidated results of operations for the periods presented and as a percentage of our total revenues for those periods. The period-to-period comparison of results is not necessarily indicative of results for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39"/>
        </w:trPr>
        <w:tc>
          <w:tcPr>
            <w:tcW w:w="6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56"/>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3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39"/>
        </w:trPr>
        <w:tc>
          <w:tcPr>
            <w:tcW w:w="6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3"/>
          </w:tcPr>
          <w:p>
            <w:pPr>
              <w:jc w:val="right"/>
              <w:ind w:right="494"/>
              <w:spacing w:after="0" w:line="13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 earned, net (Net of ceded premiums: 2018: $67,403; 2019: $832)</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$ 286,515</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$ 456,926</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$ 170,411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r>
      <w:tr>
        <w:trPr>
          <w:trHeight w:val="21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3,052</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801</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(2,251)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212"/>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8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4,539</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3,479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r>
      <w:tr>
        <w:trPr>
          <w:trHeight w:val="26"/>
        </w:trPr>
        <w:tc>
          <w:tcPr>
            <w:tcW w:w="6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290,627</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462,266</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171,639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8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279,050</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450,645</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171,595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r>
      <w:tr>
        <w:trPr>
          <w:trHeight w:val="212"/>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r>
              <w:rPr>
                <w:rFonts w:ascii="Times New Roman" w:cs="Times New Roman" w:eastAsia="Times New Roman" w:hAnsi="Times New Roman"/>
                <w:sz w:val="14"/>
                <w:szCs w:val="14"/>
                <w:color w:val="auto"/>
              </w:rPr>
              <w:t>(1)</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85,117</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91,626</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6,509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103,040</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94,757</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(8,283)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2"/>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 expense</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9,605</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7,523</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(2,082)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551</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r>
      <w:tr>
        <w:trPr>
          <w:trHeight w:val="218"/>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8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363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r>
      <w:tr>
        <w:trPr>
          <w:trHeight w:val="212"/>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477,299</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645,465</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168,166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r>
      <w:tr>
        <w:trPr>
          <w:trHeight w:val="22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(183,199)</w:t>
            </w:r>
          </w:p>
        </w:tc>
        <w:tc>
          <w:tcPr>
            <w:tcW w:w="18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3,473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 expense</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8,251</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2,909</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(5,342)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2"/>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6,954</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23,155</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16,201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r>
      <w:tr>
        <w:trPr>
          <w:trHeight w:val="21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15,913</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15,862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r>
      <w:tr>
        <w:trPr>
          <w:trHeight w:val="218"/>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derivative</w:t>
            </w:r>
          </w:p>
        </w:tc>
        <w:tc>
          <w:tcPr>
            <w:tcW w:w="8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138,561</w:t>
            </w:r>
          </w:p>
        </w:tc>
        <w:tc>
          <w:tcPr>
            <w:tcW w:w="18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138,561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r>
      <w:tr>
        <w:trPr>
          <w:trHeight w:val="21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(201,928)</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(363,737)</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$(161,809)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89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56" w:lineRule="exact"/>
        <w:rPr>
          <w:sz w:val="20"/>
          <w:szCs w:val="20"/>
          <w:color w:val="auto"/>
        </w:rPr>
      </w:pPr>
    </w:p>
    <w:p>
      <w:pPr>
        <w:ind w:right="1260" w:firstLine="6"/>
        <w:spacing w:after="0" w:line="407" w:lineRule="auto"/>
        <w:tabs>
          <w:tab w:leader="none" w:pos="44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expenses of $3.6 million and $3.3 million are included in salaries and benefits for the years ended December 31, 2018 and 2019, respectively. N/M = Not Meaningful</w:t>
      </w: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450"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2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39"/>
        </w:trPr>
        <w:tc>
          <w:tcPr>
            <w:tcW w:w="87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1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192"/>
        </w:trPr>
        <w:tc>
          <w:tcPr>
            <w:tcW w:w="87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Revenues</w:t>
            </w: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2"/>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 earned, net (Net of ceded premiums: 2018: $67,403; 2019: $832)</w:t>
            </w:r>
          </w:p>
        </w:tc>
        <w:tc>
          <w:tcPr>
            <w:tcW w:w="17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99%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7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r>
      <w:tr>
        <w:trPr>
          <w:trHeight w:val="212"/>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r>
      <w:tr>
        <w:trPr>
          <w:trHeight w:val="218"/>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52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7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r>
      <w:tr>
        <w:trPr>
          <w:trHeight w:val="212"/>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17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7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r>
      <w:tr>
        <w:trPr>
          <w:trHeight w:val="212"/>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 expense</w:t>
            </w:r>
          </w:p>
        </w:tc>
        <w:tc>
          <w:tcPr>
            <w:tcW w:w="17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12"/>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17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163</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r>
      <w:tr>
        <w:trPr>
          <w:trHeight w:val="2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 expense</w:t>
            </w:r>
          </w:p>
        </w:tc>
        <w:tc>
          <w:tcPr>
            <w:tcW w:w="17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r>
      <w:tr>
        <w:trPr>
          <w:trHeight w:val="212"/>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172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derivative</w:t>
            </w:r>
          </w:p>
        </w:tc>
        <w:tc>
          <w:tcPr>
            <w:tcW w:w="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r>
      <w:tr>
        <w:trPr>
          <w:trHeight w:val="212"/>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(68)%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8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14"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Premiums earned, net increased $170.4 million, or 59%, to $456.9 million for the year ended December 31, 2019, compared to $286.5 million for the year ended December 31, 2018. The increase was primarily due to membership growth from 30,681 at the beginning of 2018 to 42,594 at the end of 2019 and, as explained below, $66.6 million lower ceded premiums due to the expiration of certain reinsurance agreements. Premiums earned, net in the year ended December 31, 2019, includes $1.7 million of additional revenue from finalized risk adjustment payments related to 2018 members. By comparison, our premiums earned, gross, before the impact of premiums ceded to third party reinsurers under reinsurance agreements, increased 29.4% from $353.9 million to $457.8 million for the years ended December 31, 2018, to December 31, 2019, respectively.</w:t>
      </w:r>
    </w:p>
    <w:p>
      <w:pPr>
        <w:spacing w:after="0" w:line="18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During the last three quarters in 2018, we maintained the Quota Share Reinsurance Program over our MA and MAPD plans, which we did not renew for 2019. As a result, for the year ended December 31, 2018, our premiums earned included approximately $67.4 million of ceded amounts attributable mainly to our Quota Share Reinsurance Program. Primarily as a result of our non-renewal of our Quota Share Reinsurance Program for 2019, our ceded premiums decreased by $66.6 million or 98.8%, during the year ended December 31, 2019.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4" w:lineRule="exact"/>
        <w:rPr>
          <w:sz w:val="20"/>
          <w:szCs w:val="20"/>
          <w:color w:val="auto"/>
        </w:rPr>
      </w:pPr>
    </w:p>
    <w:p>
      <w:pPr>
        <w:ind w:right="300" w:firstLine="449"/>
        <w:spacing w:after="0" w:line="258" w:lineRule="auto"/>
        <w:rPr>
          <w:sz w:val="20"/>
          <w:szCs w:val="20"/>
          <w:color w:val="auto"/>
        </w:rPr>
      </w:pPr>
      <w:r>
        <w:rPr>
          <w:rFonts w:ascii="Times New Roman" w:cs="Times New Roman" w:eastAsia="Times New Roman" w:hAnsi="Times New Roman"/>
          <w:sz w:val="18"/>
          <w:szCs w:val="18"/>
          <w:color w:val="auto"/>
        </w:rPr>
        <w:t>Other income decreased $2.3 million, or 74% to $0.8 million for the year ended December 31, 2019, compared to $3.1 million for the year ended December 31, 2018. Other income decreased primarily as a result of the expiration of ceded commission and expense allowances that were associated with certain reinsurance agreements in the amount of $2.4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114" w:lineRule="exact"/>
        <w:rPr>
          <w:sz w:val="20"/>
          <w:szCs w:val="20"/>
          <w:color w:val="auto"/>
        </w:rPr>
      </w:pPr>
    </w:p>
    <w:p>
      <w:pPr>
        <w:ind w:right="320" w:firstLine="449"/>
        <w:spacing w:after="0" w:line="270" w:lineRule="auto"/>
        <w:rPr>
          <w:sz w:val="20"/>
          <w:szCs w:val="20"/>
          <w:color w:val="auto"/>
        </w:rPr>
      </w:pPr>
      <w:r>
        <w:rPr>
          <w:rFonts w:ascii="Times New Roman" w:cs="Times New Roman" w:eastAsia="Times New Roman" w:hAnsi="Times New Roman"/>
          <w:sz w:val="18"/>
          <w:szCs w:val="18"/>
          <w:color w:val="auto"/>
        </w:rPr>
        <w:t>Investment income, net increased $3.5 million, or 328% to $4.5 million for the year ended December 31, 2019 compared to $1.1 million for the year ended December 31, 2018. The increase was primarily due to a</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450"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higher average balance of short-term investments and investment securities during the year ended December 31, 2019, partially offset by decreases in short-term interest rates which declined over the second half of 2019.</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14" w:lineRule="exact"/>
        <w:rPr>
          <w:sz w:val="20"/>
          <w:szCs w:val="20"/>
          <w:color w:val="auto"/>
        </w:rPr>
      </w:pPr>
    </w:p>
    <w:p>
      <w:pPr>
        <w:ind w:right="100" w:firstLine="449"/>
        <w:spacing w:after="0" w:line="280" w:lineRule="auto"/>
        <w:rPr>
          <w:sz w:val="20"/>
          <w:szCs w:val="20"/>
          <w:color w:val="auto"/>
        </w:rPr>
      </w:pPr>
      <w:r>
        <w:rPr>
          <w:rFonts w:ascii="Times New Roman" w:cs="Times New Roman" w:eastAsia="Times New Roman" w:hAnsi="Times New Roman"/>
          <w:sz w:val="17"/>
          <w:szCs w:val="17"/>
          <w:color w:val="auto"/>
        </w:rPr>
        <w:t>Net medical claims incurred increased $171.6 million, or 61% to $450.6 million for the year ended December 31, 2019, compared to $279.1 million for the year ended December 31, 2018. The increase was primarily driven by increased claims driven by membership growth from 30,681 at the beginning of 2018 to 42,594 at the end of 2019 and, as explained below, $62.9 million lower ceded claims due to the expiration of our Quota Share Reinsurance Program.</w:t>
      </w:r>
    </w:p>
    <w:p>
      <w:pPr>
        <w:spacing w:after="0" w:line="162"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our claims incurred included approximately $63.9 million of ceded amounts attributable mainly to our Quota Share Reinsurance Program. Primarily as a result of our non-renewal of our Quota Share Reinsurance Program for 2019, our ceded claims incurred decreased by $62.9 million or 98% during the year ended December 31,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14"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Salaries and benefits increased $6.5 million, or 8%, to $91.6 million for the year ended December 31, 2019, compared to $85.1 million for the year ended December 31, 2018. The increase was primarily due to a $3.8 million increase in cash compensation and payroll taxes driven by higher sales commissions associated with member growth and higher cash compensation and benefits costs associated with a slightly higher average headcount, as well as a $3.0 million increase in severance costs as part of our restructuring of our internal teams to build more healthcare expertise across our organization, partially offset by a year over year decrease in stock-based compensation expense of $0.3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4"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7"/>
          <w:szCs w:val="17"/>
          <w:color w:val="auto"/>
        </w:rPr>
        <w:t>General and administrative expenses decreased $8.3 million, or 8% to $94.8 million for the year ended December 31, 2019, compared to $103.0 million for the year ended December 31, 2018. The decrease was primarily driven by a $7.0 million decline in marketing expenses, a $4.6 million decline in recruiting fees and other administrative costs, and a $2.1 million decline in travel expense, partially offset by higher membership-driven administrative costs of</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$6.7 million and higher software costs of $4.3 million as we implemented a new claims processing system. Our general and administrative expenses in 2019 also benefited from a one-year moratorium on the annual health insurance industry fee, suspending its application for 2019. For 2018, we paid an annual health insurance industry fee of $4.6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Deficiency Reserve Expense</w:t>
      </w:r>
    </w:p>
    <w:p>
      <w:pPr>
        <w:spacing w:after="0" w:line="114" w:lineRule="exact"/>
        <w:rPr>
          <w:sz w:val="20"/>
          <w:szCs w:val="20"/>
          <w:color w:val="auto"/>
        </w:rPr>
      </w:pPr>
    </w:p>
    <w:p>
      <w:pPr>
        <w:jc w:val="both"/>
        <w:ind w:right="240" w:firstLine="449"/>
        <w:spacing w:after="0" w:line="258" w:lineRule="auto"/>
        <w:rPr>
          <w:sz w:val="20"/>
          <w:szCs w:val="20"/>
          <w:color w:val="auto"/>
        </w:rPr>
      </w:pPr>
      <w:r>
        <w:rPr>
          <w:rFonts w:ascii="Times New Roman" w:cs="Times New Roman" w:eastAsia="Times New Roman" w:hAnsi="Times New Roman"/>
          <w:sz w:val="18"/>
          <w:szCs w:val="18"/>
          <w:color w:val="auto"/>
        </w:rPr>
        <w:t>Premium deficiency reserve expense decreased $2.1 million, or 22% to $7.5 million for the year ended December 31, 2019, compared to $9.6 million for the year ended December 31, 2018. The decrease was primarily due to changes in actual and anticipated experience in management’s assessment of the profitability of contracts.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4" w:lineRule="exact"/>
        <w:rPr>
          <w:sz w:val="20"/>
          <w:szCs w:val="20"/>
          <w:color w:val="auto"/>
        </w:rPr>
      </w:pPr>
    </w:p>
    <w:p>
      <w:pPr>
        <w:ind w:right="640" w:firstLine="449"/>
        <w:spacing w:after="0" w:line="270" w:lineRule="auto"/>
        <w:rPr>
          <w:sz w:val="20"/>
          <w:szCs w:val="20"/>
          <w:color w:val="auto"/>
        </w:rPr>
      </w:pPr>
      <w:r>
        <w:rPr>
          <w:rFonts w:ascii="Times New Roman" w:cs="Times New Roman" w:eastAsia="Times New Roman" w:hAnsi="Times New Roman"/>
          <w:sz w:val="18"/>
          <w:szCs w:val="18"/>
          <w:color w:val="auto"/>
        </w:rPr>
        <w:t>Other expense increased $0.4 million for the year ended December 31, 2019, compared to the year ended December 31, 2018. The increase was primarily due to debt issuance costs of $0.4 million that were expensed in connection with the issuance of the Convertible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Expense</w:t>
      </w:r>
    </w:p>
    <w:p>
      <w:pPr>
        <w:spacing w:after="0" w:line="114" w:lineRule="exact"/>
        <w:rPr>
          <w:sz w:val="20"/>
          <w:szCs w:val="20"/>
          <w:color w:val="auto"/>
        </w:rPr>
      </w:pPr>
    </w:p>
    <w:p>
      <w:pPr>
        <w:ind w:right="180" w:firstLine="449"/>
        <w:spacing w:after="0" w:line="270" w:lineRule="auto"/>
        <w:rPr>
          <w:sz w:val="20"/>
          <w:szCs w:val="20"/>
          <w:color w:val="auto"/>
        </w:rPr>
      </w:pPr>
      <w:r>
        <w:rPr>
          <w:rFonts w:ascii="Times New Roman" w:cs="Times New Roman" w:eastAsia="Times New Roman" w:hAnsi="Times New Roman"/>
          <w:sz w:val="18"/>
          <w:szCs w:val="18"/>
          <w:color w:val="auto"/>
        </w:rPr>
        <w:t>Change in fair value of warrants expense decreased $5.3 million, or 65% for the year ended December 31, 2019, compared to $8.3 million for the year ended December 31, 2018. The decrease was primarily due to a</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450"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smaller increase in the valuation of warrants in 2019 as compared to the valuation of warrants in 2018, driven by the change in beginning stock price, the volatility in the stock price, and a change in the risk-free interest rate year over year, among other factors.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4" w:lineRule="exact"/>
        <w:rPr>
          <w:sz w:val="20"/>
          <w:szCs w:val="20"/>
          <w:color w:val="auto"/>
        </w:rPr>
      </w:pPr>
    </w:p>
    <w:p>
      <w:pPr>
        <w:jc w:val="both"/>
        <w:ind w:right="520" w:firstLine="449"/>
        <w:spacing w:after="0" w:line="253" w:lineRule="auto"/>
        <w:rPr>
          <w:sz w:val="20"/>
          <w:szCs w:val="20"/>
          <w:color w:val="auto"/>
        </w:rPr>
      </w:pPr>
      <w:r>
        <w:rPr>
          <w:rFonts w:ascii="Times New Roman" w:cs="Times New Roman" w:eastAsia="Times New Roman" w:hAnsi="Times New Roman"/>
          <w:sz w:val="18"/>
          <w:szCs w:val="18"/>
          <w:color w:val="auto"/>
        </w:rPr>
        <w:t>Interest expense increased $16.2 million, or 233%, for the year ended December 31, 2019, primarily related to stated interest associated with the Convertible Securities, partially offset by lower stated interest on the Term Loan Notes resulting from the decrease in the outstanding principal balance. Interest expense associated with the Convertible Securities and Term Loan Notes increased $17.1 million and decreased $0.8 million for the year ended December 31, 2019,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Notes and Securities Discounts</w:t>
      </w:r>
    </w:p>
    <w:p>
      <w:pPr>
        <w:spacing w:after="0" w:line="114"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Amortization of notes and securities discounts increased $15.9 million for the year ended December 31, 2019. The increase relates to the amortization of debt discounts associated with the Convertible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Derivative</w:t>
      </w:r>
    </w:p>
    <w:p>
      <w:pPr>
        <w:spacing w:after="0" w:line="114" w:lineRule="exact"/>
        <w:rPr>
          <w:sz w:val="20"/>
          <w:szCs w:val="20"/>
          <w:color w:val="auto"/>
        </w:rPr>
      </w:pPr>
    </w:p>
    <w:p>
      <w:pPr>
        <w:ind w:right="300" w:firstLine="449"/>
        <w:spacing w:after="0" w:line="270" w:lineRule="auto"/>
        <w:rPr>
          <w:sz w:val="20"/>
          <w:szCs w:val="20"/>
          <w:color w:val="auto"/>
        </w:rPr>
      </w:pPr>
      <w:r>
        <w:rPr>
          <w:rFonts w:ascii="Times New Roman" w:cs="Times New Roman" w:eastAsia="Times New Roman" w:hAnsi="Times New Roman"/>
          <w:sz w:val="18"/>
          <w:szCs w:val="18"/>
          <w:color w:val="auto"/>
        </w:rPr>
        <w:t>We incurred a loss on derivatives of $138.6 million for the year ended December 31, 2019. The loss relates to the increase in fair value of embedded derivatives associated with the Convertible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As of September 30, 2020, we had cash, cash equivalents, and short-term investments of $105.2 million. Additionally, as of September 30, 2020, we had $111.2 million of investment securities and $432.6 million outstanding balance on our convertible notes and $36.1 million outstanding on our Term Loan Notes. On a pro forma basis, assuming the consummation of the Business Combination as of the date, we would have had cash, cash equivalents, and short-term investments of between approximately $746.4 million and $774.4 million, depending on the level of redemptions by SHC’s shareholders and assuming full eligible cash redemption by Clover shareholders and $400.0 million in aggregate proceeds from the PIPE Investment and all outstanding Convertible Securities would convert into Clover Class Z Common Stock. Our cash equivalents, short-term investments, and investment securities consist primarily of money market funds and U.S. government debt securities.</w:t>
      </w:r>
    </w:p>
    <w:p>
      <w:pPr>
        <w:spacing w:after="0" w:line="189" w:lineRule="exact"/>
        <w:rPr>
          <w:sz w:val="20"/>
          <w:szCs w:val="20"/>
          <w:color w:val="auto"/>
        </w:rPr>
      </w:pPr>
    </w:p>
    <w:p>
      <w:pPr>
        <w:ind w:right="160" w:firstLine="449"/>
        <w:spacing w:after="0" w:line="249"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the proceeds we received through private sales of equity securities, issuances of convertible notes, premiums earned under our MA plans, and borrowings under our term loan facility. We believe our existing cash, cash equivalents, short-term investments and operating cash flows, taken together, will be sufficient to meet our projected operating and regulatory requirements for at least the next 12 months.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89"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We operate as a holding company in a highly regulated industry. As such, we are dependent upon dividends and administrative expense reimbursements from our subsidiaries, two of which are subject to regulatory restrictions. We continue to maintain significant levels of aggregate excess statutory capital and surplus in our state-regulated operating subsidiaries. Cash and cash equivalents at the parent company was $36.0 million, $4.6 million, and $6.7 million as of December 31, 2018, December 31, 2019, and September 30, 2020, respectively. Our parent and unregulated subsidiaries held $36.9 million, $156.0 million, and $65.3 million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450"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cash, cash equivalents, short-term investments and investment securities as of December 31, 2018, December 31, 2019, and September 30, 2020, respectively, and our regulated insurance subsidiaries hold $50.3 million, $107.3 million, and $151.1 million of cash, cash equivalents, short-term investments and investment securities as of December 31, 2018, December 31, 2019, and September 30, 2020, respectively. This decrease at the parent company primarily reflects capital contributions to insurance subsidiaries and repayment of debt, offset by the proceeds from the issuance of the Convertible Securities. Our use of operating cash derived from our non-insurance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Refer to our parent company financial statements and accompanying notes in Schedule II—Parent Company Financial Information contained in our consolidated financial statements included elsewhere in this prospectus.</w:t>
      </w:r>
    </w:p>
    <w:p>
      <w:pPr>
        <w:spacing w:after="0" w:line="195"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For a detailed discussion of our regulatory requirements, including aggregate statutory capital and surplus as well as dividends paid from the subsidiaries to the parent, please refer to Notes 21, 22, and 23 to our consolidated financial statements included elsewhere in this prospectus.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years ended December 31, 2018 and 2019, and the nine months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20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14"/>
                <w:szCs w:val="14"/>
                <w:color w:val="auto"/>
              </w:rPr>
            </w:pPr>
          </w:p>
        </w:tc>
        <w:tc>
          <w:tcPr>
            <w:tcW w:w="25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39"/>
        </w:trPr>
        <w:tc>
          <w:tcPr>
            <w:tcW w:w="61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39"/>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980" w:type="dxa"/>
            <w:vAlign w:val="bottom"/>
            <w:tcBorders>
              <w:top w:val="single" w:sz="8" w:color="auto"/>
              <w:bottom w:val="single" w:sz="8" w:color="auto"/>
            </w:tcBorders>
          </w:tcPr>
          <w:p>
            <w:pPr>
              <w:jc w:val="right"/>
              <w:ind w:right="156"/>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0"/>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6"/>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139"/>
        </w:trPr>
        <w:tc>
          <w:tcPr>
            <w:tcW w:w="6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2"/>
          </w:tcPr>
          <w:p>
            <w:pPr>
              <w:jc w:val="right"/>
              <w:ind w:right="710"/>
              <w:spacing w:after="0" w:line="13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w w:val="95"/>
              </w:rPr>
              <w:t>$(153,282)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$(159,875)</w:t>
            </w: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(92,948)</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(58,594)</w:t>
            </w:r>
          </w:p>
        </w:tc>
      </w:tr>
      <w:tr>
        <w:trPr>
          <w:trHeight w:val="21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97,525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(181,908)</w:t>
            </w:r>
          </w:p>
        </w:tc>
        <w:tc>
          <w:tcPr>
            <w:tcW w:w="16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(222,683)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69,847</w:t>
            </w: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74,589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333,978</w:t>
            </w:r>
          </w:p>
        </w:tc>
        <w:tc>
          <w:tcPr>
            <w:tcW w:w="1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337,862</w:t>
            </w:r>
          </w:p>
        </w:tc>
        <w:tc>
          <w:tcPr>
            <w:tcW w:w="4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10,881</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4" w:lineRule="exact"/>
        <w:rPr>
          <w:sz w:val="20"/>
          <w:szCs w:val="20"/>
          <w:color w:val="auto"/>
        </w:rPr>
      </w:pPr>
    </w:p>
    <w:p>
      <w:pPr>
        <w:ind w:right="580" w:firstLine="449"/>
        <w:spacing w:after="0" w:line="270" w:lineRule="auto"/>
        <w:rPr>
          <w:sz w:val="20"/>
          <w:szCs w:val="20"/>
          <w:color w:val="auto"/>
        </w:rPr>
      </w:pPr>
      <w:r>
        <w:rPr>
          <w:rFonts w:ascii="Times New Roman" w:cs="Times New Roman" w:eastAsia="Times New Roman" w:hAnsi="Times New Roman"/>
          <w:sz w:val="18"/>
          <w:szCs w:val="18"/>
          <w:color w:val="auto"/>
        </w:rPr>
        <w:t>Our largest source of operating cash flows is capitated payments from CMS. Our primary uses of cash from operating activities are payments for medical benefits.</w:t>
      </w:r>
    </w:p>
    <w:p>
      <w:pPr>
        <w:spacing w:after="0" w:line="169"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For the nine months period ended September 30, 2020, net cash used in operating activities was $(58.6) million, which included a net loss of $(10.0) million. Non-cash charges primarily consisted of a $(87.5) million gain on derivative, $31.9 million change in fair value of warrants expense, $14.9 million in amortization of notes and securities discounts, and $4.9 million of stock-based compensation expense.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nine months period ended September 30, 2019, net cash used in operating activities was $(92.9) million, which included a net loss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$(285.1) million. Non-cash charges primarily consisted of a $134.1 million loss on derivative, $10.0 million in amortization of notes and securities discounts,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million of stock-based compensation expense and $1.9 million change in fair value of warrants expense.</w:t>
      </w:r>
    </w:p>
    <w:p>
      <w:pPr>
        <w:spacing w:after="0" w:line="199" w:lineRule="exact"/>
        <w:rPr>
          <w:sz w:val="20"/>
          <w:szCs w:val="20"/>
          <w:color w:val="auto"/>
        </w:rPr>
      </w:pPr>
    </w:p>
    <w:p>
      <w:pPr>
        <w:jc w:val="both"/>
        <w:ind w:right="120" w:firstLine="44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net cash used in operating activities was $159.9 million, which included a net loss of $363.7 million. Non-cash charges primarily consisted of a $138.6 million loss on derivative, $15.9 million in amortization of notes and securities discounts, $3.3 million of stock-based compensation expense and $2.9 million change in fair value of warrants expense.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450"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For the year ended December 31, 2018, net cash used in operating activities was $153.3 million, which included a net loss of $201.9 million. Non-cash charges primarily consisted of $3.6 million of stock-based compensation expense and $8.3 million change in fair value of warrants expense.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4" w:lineRule="exact"/>
        <w:rPr>
          <w:sz w:val="20"/>
          <w:szCs w:val="20"/>
          <w:color w:val="auto"/>
        </w:rPr>
      </w:pPr>
    </w:p>
    <w:p>
      <w:pPr>
        <w:ind w:right="80" w:firstLine="449"/>
        <w:spacing w:after="0" w:line="270"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2020, of $69.8 million was primarily due to $222.7 million provided from the sale and maturity of investment securities offset by $152.2 million used to purchase investment securities.</w:t>
      </w:r>
    </w:p>
    <w:p>
      <w:pPr>
        <w:spacing w:after="0" w:line="16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2019, of $(222.7) million was primarily due to $445.8 million used to purchase investment securities and $1.1 million outflows from the acquisition of Principium Health, LLC and Medical Service Professionals of NJ, LLC offset by $224.2 million provided from the sale and maturity of investment securities.</w:t>
      </w:r>
    </w:p>
    <w:p>
      <w:pPr>
        <w:spacing w:after="0" w:line="179" w:lineRule="exact"/>
        <w:rPr>
          <w:sz w:val="20"/>
          <w:szCs w:val="20"/>
          <w:color w:val="auto"/>
        </w:rPr>
      </w:pPr>
    </w:p>
    <w:p>
      <w:pPr>
        <w:ind w:right="380" w:firstLine="449"/>
        <w:spacing w:after="0" w:line="270"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2019, of $181.9 million was primarily due to $505.5 million used to purchase investment securities, partially offset by $324.8 million provided from the sale and maturity of investment securities.</w:t>
      </w:r>
    </w:p>
    <w:p>
      <w:pPr>
        <w:spacing w:after="0" w:line="169" w:lineRule="exact"/>
        <w:rPr>
          <w:sz w:val="20"/>
          <w:szCs w:val="20"/>
          <w:color w:val="auto"/>
        </w:rPr>
      </w:pPr>
    </w:p>
    <w:p>
      <w:pPr>
        <w:ind w:right="20" w:firstLine="449"/>
        <w:spacing w:after="0" w:line="270"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2018, of $97.5 million was primarily due to $108.7 million provided from the sale and maturity of investment securities, partially offset by $9.7 million used to purchase investment securities.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4"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2020 of $10.9 million was primarily the result of $20.0 million in proceeds from the issuance of the Convertible Securities and $3.9 million in acquisition of noncontrolling interest, offset by $13.9 million in principal payments on our outstanding Term Loan Notes and $1 million in proceeds from the issuance of common stock.</w:t>
      </w:r>
    </w:p>
    <w:p>
      <w:pPr>
        <w:spacing w:after="0" w:line="17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2019, of $337.9 million was primarily the result of $343.4 million in proceeds from the issuance of the Convertible Securities and $0.6 million in proceeds from the issuance of common stock, partially offset by $5.8 million in principal payments on our outstanding Term Loan Notes and $0.4 million in deferred financing costs.</w:t>
      </w:r>
    </w:p>
    <w:p>
      <w:pPr>
        <w:spacing w:after="0" w:line="179" w:lineRule="exact"/>
        <w:rPr>
          <w:sz w:val="20"/>
          <w:szCs w:val="20"/>
          <w:color w:val="auto"/>
        </w:rPr>
      </w:pPr>
    </w:p>
    <w:p>
      <w:pPr>
        <w:ind w:right="640" w:firstLine="449"/>
        <w:spacing w:after="0" w:line="300"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2019, of $334.0 million was primarily the result of $343.4 million in proceeds from the issuance of the Convertible Securities, partially offset by $9.7 million in principal payments on our outstanding Term Loan Notes.</w:t>
      </w:r>
    </w:p>
    <w:p>
      <w:pPr>
        <w:spacing w:after="0" w:line="146" w:lineRule="exact"/>
        <w:rPr>
          <w:sz w:val="20"/>
          <w:szCs w:val="20"/>
          <w:color w:val="auto"/>
        </w:rPr>
      </w:pPr>
    </w:p>
    <w:p>
      <w:pPr>
        <w:ind w:right="140" w:firstLine="449"/>
        <w:spacing w:after="0" w:line="270"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2018, of $74.6 million was primarily the result of $45.0 million in proceeds from the sale and issuance of our Series D preferred stock, and $29.8 million in proceeds from the issuance of the bridge loans described below.</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Notes</w:t>
      </w:r>
    </w:p>
    <w:p>
      <w:pPr>
        <w:spacing w:after="0" w:line="11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entered into a loan and security agreement with a commercial lender in March 2017, which provided for term loans in an aggregate principal amount of up to $60.0 million. At that time, we borrowed $40.0 million as a term loan under the agreement which bears interest at 11.0% per annum, payable monthly, and has a maturity date of March 1, 2022. In October 2017, we borrowed the remaining $20.0 million as a term loan under the agreement which bears interest at 11.25% per annum, payable monthly, and has a maturity date of October 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450" w:right="3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480"/>
        <w:spacing w:after="0" w:line="258" w:lineRule="auto"/>
        <w:rPr>
          <w:sz w:val="20"/>
          <w:szCs w:val="20"/>
          <w:color w:val="auto"/>
        </w:rPr>
      </w:pPr>
      <w:r>
        <w:rPr>
          <w:rFonts w:ascii="Times New Roman" w:cs="Times New Roman" w:eastAsia="Times New Roman" w:hAnsi="Times New Roman"/>
          <w:sz w:val="18"/>
          <w:szCs w:val="18"/>
          <w:color w:val="auto"/>
        </w:rPr>
        <w:t>2022. Each loan was payable in monthly installments of interest only for the first 24 months, and thereafter interest and principal are payable in 36 equal monthly installments. The loans are secured by substantially all of our assets, including our intellectual property, and equity interests in our unregulated subsidiaries.</w:t>
      </w:r>
    </w:p>
    <w:p>
      <w:pPr>
        <w:spacing w:after="0" w:line="179"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Our loan and security agreement contains customary conditions to borrowing, events of default and covenants, including covenants that restrict our ability to incur indebtedness, grant liens, make certain distributions to our equity holders prior to a qualifying public offering of our securities, make investments or engage in transactions with our affiliates. Our loan and security agreement does not contain financial covenants. As of September 30, 2020, the aggregate principal amount outstanding under the Term Loan Notes was $36.1 million and we were in compliance with all covenants under our loan and security agreement.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w:t>
      </w:r>
    </w:p>
    <w:p>
      <w:pPr>
        <w:spacing w:after="0" w:line="114"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In December 2018, we entered into a convertible securities purchase agreement with qualified institutional buyers, including entities affiliated with our Chief Executive Officer and other holders of more than 5% of our common stock, for an aggregate principal amount of up to $500.0 million. In February, May, August 2019 and September 2020, we issued an aggregate of $393.8 million initial principal amount of convertible securities, or the Convertible Securities, under the agreement. Until the first anniversary of the issue date, interest on the Convertible Securities accrued at a rate of 6.5% per annum and is compounded semi-annually in kind. Thereafter, the per annum interest rates increase ratably on a semi-annual basis up to 13.5% per annum at the third anniversary of the security issue date until the Convertible Securities cease to be outstanding, and the interest that accrues thereunder is compounded semi-annually in kind. The Convertible Securities initially mature on April 1, 2023, which may be extended under certain circumstances by us. At any time prior to maturity, we may repurchase or redeem up to 40% of the initial principal amount under the Convertible Securities prior to the maturity date at the redemption prices set forth in the convertible securities purchase agreement, provided that we also issue their holders warrants to purchase shares of our capital stock on the amount and on the terms set forth in the agreement. At maturity, we may not repay principal and accrued interest under the Convertible Securities in cash without providing their holders the opportunity to convert such amount into shares of our capital stock. The Convertible Securities contain certain affirmative and negative covenants applicable to us and certain of our subsidiaries, including, among other things, restrictions on dividends, repurchases of stock, acquisitions, incurring indebtedness and transactions with affiliates.</w:t>
      </w:r>
    </w:p>
    <w:p>
      <w:pPr>
        <w:spacing w:after="0" w:line="192" w:lineRule="exact"/>
        <w:rPr>
          <w:sz w:val="20"/>
          <w:szCs w:val="20"/>
          <w:color w:val="auto"/>
        </w:rPr>
      </w:pPr>
    </w:p>
    <w:p>
      <w:pPr>
        <w:ind w:firstLine="449"/>
        <w:spacing w:after="0" w:line="264" w:lineRule="auto"/>
        <w:rPr>
          <w:sz w:val="20"/>
          <w:szCs w:val="20"/>
          <w:color w:val="auto"/>
        </w:rPr>
      </w:pPr>
      <w:r>
        <w:rPr>
          <w:rFonts w:ascii="Times New Roman" w:cs="Times New Roman" w:eastAsia="Times New Roman" w:hAnsi="Times New Roman"/>
          <w:sz w:val="17"/>
          <w:szCs w:val="17"/>
          <w:color w:val="auto"/>
        </w:rPr>
        <w:t>The Convertible Securities are mandatorily convertible immediately prior to the consummation of the Mergers described in the prospectus. The Convertible Securities will convert into our Class Z common stock, which shares will only be exchanged for the right to receive shares of Clover Health Class B common stock in the Merger and into 1.0935 times the number of shares that would be issuable in the event of an initial public offering. The conversion price is calculated as the lesser of (i) the merger price multiplied by 28.5% for the Convertible Securities issued in May and August of 2019 or 32% for the Convertible Securities issued in February and March of 2019 (assuming the Mergers had occurred on September 30, 2020), and (ii) a price per share equal to (x) $2.5 billion, divided by (y) the number of shares of common stock outstanding or reserved for issuance under our equity plans as of the closing of the Mergers on an as-converted, as-exercised basis as defined in the convertible securities purchase agreement. On September 30, 2020, the aggregate principal and accrued interest amount outstanding under the Convertible Securities was $412.5 million, which would have been convertible into 33,965,841 million shares of our common stock in a No Redemption scenario or 33,953,554 shares of our common stock in a Redemption scenario, assuming the Mergers had occurred on September 30, 2020, at an assumed merger price of 18.925 per share in a No Redemption scenario or $18.937 per share in a Redemption scenario.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450"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at December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6520" w:type="dxa"/>
            <w:vAlign w:val="bottom"/>
          </w:tcPr>
          <w:p>
            <w:pPr>
              <w:spacing w:after="0"/>
              <w:rPr>
                <w:sz w:val="9"/>
                <w:szCs w:val="9"/>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1"/>
                <w:szCs w:val="11"/>
                <w:b w:val="1"/>
                <w:bCs w:val="1"/>
                <w:color w:val="auto"/>
              </w:rPr>
              <w:t>(2)</w:t>
            </w:r>
          </w:p>
        </w:tc>
        <w:tc>
          <w:tcPr>
            <w:tcW w:w="360" w:type="dxa"/>
            <w:vAlign w:val="bottom"/>
          </w:tcPr>
          <w:p>
            <w:pPr>
              <w:spacing w:after="0"/>
              <w:rPr>
                <w:sz w:val="9"/>
                <w:szCs w:val="9"/>
                <w:color w:val="auto"/>
              </w:rPr>
            </w:pPr>
          </w:p>
        </w:tc>
        <w:tc>
          <w:tcPr>
            <w:tcW w:w="720" w:type="dxa"/>
            <w:vAlign w:val="bottom"/>
            <w:gridSpan w:val="3"/>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40" w:type="dxa"/>
            <w:vAlign w:val="bottom"/>
          </w:tcPr>
          <w:p>
            <w:pPr>
              <w:spacing w:after="0"/>
              <w:rPr>
                <w:sz w:val="9"/>
                <w:szCs w:val="9"/>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9"/>
                <w:szCs w:val="9"/>
                <w:color w:val="auto"/>
              </w:rPr>
            </w:pPr>
          </w:p>
        </w:tc>
        <w:tc>
          <w:tcPr>
            <w:tcW w:w="640" w:type="dxa"/>
            <w:vAlign w:val="bottom"/>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39"/>
        </w:trPr>
        <w:tc>
          <w:tcPr>
            <w:tcW w:w="6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Securities</w:t>
            </w:r>
            <w:r>
              <w:rPr>
                <w:rFonts w:ascii="Times New Roman" w:cs="Times New Roman" w:eastAsia="Times New Roman" w:hAnsi="Times New Roman"/>
                <w:sz w:val="14"/>
                <w:szCs w:val="14"/>
                <w:color w:val="auto"/>
              </w:rPr>
              <w:t>(1)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$373,800</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$373,800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Term Loan Notes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58,500</w:t>
            </w:r>
          </w:p>
        </w:tc>
        <w:tc>
          <w:tcPr>
            <w:tcW w:w="1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4,973</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1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451,263</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440,025</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3,768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243205</wp:posOffset>
            </wp:positionV>
            <wp:extent cx="7893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94" w:lineRule="exact"/>
        <w:rPr>
          <w:sz w:val="20"/>
          <w:szCs w:val="20"/>
          <w:color w:val="auto"/>
        </w:rPr>
      </w:pPr>
    </w:p>
    <w:p>
      <w:pPr>
        <w:ind w:left="460" w:right="40" w:hanging="454"/>
        <w:spacing w:after="0" w:line="228" w:lineRule="auto"/>
        <w:tabs>
          <w:tab w:leader="none" w:pos="4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Convertible Securities convert to Clover Class Z Common Stock as part of the Business Combination described elsewhere in this prospectus. See the section entitled “Clover’s Management’s Discussion and Analysis of Financial Condition and Results of Operations—Financing Arrangements—Convertible Securities”.</w:t>
      </w:r>
    </w:p>
    <w:p>
      <w:pPr>
        <w:ind w:left="460" w:hanging="454"/>
        <w:spacing w:after="0"/>
        <w:tabs>
          <w:tab w:leader="none" w:pos="4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Convertible Securities and Term Loan Notes include outstanding principal balances.</w:t>
      </w:r>
    </w:p>
    <w:p>
      <w:pPr>
        <w:spacing w:after="0" w:line="184" w:lineRule="exact"/>
        <w:rPr>
          <w:sz w:val="20"/>
          <w:szCs w:val="20"/>
          <w:color w:val="auto"/>
        </w:rPr>
      </w:pPr>
    </w:p>
    <w:p>
      <w:pPr>
        <w:ind w:right="100" w:firstLine="449"/>
        <w:spacing w:after="0" w:line="300" w:lineRule="auto"/>
        <w:rPr>
          <w:sz w:val="20"/>
          <w:szCs w:val="20"/>
          <w:color w:val="auto"/>
        </w:rPr>
      </w:pPr>
      <w:r>
        <w:rPr>
          <w:rFonts w:ascii="Times New Roman" w:cs="Times New Roman" w:eastAsia="Times New Roman" w:hAnsi="Times New Roman"/>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46"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8"/>
          <w:szCs w:val="18"/>
          <w:color w:val="auto"/>
        </w:rPr>
        <w:t>On September 25, 2020, one of our subsidiaries issued a promissory note in an aggregate principal amount of $20.0 million. The note is convertible into equity of the subsidiary and matures on in September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2" w:lineRule="exact"/>
        <w:rPr>
          <w:sz w:val="20"/>
          <w:szCs w:val="20"/>
          <w:color w:val="auto"/>
        </w:rPr>
      </w:pPr>
    </w:p>
    <w:p>
      <w:pPr>
        <w:ind w:right="180" w:firstLine="44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physicians and other parties with respect to certain matters, including, but not limited to, claims that our platform and products infringe the intellectual property rights of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2" w:lineRule="exact"/>
        <w:rPr>
          <w:sz w:val="20"/>
          <w:szCs w:val="20"/>
          <w:color w:val="auto"/>
        </w:rPr>
      </w:pPr>
    </w:p>
    <w:p>
      <w:pPr>
        <w:ind w:right="440" w:firstLine="449"/>
        <w:spacing w:after="0" w:line="270"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2"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450"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80" w:firstLine="449"/>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to our consolidated financial statements included elsewhere in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14" w:lineRule="exact"/>
        <w:rPr>
          <w:sz w:val="20"/>
          <w:szCs w:val="20"/>
          <w:color w:val="auto"/>
        </w:rPr>
      </w:pPr>
    </w:p>
    <w:p>
      <w:pPr>
        <w:ind w:right="100" w:firstLine="449"/>
        <w:spacing w:after="0" w:line="270" w:lineRule="auto"/>
        <w:rPr>
          <w:sz w:val="20"/>
          <w:szCs w:val="20"/>
          <w:color w:val="auto"/>
        </w:rPr>
      </w:pPr>
      <w:r>
        <w:rPr>
          <w:rFonts w:ascii="Times New Roman" w:cs="Times New Roman" w:eastAsia="Times New Roman" w:hAnsi="Times New Roman"/>
          <w:sz w:val="18"/>
          <w:szCs w:val="18"/>
          <w:color w:val="auto"/>
        </w:rPr>
        <w:t>Net medical claims incurred is recognized in the period in which services are provided and includes an estimate of the cost of services which have been incurred but not yet reported (“IBNR”). IBNR represents a substantial portion of our unpaid claims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22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39"/>
        </w:trPr>
        <w:tc>
          <w:tcPr>
            <w:tcW w:w="5200" w:type="dxa"/>
            <w:vAlign w:val="bottom"/>
          </w:tcPr>
          <w:p>
            <w:pPr>
              <w:spacing w:after="0"/>
              <w:rPr>
                <w:sz w:val="12"/>
                <w:szCs w:val="12"/>
                <w:color w:val="auto"/>
              </w:rPr>
            </w:pPr>
          </w:p>
        </w:tc>
        <w:tc>
          <w:tcPr>
            <w:tcW w:w="840" w:type="dxa"/>
            <w:vAlign w:val="bottom"/>
            <w:gridSpan w:val="3"/>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4"/>
          </w:tcPr>
          <w:p>
            <w:pPr>
              <w:jc w:val="right"/>
              <w:ind w:right="39"/>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right"/>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9"/>
        </w:trPr>
        <w:tc>
          <w:tcPr>
            <w:tcW w:w="520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40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0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39"/>
        </w:trPr>
        <w:tc>
          <w:tcPr>
            <w:tcW w:w="5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jc w:val="right"/>
              <w:ind w:right="380"/>
              <w:spacing w:after="0" w:line="13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IBNR</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$48,047</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$69,178</w:t>
            </w:r>
          </w:p>
        </w:tc>
        <w:tc>
          <w:tcPr>
            <w:tcW w:w="90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88%</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$60,339</w:t>
            </w:r>
          </w:p>
        </w:tc>
        <w:tc>
          <w:tcPr>
            <w:tcW w:w="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$83,497</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unpaid claims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5,941</w:t>
            </w:r>
          </w:p>
        </w:tc>
        <w:tc>
          <w:tcPr>
            <w:tcW w:w="9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6,778</w:t>
            </w:r>
          </w:p>
        </w:tc>
        <w:tc>
          <w:tcPr>
            <w:tcW w:w="40" w:type="dxa"/>
            <w:vAlign w:val="bottom"/>
          </w:tcPr>
          <w:p>
            <w:pPr>
              <w:spacing w:after="0"/>
              <w:rPr>
                <w:sz w:val="18"/>
                <w:szCs w:val="18"/>
                <w:color w:val="auto"/>
              </w:rPr>
            </w:pPr>
          </w:p>
        </w:tc>
        <w:tc>
          <w:tcPr>
            <w:tcW w:w="4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7</w:t>
            </w:r>
          </w:p>
        </w:tc>
      </w:tr>
      <w:tr>
        <w:trPr>
          <w:trHeight w:val="21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Claims adjustment expense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2,767</w:t>
            </w:r>
          </w:p>
        </w:tc>
        <w:tc>
          <w:tcPr>
            <w:tcW w:w="900" w:type="dxa"/>
            <w:vAlign w:val="bottom"/>
            <w:gridSpan w:val="3"/>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3,340</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unpaid claims and claim adjustment expense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54,004</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77,886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62,668</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93,615</w:t>
            </w:r>
          </w:p>
        </w:tc>
        <w:tc>
          <w:tcPr>
            <w:tcW w:w="2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6" w:lineRule="exact"/>
        <w:rPr>
          <w:sz w:val="20"/>
          <w:szCs w:val="20"/>
          <w:color w:val="auto"/>
        </w:rPr>
      </w:pPr>
    </w:p>
    <w:p>
      <w:pPr>
        <w:ind w:right="180" w:firstLine="449"/>
        <w:spacing w:after="0" w:line="250" w:lineRule="auto"/>
        <w:rPr>
          <w:sz w:val="20"/>
          <w:szCs w:val="20"/>
          <w:color w:val="auto"/>
        </w:rPr>
      </w:pPr>
      <w:r>
        <w:rPr>
          <w:rFonts w:ascii="Times New Roman" w:cs="Times New Roman" w:eastAsia="Times New Roman" w:hAnsi="Times New Roman"/>
          <w:sz w:val="18"/>
          <w:szCs w:val="18"/>
          <w:color w:val="auto"/>
        </w:rPr>
        <w:t>Our management determines the unpaid claims and claim adjustment expense with input from a third-party actuarial firm. We estimate our unpaid claims and claim adjustment expense liabilities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These factors are used to determine our lag analysis completion factor.</w:t>
      </w:r>
    </w:p>
    <w:p>
      <w:pPr>
        <w:spacing w:after="0" w:line="187" w:lineRule="exact"/>
        <w:rPr>
          <w:sz w:val="20"/>
          <w:szCs w:val="20"/>
          <w:color w:val="auto"/>
        </w:rPr>
      </w:pPr>
    </w:p>
    <w:p>
      <w:pPr>
        <w:ind w:right="280" w:firstLine="449"/>
        <w:spacing w:after="0" w:line="258" w:lineRule="auto"/>
        <w:rPr>
          <w:sz w:val="20"/>
          <w:szCs w:val="20"/>
          <w:color w:val="auto"/>
        </w:rPr>
      </w:pPr>
      <w:r>
        <w:rPr>
          <w:rFonts w:ascii="Times New Roman" w:cs="Times New Roman" w:eastAsia="Times New Roman" w:hAnsi="Times New Roman"/>
          <w:sz w:val="18"/>
          <w:szCs w:val="18"/>
          <w:color w:val="auto"/>
        </w:rPr>
        <w:t>Our reserving practice is to consistently recognize an actuarial best estimate inclusive of a provision for moderately adverse conditions. For further discussion of our reserving methodology, including our use of completion factors to estimate IBNR, refer to Note 2 to the consolidated financial statements included elsewhere in this prospectus.</w:t>
      </w:r>
    </w:p>
    <w:p>
      <w:pPr>
        <w:spacing w:after="0" w:line="17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completion factor is the most significant factor impacting the IBNR estimate. The following table illustrates the sensitivity of these factors assuming moderately adverse experience and the estimated potential impact on our operating results caused by reasonably likely changes in these factors based on December 31, 2019 and September 30, 2020, data: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Increase (Decrease)</w:t>
      </w:r>
    </w:p>
    <w:p>
      <w:pPr>
        <w:spacing w:after="0" w:line="9" w:lineRule="exact"/>
        <w:rPr>
          <w:sz w:val="20"/>
          <w:szCs w:val="20"/>
          <w:color w:val="auto"/>
        </w:rPr>
      </w:pPr>
    </w:p>
    <w:tbl>
      <w:tblPr>
        <w:tblLayout w:type="fixed"/>
        <w:tblInd w:w="900" w:type="dxa"/>
        <w:tblCellMar>
          <w:top w:w="0" w:type="dxa"/>
          <w:left w:w="0" w:type="dxa"/>
          <w:bottom w:w="0" w:type="dxa"/>
          <w:right w:w="0" w:type="dxa"/>
        </w:tblCellMar>
      </w:tblPr>
      <w:tr>
        <w:trPr>
          <w:trHeight w:val="114"/>
        </w:trPr>
        <w:tc>
          <w:tcPr>
            <w:tcW w:w="40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completion factor</w:t>
            </w:r>
          </w:p>
        </w:tc>
        <w:tc>
          <w:tcPr>
            <w:tcW w:w="4180" w:type="dxa"/>
            <w:vAlign w:val="bottom"/>
            <w:tcBorders>
              <w:top w:val="single" w:sz="8" w:color="auto"/>
            </w:tcBorders>
            <w:gridSpan w:val="2"/>
          </w:tcPr>
          <w:p>
            <w:pPr>
              <w:jc w:val="center"/>
              <w:ind w:right="2860"/>
              <w:spacing w:after="0" w:line="114" w:lineRule="exact"/>
              <w:rPr>
                <w:sz w:val="20"/>
                <w:szCs w:val="20"/>
                <w:color w:val="auto"/>
              </w:rPr>
            </w:pPr>
            <w:r>
              <w:rPr>
                <w:rFonts w:ascii="Times New Roman" w:cs="Times New Roman" w:eastAsia="Times New Roman" w:hAnsi="Times New Roman"/>
                <w:sz w:val="13"/>
                <w:szCs w:val="13"/>
                <w:b w:val="1"/>
                <w:bCs w:val="1"/>
                <w:color w:val="auto"/>
              </w:rPr>
              <w:t>In unpaid claims as of</w:t>
            </w:r>
          </w:p>
        </w:tc>
        <w:tc>
          <w:tcPr>
            <w:tcW w:w="1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September 30, 2020</w:t>
            </w:r>
          </w:p>
        </w:tc>
        <w:tc>
          <w:tcPr>
            <w:tcW w:w="0" w:type="dxa"/>
            <w:vAlign w:val="bottom"/>
          </w:tcPr>
          <w:p>
            <w:pPr>
              <w:spacing w:after="0"/>
              <w:rPr>
                <w:sz w:val="1"/>
                <w:szCs w:val="1"/>
                <w:color w:val="auto"/>
              </w:rPr>
            </w:pPr>
          </w:p>
        </w:tc>
      </w:tr>
      <w:tr>
        <w:trPr>
          <w:trHeight w:val="170"/>
        </w:trPr>
        <w:tc>
          <w:tcPr>
            <w:tcW w:w="4080" w:type="dxa"/>
            <w:vAlign w:val="bottom"/>
            <w:gridSpan w:val="2"/>
            <w:vMerge w:val="continue"/>
          </w:tcPr>
          <w:p>
            <w:pPr>
              <w:spacing w:after="0"/>
              <w:rPr>
                <w:sz w:val="14"/>
                <w:szCs w:val="14"/>
                <w:color w:val="auto"/>
              </w:rPr>
            </w:pPr>
          </w:p>
        </w:tc>
        <w:tc>
          <w:tcPr>
            <w:tcW w:w="4180" w:type="dxa"/>
            <w:vAlign w:val="bottom"/>
            <w:gridSpan w:val="2"/>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40" w:type="dxa"/>
            <w:vAlign w:val="bottom"/>
            <w:tcBorders>
              <w:top w:val="single" w:sz="8" w:color="auto"/>
            </w:tcBorders>
            <w:shd w:val="clear" w:color="auto" w:fill="CCEEFF"/>
          </w:tcPr>
          <w:p>
            <w:pPr>
              <w:jc w:val="right"/>
              <w:ind w:right="254"/>
              <w:spacing w:after="0" w:line="205" w:lineRule="exact"/>
              <w:rPr>
                <w:sz w:val="20"/>
                <w:szCs w:val="20"/>
                <w:color w:val="auto"/>
              </w:rPr>
            </w:pPr>
            <w:r>
              <w:rPr>
                <w:rFonts w:ascii="Times New Roman" w:cs="Times New Roman" w:eastAsia="Times New Roman" w:hAnsi="Times New Roman"/>
                <w:sz w:val="18"/>
                <w:szCs w:val="18"/>
                <w:color w:val="auto"/>
              </w:rPr>
              <w:t>(0.25)%</w:t>
            </w:r>
          </w:p>
        </w:tc>
        <w:tc>
          <w:tcPr>
            <w:tcW w:w="28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$2.6</w:t>
            </w:r>
          </w:p>
        </w:tc>
        <w:tc>
          <w:tcPr>
            <w:tcW w:w="28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$3.5</w:t>
            </w:r>
          </w:p>
        </w:tc>
        <w:tc>
          <w:tcPr>
            <w:tcW w:w="0" w:type="dxa"/>
            <w:vAlign w:val="bottom"/>
          </w:tcPr>
          <w:p>
            <w:pPr>
              <w:spacing w:after="0"/>
              <w:rPr>
                <w:sz w:val="1"/>
                <w:szCs w:val="1"/>
                <w:color w:val="auto"/>
              </w:rPr>
            </w:pPr>
          </w:p>
        </w:tc>
      </w:tr>
      <w:tr>
        <w:trPr>
          <w:trHeight w:val="212"/>
        </w:trPr>
        <w:tc>
          <w:tcPr>
            <w:tcW w:w="12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0.25%</w:t>
            </w:r>
          </w:p>
        </w:tc>
        <w:tc>
          <w:tcPr>
            <w:tcW w:w="28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28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0.50%</w:t>
            </w:r>
          </w:p>
        </w:tc>
        <w:tc>
          <w:tcPr>
            <w:tcW w:w="28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28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12"/>
        </w:trPr>
        <w:tc>
          <w:tcPr>
            <w:tcW w:w="12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0.75%</w:t>
            </w:r>
          </w:p>
        </w:tc>
        <w:tc>
          <w:tcPr>
            <w:tcW w:w="28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c>
          <w:tcPr>
            <w:tcW w:w="28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1.00%</w:t>
            </w:r>
          </w:p>
        </w:tc>
        <w:tc>
          <w:tcPr>
            <w:tcW w:w="28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8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c>
          <w:tcPr>
            <w:tcW w:w="0" w:type="dxa"/>
            <w:vAlign w:val="bottom"/>
          </w:tcPr>
          <w:p>
            <w:pPr>
              <w:spacing w:after="0"/>
              <w:rPr>
                <w:sz w:val="1"/>
                <w:szCs w:val="1"/>
                <w:color w:val="auto"/>
              </w:rPr>
            </w:pPr>
          </w:p>
        </w:tc>
      </w:tr>
      <w:tr>
        <w:trPr>
          <w:trHeight w:val="229"/>
        </w:trPr>
        <w:tc>
          <w:tcPr>
            <w:tcW w:w="12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1.25%</w:t>
            </w:r>
          </w:p>
        </w:tc>
        <w:tc>
          <w:tcPr>
            <w:tcW w:w="28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w:t>
            </w:r>
          </w:p>
        </w:tc>
        <w:tc>
          <w:tcPr>
            <w:tcW w:w="28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60" w:firstLine="449"/>
        <w:spacing w:after="0" w:line="270" w:lineRule="auto"/>
        <w:rPr>
          <w:sz w:val="20"/>
          <w:szCs w:val="20"/>
          <w:color w:val="auto"/>
        </w:rPr>
      </w:pPr>
      <w:r>
        <w:rPr>
          <w:rFonts w:ascii="Times New Roman" w:cs="Times New Roman" w:eastAsia="Times New Roman" w:hAnsi="Times New Roman"/>
          <w:sz w:val="18"/>
          <w:szCs w:val="18"/>
          <w:color w:val="auto"/>
        </w:rPr>
        <w:t>The following table provides a historical perspective regarding the accrual and payment of our net claims and claims adjustment expense. Components of the total incurred claims for each year include amounts accrued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450" w:right="3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40"/>
        <w:spacing w:after="0" w:line="270" w:lineRule="auto"/>
        <w:rPr>
          <w:sz w:val="20"/>
          <w:szCs w:val="20"/>
          <w:color w:val="auto"/>
        </w:rPr>
      </w:pPr>
      <w:r>
        <w:rPr>
          <w:rFonts w:ascii="Times New Roman" w:cs="Times New Roman" w:eastAsia="Times New Roman" w:hAnsi="Times New Roman"/>
          <w:sz w:val="18"/>
          <w:szCs w:val="18"/>
          <w:color w:val="auto"/>
        </w:rPr>
        <w:t>for current year estimated net claims and claims adjustment expense as well as adjustments to prior year estimated accruals. Refer to Note 10 to the consolidated financial statements included elsewhere in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0"/>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39"/>
        </w:trPr>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139"/>
        </w:trPr>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700"/>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beginning of period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45,595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77,886</w:t>
            </w:r>
          </w:p>
        </w:tc>
      </w:tr>
      <w:tr>
        <w:trPr>
          <w:trHeight w:val="22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 beginning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(12,344)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(12,344)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balance,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77,886</w:t>
            </w:r>
          </w:p>
        </w:tc>
      </w:tr>
      <w:tr>
        <w:trPr>
          <w:trHeight w:val="21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281,892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453,423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340,079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425,941</w:t>
            </w:r>
          </w:p>
        </w:tc>
      </w:tr>
      <w:tr>
        <w:trPr>
          <w:trHeight w:val="21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Prior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(15,401)</w:t>
            </w:r>
          </w:p>
        </w:tc>
      </w:tr>
      <w:tr>
        <w:trPr>
          <w:trHeight w:val="26"/>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incurred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279,050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450,645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337,441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410,540</w:t>
            </w:r>
          </w:p>
        </w:tc>
      </w:tr>
      <w:tr>
        <w:trPr>
          <w:trHeight w:val="21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234,260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376,980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279,545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339,252</w:t>
            </w:r>
          </w:p>
        </w:tc>
      </w:tr>
      <w:tr>
        <w:trPr>
          <w:trHeight w:val="21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Prior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55,559</w:t>
            </w:r>
          </w:p>
        </w:tc>
      </w:tr>
      <w:tr>
        <w:trPr>
          <w:trHeight w:val="26"/>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paid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282,985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414,419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316,433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394,811</w:t>
            </w:r>
          </w:p>
        </w:tc>
      </w:tr>
      <w:tr>
        <w:trPr>
          <w:trHeight w:val="224"/>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balance, end of period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93,615</w:t>
            </w:r>
          </w:p>
        </w:tc>
        <w:tc>
          <w:tcPr>
            <w:tcW w:w="100" w:type="dxa"/>
            <w:vAlign w:val="bottom"/>
          </w:tcPr>
          <w:p>
            <w:pPr>
              <w:spacing w:after="0"/>
              <w:rPr>
                <w:sz w:val="19"/>
                <w:szCs w:val="19"/>
                <w:color w:val="auto"/>
              </w:rPr>
            </w:pPr>
          </w:p>
        </w:tc>
      </w:tr>
      <w:tr>
        <w:trPr>
          <w:trHeight w:val="21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 end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balance, end of period</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93,615</w:t>
            </w:r>
          </w:p>
        </w:tc>
        <w:tc>
          <w:tcPr>
            <w:tcW w:w="100" w:type="dxa"/>
            <w:vAlign w:val="bottom"/>
          </w:tcPr>
          <w:p>
            <w:pPr>
              <w:spacing w:after="0"/>
              <w:rPr>
                <w:sz w:val="18"/>
                <w:szCs w:val="18"/>
                <w:color w:val="auto"/>
              </w:rPr>
            </w:pPr>
          </w:p>
        </w:tc>
      </w:tr>
    </w:tbl>
    <w:p>
      <w:pPr>
        <w:spacing w:after="0" w:line="206" w:lineRule="exact"/>
        <w:rPr>
          <w:sz w:val="20"/>
          <w:szCs w:val="20"/>
          <w:color w:val="auto"/>
        </w:rPr>
      </w:pPr>
    </w:p>
    <w:p>
      <w:pPr>
        <w:jc w:val="both"/>
        <w:ind w:right="360" w:firstLine="449"/>
        <w:spacing w:after="0" w:line="280" w:lineRule="auto"/>
        <w:rPr>
          <w:sz w:val="20"/>
          <w:szCs w:val="20"/>
          <w:color w:val="auto"/>
        </w:rPr>
      </w:pPr>
      <w:r>
        <w:rPr>
          <w:rFonts w:ascii="Times New Roman" w:cs="Times New Roman" w:eastAsia="Times New Roman" w:hAnsi="Times New Roman"/>
          <w:sz w:val="17"/>
          <w:szCs w:val="17"/>
          <w:color w:val="auto"/>
        </w:rPr>
        <w:t>The following table summarizes the changes in estimate for incurred claims related to prior years attributable to our key assumption. As previously described, our key assumption is the completion factor estimated using an assumption of moderately adverse conditions. The amounts below represent the difference between our original estimates and the actual benefits expense ultimately incurred as determined from subsequent claim payments.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4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3"/>
                <w:szCs w:val="13"/>
                <w:color w:val="auto"/>
              </w:rPr>
            </w:pPr>
          </w:p>
        </w:tc>
        <w:tc>
          <w:tcPr>
            <w:tcW w:w="198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0"/>
        </w:trPr>
        <w:tc>
          <w:tcPr>
            <w:tcW w:w="6120" w:type="dxa"/>
            <w:vAlign w:val="bottom"/>
          </w:tcPr>
          <w:p>
            <w:pPr>
              <w:spacing w:after="0"/>
              <w:rPr>
                <w:sz w:val="14"/>
                <w:szCs w:val="14"/>
                <w:color w:val="auto"/>
              </w:rPr>
            </w:pPr>
          </w:p>
        </w:tc>
        <w:tc>
          <w:tcPr>
            <w:tcW w:w="20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9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39"/>
        </w:trPr>
        <w:tc>
          <w:tcPr>
            <w:tcW w:w="61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402"/>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top w:val="single" w:sz="8" w:color="auto"/>
              <w:bottom w:val="single" w:sz="8" w:color="auto"/>
            </w:tcBorders>
          </w:tcPr>
          <w:p>
            <w:pPr>
              <w:jc w:val="right"/>
              <w:ind w:right="61"/>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0"/>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top w:val="single" w:sz="8" w:color="auto"/>
              <w:bottom w:val="single" w:sz="8" w:color="auto"/>
            </w:tcBorders>
          </w:tcPr>
          <w:p>
            <w:pPr>
              <w:jc w:val="right"/>
              <w:ind w:right="98"/>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r>
      <w:tr>
        <w:trPr>
          <w:trHeight w:val="139"/>
        </w:trPr>
        <w:tc>
          <w:tcPr>
            <w:tcW w:w="6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60" w:type="dxa"/>
            <w:vAlign w:val="bottom"/>
            <w:gridSpan w:val="4"/>
          </w:tcPr>
          <w:p>
            <w:pPr>
              <w:jc w:val="right"/>
              <w:ind w:right="430"/>
              <w:spacing w:after="0" w:line="13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Restatement</w:t>
            </w:r>
          </w:p>
        </w:tc>
        <w:tc>
          <w:tcPr>
            <w:tcW w:w="9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w w:val="94"/>
              </w:rPr>
              <w:t>$(2,842)</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$(2,778)</w:t>
            </w:r>
          </w:p>
        </w:tc>
        <w:tc>
          <w:tcPr>
            <w:tcW w:w="11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$(2,638)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$(15,401)</w:t>
            </w: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Factor Change</w:t>
            </w:r>
          </w:p>
        </w:tc>
        <w:tc>
          <w:tcPr>
            <w:tcW w:w="90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0.67%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0.22%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r>
    </w:tbl>
    <w:p>
      <w:pPr>
        <w:spacing w:after="0" w:line="176"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As previously discussed, our reserving practice is to consistently recognize the actuarial best estimate of our ultimate liability for claims. Actuarial standards require the use of assumptions based on moderately adverse experience, and as such, a provision for adverse deviation is recognized on current reserves and released on prior reserves. We experienced favorable medical claims reserve development related to prior fiscal years of $2.8 million in 2018 and 2019 and $2.6 million and $15.4 million in the nine months period ended September 30, 2019 and 2020, respectively.</w:t>
      </w:r>
    </w:p>
    <w:p>
      <w:pPr>
        <w:spacing w:after="0" w:line="185" w:lineRule="exact"/>
        <w:rPr>
          <w:sz w:val="20"/>
          <w:szCs w:val="20"/>
          <w:color w:val="auto"/>
        </w:rPr>
      </w:pPr>
    </w:p>
    <w:p>
      <w:pPr>
        <w:jc w:val="both"/>
        <w:ind w:right="20" w:firstLine="449"/>
        <w:spacing w:after="0" w:line="258" w:lineRule="auto"/>
        <w:rPr>
          <w:sz w:val="20"/>
          <w:szCs w:val="20"/>
          <w:color w:val="auto"/>
        </w:rPr>
      </w:pPr>
      <w:r>
        <w:rPr>
          <w:rFonts w:ascii="Times New Roman" w:cs="Times New Roman" w:eastAsia="Times New Roman" w:hAnsi="Times New Roman"/>
          <w:sz w:val="18"/>
          <w:szCs w:val="18"/>
          <w:color w:val="auto"/>
        </w:rPr>
        <w:t>The favorable medical claims reserve development for all periods presented primarily reflects the consistent application of trend and completion factors estimated using an assumption of moderately adverse conditions. Our favorable development for each of the years presented above is discussed further in Note 10 to the consolidated financial statements included elsewhere in this prospectus.</w:t>
      </w:r>
    </w:p>
    <w:p>
      <w:pPr>
        <w:spacing w:after="0" w:line="179" w:lineRule="exact"/>
        <w:rPr>
          <w:sz w:val="20"/>
          <w:szCs w:val="20"/>
          <w:color w:val="auto"/>
        </w:rPr>
      </w:pPr>
    </w:p>
    <w:p>
      <w:pPr>
        <w:ind w:right="400" w:firstLine="449"/>
        <w:spacing w:after="0" w:line="270" w:lineRule="auto"/>
        <w:rPr>
          <w:sz w:val="20"/>
          <w:szCs w:val="20"/>
          <w:color w:val="auto"/>
        </w:rPr>
      </w:pPr>
      <w:r>
        <w:rPr>
          <w:rFonts w:ascii="Times New Roman" w:cs="Times New Roman" w:eastAsia="Times New Roman" w:hAnsi="Times New Roman"/>
          <w:sz w:val="18"/>
          <w:szCs w:val="18"/>
          <w:color w:val="auto"/>
        </w:rPr>
        <w:t>We continually adjust our completion factor with our knowledge of recent events that may impact current completion factors when establishing our reserves. Because our reserving practice is to consistently recognize the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450"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actuarial best estimate using an assumption of moderately adverse conditions as required by actuarial standards, there is a reasonable possibility that variances between actual completion factors and those assumed in our December 31, 2019 and September 30, 2020, unpaid claim estimate would fall around the middle of the ranges previously presented in our completion factor sensitivity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4"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We receive monthly premiums from the federal government according to government specified payment rates and various contractual terms. Revenue from premiums earned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as other liabilities and recognized as revenue in the period earned.</w:t>
      </w:r>
    </w:p>
    <w:p>
      <w:pPr>
        <w:spacing w:after="0" w:line="185"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Premiums anticipated to be received within twelve months based on the documented diagnostic criteria of our enrollees are estimated and included in revenue for the period including the member months for which the payment is designated by CMS.</w:t>
      </w:r>
    </w:p>
    <w:p>
      <w:pPr>
        <w:spacing w:after="0" w:line="169"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CMS uses a risk-adjustment model which adjusts premiums paid to MA contracts, based on member risk scores, which are meant to compensate plans that enroll beneficiaries with a higher than average health risk and to reduce payments for healthier beneficiaries who have a lower health risk. Risk scores are based on member diagnoses from the previous year and are periodically adjusted retroactively based on additional plan data collection. Risk adjustments can have a positive or negative retroactive impact to rates. Under this model, rates paid to MA plans are based on actuarially determined bids, which include a process whereby prospective payments are based on our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revenue from premiums earned, based upon available information.</w:t>
      </w:r>
    </w:p>
    <w:p>
      <w:pPr>
        <w:spacing w:after="0" w:line="193" w:lineRule="exact"/>
        <w:rPr>
          <w:sz w:val="20"/>
          <w:szCs w:val="20"/>
          <w:color w:val="auto"/>
        </w:rPr>
      </w:pPr>
    </w:p>
    <w:p>
      <w:pPr>
        <w:ind w:right="220" w:firstLine="449"/>
        <w:spacing w:after="0" w:line="270" w:lineRule="auto"/>
        <w:rPr>
          <w:sz w:val="20"/>
          <w:szCs w:val="20"/>
          <w:color w:val="auto"/>
        </w:rPr>
      </w:pPr>
      <w:r>
        <w:rPr>
          <w:rFonts w:ascii="Times New Roman" w:cs="Times New Roman" w:eastAsia="Times New Roman" w:hAnsi="Times New Roman"/>
          <w:sz w:val="18"/>
          <w:szCs w:val="18"/>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Advantage Part D</w:t>
      </w:r>
    </w:p>
    <w:p>
      <w:pPr>
        <w:spacing w:after="0" w:line="112"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Payments received from CMS and members from our participation in the MAPD program are determined from our annual bid and represent amounts for providing prescription drug insurance coverage; these amounts are recognized as premium revenue for providing this insurance coverage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require us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14"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8"/>
          <w:szCs w:val="18"/>
          <w:color w:val="auto"/>
        </w:rPr>
        <w:t>The estimation of reinsurance recoverable involves a significant amount of judgment. Reinsurance assets include reinsurance recoverable on claims and claims adjustment expense that are estimated as part of our claim</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450" w:right="3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liability reserving process and, consequently, are subject to similar judgments and uncertainties. This estimate requires significant judgment for which key considerations include:</w:t>
      </w:r>
    </w:p>
    <w:p>
      <w:pPr>
        <w:spacing w:after="0" w:line="76" w:lineRule="exact"/>
        <w:rPr>
          <w:sz w:val="20"/>
          <w:szCs w:val="20"/>
          <w:color w:val="auto"/>
        </w:rPr>
      </w:pPr>
    </w:p>
    <w:p>
      <w:pPr>
        <w:ind w:left="1000" w:hanging="43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and unpaid amounts recoverable;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balance is in dispute or subject to legal collection;</w:t>
      </w:r>
    </w:p>
    <w:p>
      <w:pPr>
        <w:spacing w:after="0" w:line="123" w:lineRule="exact"/>
        <w:rPr>
          <w:rFonts w:ascii="Times New Roman" w:cs="Times New Roman" w:eastAsia="Times New Roman" w:hAnsi="Times New Roman"/>
          <w:sz w:val="18"/>
          <w:szCs w:val="18"/>
          <w:color w:val="auto"/>
        </w:rPr>
      </w:pPr>
    </w:p>
    <w:p>
      <w:pPr>
        <w:ind w:left="1000" w:right="40" w:hanging="439"/>
        <w:spacing w:after="0" w:line="270"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 reinsurer (i.e., liquidated, insolvent, in receivership or otherwise subject to formal or informal regulatory restriction); and</w:t>
      </w:r>
    </w:p>
    <w:p>
      <w:pPr>
        <w:spacing w:after="0" w:line="76" w:lineRule="exact"/>
        <w:rPr>
          <w:rFonts w:ascii="Times New Roman" w:cs="Times New Roman" w:eastAsia="Times New Roman" w:hAnsi="Times New Roman"/>
          <w:sz w:val="18"/>
          <w:szCs w:val="18"/>
          <w:color w:val="auto"/>
        </w:rPr>
      </w:pPr>
    </w:p>
    <w:p>
      <w:pPr>
        <w:ind w:left="1000" w:right="280" w:hanging="439"/>
        <w:spacing w:after="0" w:line="270"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the reinsurance recovery for factors such as, amounts outstanding, length of collection periods, disputes, any collateral or letters of credit held and other relevant factors.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Derivative Liabilities</w:t>
      </w:r>
    </w:p>
    <w:p>
      <w:pPr>
        <w:spacing w:after="0" w:line="11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We classify warrants issued in connection with notes payable to purchase shares of our capital stock as liabilities, as the warrants were determined to be freestanding instruments. The warrants are considered to be freestanding instruments if they meet either of the following conditions: (1) they are entered into separately and apart from any of our other financial instruments or equity transactions or (2) they are entered into in conjunction with some other transaction and are legally detachable and separately exercisable. We consider the warrants to be legally detachable and separately exercisable from the simultaneous notes payable transactions they were issued with, and therefore account for them separately.</w:t>
      </w:r>
    </w:p>
    <w:p>
      <w:pPr>
        <w:spacing w:after="0" w:line="187" w:lineRule="exact"/>
        <w:rPr>
          <w:sz w:val="20"/>
          <w:szCs w:val="20"/>
          <w:color w:val="auto"/>
        </w:rPr>
      </w:pPr>
    </w:p>
    <w:p>
      <w:pPr>
        <w:ind w:right="60" w:firstLine="449"/>
        <w:spacing w:after="0" w:line="267" w:lineRule="auto"/>
        <w:rPr>
          <w:sz w:val="20"/>
          <w:szCs w:val="20"/>
          <w:color w:val="auto"/>
        </w:rPr>
      </w:pPr>
      <w:r>
        <w:rPr>
          <w:rFonts w:ascii="Times New Roman" w:cs="Times New Roman" w:eastAsia="Times New Roman" w:hAnsi="Times New Roman"/>
          <w:sz w:val="17"/>
          <w:szCs w:val="17"/>
          <w:color w:val="auto"/>
        </w:rPr>
        <w:t>To determine the balance sheet classification for these warrants, we evaluate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our Consolidated Statements of Operations and Comprehensive Loss. We will continue to adjust the liability for changes in fair value until the warrants are exercised, expire or qualify for equity classification. Upon the Closing, the warrants to purchase shares of our convertible preferred stock will become exercisable for common stock instead of preferred stock and the fair value of the warrant liability at that time will be reclassified to additional paid-in capital.</w:t>
      </w:r>
    </w:p>
    <w:p>
      <w:pPr>
        <w:spacing w:after="0" w:line="176"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evaluate the embedded features of the Convertible Securities by applying the derivatives accounting guidance. Derivatives embedded within non-derivative instruments, such as the Convertible Securities, are bifurcated from the host instrument when the embedded derivative is not clearly and closely related to the host instrument. We determined that certain conversion and redemption features associated with the Convertible Securities are embedded derivatives and have been bifurcated from the host instrument and accounted for as embedded derivative instruments. These derivatives are recognized as derivative liabilities and recorded at fair value.</w:t>
      </w:r>
    </w:p>
    <w:p>
      <w:pPr>
        <w:spacing w:after="0" w:line="187"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Fair values of warrants and derivative liabilities related to the Convertible Securities are estimated using a probability-weighted expected return method, where the values of various instruments are estimated based on an analysis of future values of our business, assuming various future outcomes. The resulting instruments’ values are based upon the probability-weighted present value of expected future investment returns, considering each of the possible future outcomes available to us,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450" w:right="3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4"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We account for all stock-based payment awards granted to employees and non-employees as stock-based compensation expense at fair value. Our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Consolidated Statements of Operations and Comprehensive Loss in salaries and benefits. We recognize stock-based compensation expense for the portion of awards that have vested. Forfeitures are recorded as they occur.</w:t>
      </w:r>
    </w:p>
    <w:p>
      <w:pPr>
        <w:spacing w:after="0" w:line="189"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 fair value of common stock underlying the options has historically been determined by our board of directors, with input from management, and considering third party valuations of our common stock. Because there has been no public market for our common stock, our board of directors has determined its fair value at the time of grant of the option by considering a number of objective and subjective factors, including financing investment rounds, operating and financial performance, the lack of liquidity of share capital and general and industry specific economic outlook, among other factors. The fair value of the underlying common stock will be determined by our board of directors until such time as our common stock is listed on an established stock exchange. Our board of directors determined the fair value of common stock based on valuations performed using the Option Pricing Method (“OPM”) and the Probability Weighted Expected Return Method (“PWERM”), subject to relevant facts and circumstances. The valuations using the OPM and PWERM utilized both the market approach and income approach. The market approach involved a public company market multiple and the income approach involved estimating future cash flows and discounting those cash flows at an appropriate rate.</w:t>
      </w:r>
    </w:p>
    <w:p>
      <w:pPr>
        <w:spacing w:after="0" w:line="190" w:lineRule="exact"/>
        <w:rPr>
          <w:sz w:val="20"/>
          <w:szCs w:val="20"/>
          <w:color w:val="auto"/>
        </w:rPr>
      </w:pPr>
    </w:p>
    <w:p>
      <w:pPr>
        <w:ind w:right="60" w:firstLine="449"/>
        <w:spacing w:after="0" w:line="269" w:lineRule="auto"/>
        <w:rPr>
          <w:sz w:val="20"/>
          <w:szCs w:val="20"/>
          <w:color w:val="auto"/>
        </w:rPr>
      </w:pPr>
      <w:r>
        <w:rPr>
          <w:rFonts w:ascii="Times New Roman" w:cs="Times New Roman" w:eastAsia="Times New Roman" w:hAnsi="Times New Roman"/>
          <w:sz w:val="17"/>
          <w:szCs w:val="17"/>
          <w:color w:val="auto"/>
        </w:rPr>
        <w:t>For warrants issued to non-employees as payments for services, we consider the warrants to be in scope of stock-based compensation guidance to non-employees. To determine whether the warrants should be classified as liabilities or equity awards, we evaluate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174" w:lineRule="exact"/>
        <w:rPr>
          <w:sz w:val="20"/>
          <w:szCs w:val="20"/>
          <w:color w:val="auto"/>
        </w:rPr>
      </w:pPr>
    </w:p>
    <w:p>
      <w:pPr>
        <w:ind w:right="20" w:firstLine="449"/>
        <w:spacing w:after="0" w:line="270" w:lineRule="auto"/>
        <w:rPr>
          <w:sz w:val="20"/>
          <w:szCs w:val="20"/>
          <w:color w:val="auto"/>
        </w:rPr>
      </w:pPr>
      <w:r>
        <w:rPr>
          <w:rFonts w:ascii="Times New Roman" w:cs="Times New Roman" w:eastAsia="Times New Roman" w:hAnsi="Times New Roman"/>
          <w:sz w:val="18"/>
          <w:szCs w:val="18"/>
          <w:color w:val="auto"/>
        </w:rPr>
        <w:t>See Note 18 to our consolidated financial statements appearing elsewhere in this prospectus for a complete description of the accounting for stock-based compensation awards.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12" w:lineRule="exact"/>
        <w:rPr>
          <w:sz w:val="20"/>
          <w:szCs w:val="20"/>
          <w:color w:val="auto"/>
        </w:rPr>
      </w:pPr>
    </w:p>
    <w:p>
      <w:pPr>
        <w:ind w:right="500" w:firstLine="449"/>
        <w:spacing w:after="0" w:line="270"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prospectus for a discussion of accounting pronouncements recently adopted and recently issued accounting pronouncements not yet adopted and their potential impact to our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2"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SCH is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SCH has elected to use this extended transition period under the JOBS Act.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450"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12"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fixed maturities. We do not have material exposure to commodity risk.</w:t>
      </w:r>
    </w:p>
    <w:p>
      <w:pPr>
        <w:spacing w:after="0" w:line="185" w:lineRule="exact"/>
        <w:rPr>
          <w:sz w:val="20"/>
          <w:szCs w:val="20"/>
          <w:color w:val="auto"/>
        </w:rPr>
      </w:pPr>
    </w:p>
    <w:p>
      <w:pPr>
        <w:ind w:right="520" w:firstLine="449"/>
        <w:spacing w:after="0" w:line="270" w:lineRule="auto"/>
        <w:rPr>
          <w:sz w:val="20"/>
          <w:szCs w:val="20"/>
          <w:color w:val="auto"/>
        </w:rPr>
      </w:pPr>
      <w:r>
        <w:rPr>
          <w:rFonts w:ascii="Times New Roman" w:cs="Times New Roman" w:eastAsia="Times New Roman" w:hAnsi="Times New Roman"/>
          <w:sz w:val="18"/>
          <w:szCs w:val="18"/>
          <w:color w:val="auto"/>
        </w:rPr>
        <w:t>We are also exposed to credit risk on our investment portfolio. We manage the exposure to credit risk in our portfolio by investing in high quality securities and diversifying our holdings.</w:t>
      </w:r>
    </w:p>
    <w:p>
      <w:pPr>
        <w:spacing w:after="0" w:line="16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Our investment policy is focused on preservation of capital, liquidity and earning a modest yield. Our investment portfolio is invested in U.S. Treasury fixed maturity securities. As of December 31, 2019, none of our fixed maturity securities portfolio was unrated or rated below investment grade.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4"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320" w:top="450" w:right="3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Improve every life.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2"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insurer, we leverage our flagship software platform, the Clover Assistant, to provide America’s seniors with PPO and HMO plans that are the obvious choice for Medicare-eligible consumers. We call our plans “Obvious” because we believe they are highly affordable—offering most of our members the lowest average out-of-pocket costs for PCP co-pays, specialist co-pays, drug deductibles and drug costs in their markets—and provide peace of mind with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Today, we have the highest membership growth rate among Medicare Advantage plans in the United States with over 50,000 members, based on CMS enrollment data, and reach a broad array of consumers, including traditionally underserved populations. We believe our growth potential in existing and future markets is high.</w:t>
      </w:r>
    </w:p>
    <w:p>
      <w:pPr>
        <w:spacing w:after="0" w:line="188"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Like successful technology innovators in other sectors, we are seeking to disrupt our industry from within by building a technology-centric ecosystem, enabling rapid software iteration and dramatic value creation. Our internally-developed technology platform could have been built only because we operate it ourselves, within our own MA plan. This approach uniquely positions us to close the healthcare feedback loop with technology, linking clinical data and physician action.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Clover Assistant enables us to succeed via a scalable technology-driven virtuous growth cycle:</w:t>
      </w:r>
    </w:p>
    <w:p>
      <w:pPr>
        <w:spacing w:after="0" w:line="124" w:lineRule="exact"/>
        <w:rPr>
          <w:sz w:val="20"/>
          <w:szCs w:val="20"/>
          <w:color w:val="auto"/>
        </w:rPr>
      </w:pPr>
    </w:p>
    <w:p>
      <w:pPr>
        <w:ind w:left="1000" w:hanging="43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broadly disseminate the Clover Assistant free-of-charge to PCPs who use it at the point of care while treating our members.</w:t>
      </w:r>
    </w:p>
    <w:p>
      <w:pPr>
        <w:spacing w:after="0" w:line="123" w:lineRule="exact"/>
        <w:rPr>
          <w:rFonts w:ascii="Times New Roman" w:cs="Times New Roman" w:eastAsia="Times New Roman" w:hAnsi="Times New Roman"/>
          <w:sz w:val="18"/>
          <w:szCs w:val="18"/>
          <w:color w:val="auto"/>
        </w:rPr>
      </w:pPr>
    </w:p>
    <w:p>
      <w:pPr>
        <w:ind w:left="1000" w:right="240" w:hanging="439"/>
        <w:spacing w:after="0" w:line="25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Clover Assistant provides essential information and personalized care recommendations to PCPs, driving real-time, data-driven decision-making, which results in better care for our members and strong plan performance. Powered by its closed feedback loop, our platform continuously improves as we collect more data from growth in engagement and continue to iterate.</w:t>
      </w:r>
    </w:p>
    <w:p>
      <w:pPr>
        <w:spacing w:after="0" w:line="85" w:lineRule="exact"/>
        <w:rPr>
          <w:rFonts w:ascii="Times New Roman" w:cs="Times New Roman" w:eastAsia="Times New Roman" w:hAnsi="Times New Roman"/>
          <w:sz w:val="18"/>
          <w:szCs w:val="18"/>
          <w:color w:val="auto"/>
        </w:rPr>
      </w:pPr>
    </w:p>
    <w:p>
      <w:pPr>
        <w:ind w:left="1000" w:right="600" w:hanging="439"/>
        <w:spacing w:after="0" w:line="270"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our improved plan economics into lowering our members’ out-of-pocket costs while improving their benefits, including broad freedom of choice in selecting their physicians.</w:t>
      </w:r>
    </w:p>
    <w:p>
      <w:pPr>
        <w:spacing w:after="0" w:line="76" w:lineRule="exact"/>
        <w:rPr>
          <w:rFonts w:ascii="Times New Roman" w:cs="Times New Roman" w:eastAsia="Times New Roman" w:hAnsi="Times New Roman"/>
          <w:sz w:val="18"/>
          <w:szCs w:val="18"/>
          <w:color w:val="auto"/>
        </w:rPr>
      </w:pPr>
    </w:p>
    <w:p>
      <w:pPr>
        <w:jc w:val="both"/>
        <w:ind w:left="1000" w:right="140" w:hanging="439"/>
        <w:spacing w:after="0" w:line="25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drive strong, industry-leading organic membership growth, as compared to other MA plans with over 50,000 members, as consumers select our “Obvious” plans and receive care from physicians on the Clover Assistant, generating broader usage of the platform and thus restarting the cycle.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succeeded with this approach in our established markets and seek to replicate it in all markets that we enter.</w:t>
      </w:r>
    </w:p>
    <w:p>
      <w:pPr>
        <w:spacing w:after="0" w:line="216" w:lineRule="exact"/>
        <w:rPr>
          <w:sz w:val="20"/>
          <w:szCs w:val="20"/>
          <w:color w:val="auto"/>
        </w:rPr>
      </w:pPr>
    </w:p>
    <w:p>
      <w:pPr>
        <w:ind w:right="400" w:firstLine="449"/>
        <w:spacing w:after="0" w:line="253" w:lineRule="auto"/>
        <w:rPr>
          <w:sz w:val="20"/>
          <w:szCs w:val="20"/>
          <w:color w:val="auto"/>
        </w:rPr>
      </w:pPr>
      <w:r>
        <w:rPr>
          <w:rFonts w:ascii="Times New Roman" w:cs="Times New Roman" w:eastAsia="Times New Roman" w:hAnsi="Times New Roman"/>
          <w:sz w:val="18"/>
          <w:szCs w:val="18"/>
          <w:color w:val="auto"/>
        </w:rPr>
        <w:t>We drive adoption and use of the Clover Assistant across our PCP network by focusing on continuously improving its user-centric design, highly actionable and real-time clinical content, enhanced and rapid payment for Clover Assistant visits and simple onboarding. As of September 30, 2020, over 2,300 PCPs, who already treat our members and are responsible for caring for 65% of our total membership, had contracted to use the Clover Assistant to manage our members’ care. In addition, the Clover Assistant delights physicians, as evidenced by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450"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positive NPS of 59 for the six months ended September 30, 2020. The Clover Assistant’s NPS is comparable to those of leading consumer technology platforms, such as Netflix and Amazon, and stands in stark contrast to the average negative NPS of -44 of legacy medical record software products, including EHRs such as athenahealth, Epic or NextGen, in 2016. Additionally, onboarded physicians are highly engaged, using the Clover Assistant for 92% of their member visits in 2019.</w:t>
      </w:r>
    </w:p>
    <w:p>
      <w:pPr>
        <w:spacing w:after="0" w:line="185"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High PCP engagement with the Clover Assistant enables real-time, data-driven decision-making for our members at the point of care and drives rapid software iteration: the more that physicians use the Clover Assistant, the more it learns and furthers the precision of personalized data-driven recommendations. We combine our payor data with physician-generated data and use this powerful closed feedback loop to continuously tune our clinical rules and machine learning models, as well as to select and prioritize future software capabilities. On average, we have released an updated version once every three weeks since the launch of the Clover Assistant in July 2018. The use and continuous improvement of the Clover Assistant has resulted in not only improved clinical decision-making but also strong plan performance, which is evident in improvements to our MCR, a measure defined as our total net medical claims expenses incurred divided by premiums earned. We use MCR to assess gross profit for our plans and reduce medical expenses through the use of the Clover Assistant. For the three and twelve months ended March 31, 2020, our MCR for returning members with a PCP who used the Clover Assistant was 82.0% and 85.6%, respectively, which was on average, 1,100 and 730 basis points lower, respectively, than the MCR for returning members with a PCP who did not use the Clover Assistant. These MCRs already take into account our attractive plan design, so if we were to offer narrow-network plans at competitor benefits, we believe our MCR would be significantly better. The platform also facilitates identifying and engaging with our most at-risk members for our many clinical programs designed to provide additional targeted care support, which further drives better plan performance. For example, since the inception of our in-home complex care program on May 1, 2017, until March 31, 2020, inpatient admissions and the MCR of the 1,061 program enrollees were 12% and 1,900 basis points lower, respectively, than the admissions and MCR of 716 people in a matched control group.</w:t>
      </w:r>
    </w:p>
    <w:p>
      <w:pPr>
        <w:spacing w:after="0" w:line="190" w:lineRule="exact"/>
        <w:rPr>
          <w:sz w:val="20"/>
          <w:szCs w:val="20"/>
          <w:color w:val="auto"/>
        </w:rPr>
      </w:pPr>
    </w:p>
    <w:p>
      <w:pPr>
        <w:ind w:right="40" w:firstLine="449"/>
        <w:spacing w:after="0" w:line="265" w:lineRule="auto"/>
        <w:rPr>
          <w:sz w:val="20"/>
          <w:szCs w:val="20"/>
          <w:color w:val="auto"/>
        </w:rPr>
      </w:pPr>
      <w:r>
        <w:rPr>
          <w:rFonts w:ascii="Times New Roman" w:cs="Times New Roman" w:eastAsia="Times New Roman" w:hAnsi="Times New Roman"/>
          <w:sz w:val="17"/>
          <w:szCs w:val="17"/>
          <w:color w:val="auto"/>
        </w:rPr>
        <w:t>As the improved care made possible by the Clover Assistant results in improved plan economics, we are able to return a material portion of our savings to members through our “Obvious” plans. We strive to continuously lower our members’ out-of-pocket costs and provide them with market-leading benefits. Most of our members are enrolled in plans that offer the lowest average out-of-pocket costs for PCP co-pays, specialist co-pays, drug deductibles and drug costs in their markets while also providing peace of mind with broad network access and with the same in- and out-of-network costs for physician visits. For example, based on a company analysis that assumes a lifetime of seven years on Medicare, we estimate that our highest enrolled plan offers a 17% average lifetime cost savings compared to the highest enrolled MA competitor plan in our five largest markets. Likewise, based on a similar company analysis, we estimate that our highest enrolled plan offers a 41% average lifetime cost savings compared to Original Medicare, taking into account the Kaiser Family Foundation’s reported average Original Medicare enrollee’s out-of-pocket spending on medical and long-term care services in 2016.</w:t>
      </w:r>
    </w:p>
    <w:p>
      <w:pPr>
        <w:spacing w:after="0" w:line="177"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As a result of our “Obvious” plans, we have achieved significant organic membership growth. Our membership has expanded from 30,677 as of January 1, 2018, to 57,503 as of September 30, 2020, representing 25% share of the individual, non-SNP MA market in our established markets, which we define as markets where an insurer has over 500 members as of the end of the prior year. This expansion has largely been driven by our nation-leading established market take rate, which has averaged more than 50% over the past three years across a group of counties in New Jersey that grew from eight to 13 over the period. Established market take rate is derived from publicly available CMS data and represents the number of members gained by an insurer as a percentage of the total number of incremental MA members added to comparable plans in established markets. This rapid growth generated a 59.1% increase in our total revenues from $290.6 million for the year ended December 31, 2018, to $462.3 million for the year ended December 31, 2019, and our gross premiums earned, before the impact of premiums ceded to third party reinsurers under reinsurance agreements, grew 29.4%, from $353.9 million to $457.8 million over the same period. For the nine months ended September 30, 2020, our total</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80"/>
          </w:cols>
          <w:pgMar w:left="320" w:top="450" w:right="39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revenues were $506.7 million and gross premiums earned were $501.5 million as compared to $347.0 million in total revenues and $344.3 million in gross premiums earned for the nine months ended September 30, 2019, in each case, representing a 46% increase. During 2018 and 2019, we also built the infrastructure to deliver on a more efficient healthcare experience for our members, resulting in net losses of $(201.9) million and $(363.7) million for the years ended December 31, 2018 and 2019. For the years ended December 31, 2018 and 2019, our adjusted EBITDA was $(177.1) million and $(175.5) million, respectively, and our Adjusted EBITDA Margin was (50.1)% and (38.3)%, respectively. For the nine months ended September 30, 2020, our net loss was $(10.0) million, our adjusted EBITDA was $(11.0) million and our Adjusted EBITDA Margin was (2.2)%. Our improved results in the current year were the result of operational execution as well as reduced utilization of healthcare services as a result of COVID-19. Adjusted EBITDA and Adjusted EBITDA Margin are financial measures not presented in accordance with GAAP. See the section entitled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Operations—Certain Non-GAAP Financial Measures</w:t>
      </w:r>
      <w:r>
        <w:rPr>
          <w:rFonts w:ascii="Times New Roman" w:cs="Times New Roman" w:eastAsia="Times New Roman" w:hAnsi="Times New Roman"/>
          <w:sz w:val="18"/>
          <w:szCs w:val="18"/>
          <w:color w:val="auto"/>
        </w:rPr>
        <w:t>” for information regarding the limitations of using Adjusted EBITDA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Margin as financial measures and for a reconciliation of Adjusted EBITDA to net loss, the most directly comparable financial measure calculated in accordance with GAAP.</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 healthcare system faces significant challenges driven by misalignment across the sector</w:t>
      </w:r>
    </w:p>
    <w:p>
      <w:pPr>
        <w:spacing w:after="0" w:line="114" w:lineRule="exact"/>
        <w:rPr>
          <w:sz w:val="20"/>
          <w:szCs w:val="20"/>
          <w:color w:val="auto"/>
        </w:rPr>
      </w:pPr>
    </w:p>
    <w:p>
      <w:pPr>
        <w:ind w:right="500" w:firstLine="449"/>
        <w:spacing w:after="0" w:line="270" w:lineRule="auto"/>
        <w:rPr>
          <w:sz w:val="20"/>
          <w:szCs w:val="20"/>
          <w:color w:val="auto"/>
        </w:rPr>
      </w:pPr>
      <w:r>
        <w:rPr>
          <w:rFonts w:ascii="Times New Roman" w:cs="Times New Roman" w:eastAsia="Times New Roman" w:hAnsi="Times New Roman"/>
          <w:sz w:val="18"/>
          <w:szCs w:val="18"/>
          <w:color w:val="auto"/>
        </w:rPr>
        <w:t>Misaligned incentives among key constituents in healthcare, including payors, providers and consumers, have a significant impact on how care is delivered today:</w:t>
      </w:r>
    </w:p>
    <w:p>
      <w:pPr>
        <w:spacing w:after="0" w:line="76" w:lineRule="exact"/>
        <w:rPr>
          <w:sz w:val="20"/>
          <w:szCs w:val="20"/>
          <w:color w:val="auto"/>
        </w:rPr>
      </w:pPr>
    </w:p>
    <w:p>
      <w:pPr>
        <w:ind w:left="1000" w:right="120" w:hanging="439"/>
        <w:spacing w:after="0" w:line="270"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Payors (health insurance companies) are incentivized to drive their own profitability by either raising premiums to address the impact of health cost inflation or attempting to reduce healthcare costs by, among other actions, limiting access to care or denying medical claims.</w:t>
      </w:r>
    </w:p>
    <w:p>
      <w:pPr>
        <w:spacing w:after="0" w:line="76" w:lineRule="exact"/>
        <w:rPr>
          <w:rFonts w:ascii="Times New Roman" w:cs="Times New Roman" w:eastAsia="Times New Roman" w:hAnsi="Times New Roman"/>
          <w:sz w:val="18"/>
          <w:szCs w:val="18"/>
          <w:color w:val="auto"/>
        </w:rPr>
      </w:pPr>
    </w:p>
    <w:p>
      <w:pPr>
        <w:jc w:val="both"/>
        <w:ind w:left="1000" w:right="40" w:hanging="439"/>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(physicians, hospitals and other facilities) must navigate payor-set reimbursement requirements that can drive them to shift their focus away from patient care. These requirements can lead to perverse incentives for providers as they are rewarded for higher volumes of procedures in some payment models or focusing on documentation over care in other models.</w:t>
      </w:r>
    </w:p>
    <w:p>
      <w:pPr>
        <w:spacing w:after="0" w:line="204" w:lineRule="exact"/>
        <w:rPr>
          <w:rFonts w:ascii="Times New Roman" w:cs="Times New Roman" w:eastAsia="Times New Roman" w:hAnsi="Times New Roman"/>
          <w:sz w:val="18"/>
          <w:szCs w:val="18"/>
          <w:color w:val="auto"/>
        </w:rPr>
      </w:pPr>
    </w:p>
    <w:p>
      <w:pPr>
        <w:jc w:val="both"/>
        <w:ind w:left="1000" w:right="440" w:hanging="439"/>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have limited influence over how care is delivered, and by whom, as they are subject to restrictive payor/provider relationships, leading to limited access to care and inconsistent or poor quality experiences as providers and payors may choose to prioritize profits over patients’ interests.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these misaligned incentives, the healthcare industry suffers from a number of significant challenges, including:</w:t>
      </w:r>
    </w:p>
    <w:p>
      <w:pPr>
        <w:spacing w:after="0" w:line="122" w:lineRule="exact"/>
        <w:rPr>
          <w:sz w:val="20"/>
          <w:szCs w:val="20"/>
          <w:color w:val="auto"/>
        </w:rPr>
      </w:pPr>
    </w:p>
    <w:p>
      <w:pPr>
        <w:ind w:left="1000" w:right="260" w:hanging="439"/>
        <w:spacing w:after="0" w:line="254"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Siloed and inactionable health data leading to inefficient and suboptimal patient care</w:t>
      </w:r>
      <w:r>
        <w:rPr>
          <w:rFonts w:ascii="Times New Roman" w:cs="Times New Roman" w:eastAsia="Times New Roman" w:hAnsi="Times New Roman"/>
          <w:sz w:val="18"/>
          <w:szCs w:val="18"/>
          <w:color w:val="auto"/>
        </w:rPr>
        <w:t>. While legacy billing and administrative tools,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EHRs, help collect data, patient data is siloed across care settings, such as hospitals, physicians’ offices and pharmacies, and payors and providers are often reluctant to share data unless it serves their financial interests (e.g., during reimbursement negotiations). These conditions create considerable hurdles in transitioning health care to personalized, evidence-based, real-time data-driven clinical care.</w:t>
      </w:r>
    </w:p>
    <w:p>
      <w:pPr>
        <w:spacing w:after="0" w:line="88" w:lineRule="exact"/>
        <w:rPr>
          <w:rFonts w:ascii="Times New Roman" w:cs="Times New Roman" w:eastAsia="Times New Roman" w:hAnsi="Times New Roman"/>
          <w:sz w:val="18"/>
          <w:szCs w:val="18"/>
          <w:color w:val="auto"/>
        </w:rPr>
      </w:pPr>
    </w:p>
    <w:p>
      <w:pPr>
        <w:ind w:left="1000" w:hanging="439"/>
        <w:spacing w:after="0" w:line="259"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administrative demands on physicians with limited support to improve health care</w:t>
      </w:r>
      <w:r>
        <w:rPr>
          <w:rFonts w:ascii="Times New Roman" w:cs="Times New Roman" w:eastAsia="Times New Roman" w:hAnsi="Times New Roman"/>
          <w:sz w:val="18"/>
          <w:szCs w:val="18"/>
          <w:color w:val="auto"/>
        </w:rPr>
        <w:t>. Today, many physicians are increasingly 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in front of EHRs to complete administrative tasks, and less time with patients. In addition, physicians feel that they have limited support to improve the health of patients, which has led to lower job satisfaction and frustration.</w:t>
      </w:r>
    </w:p>
    <w:p>
      <w:pPr>
        <w:spacing w:after="0" w:line="83" w:lineRule="exact"/>
        <w:rPr>
          <w:rFonts w:ascii="Times New Roman" w:cs="Times New Roman" w:eastAsia="Times New Roman" w:hAnsi="Times New Roman"/>
          <w:sz w:val="18"/>
          <w:szCs w:val="18"/>
          <w:color w:val="auto"/>
        </w:rPr>
      </w:pPr>
    </w:p>
    <w:p>
      <w:pPr>
        <w:ind w:left="1000" w:right="20" w:hanging="439"/>
        <w:spacing w:after="0" w:line="259"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Abysmal experience and inequity of access to care for consumers</w:t>
      </w:r>
      <w:r>
        <w:rPr>
          <w:rFonts w:ascii="Times New Roman" w:cs="Times New Roman" w:eastAsia="Times New Roman" w:hAnsi="Times New Roman"/>
          <w:sz w:val="18"/>
          <w:szCs w:val="18"/>
          <w:color w:val="auto"/>
        </w:rPr>
        <w:t>. Consumers are increasingly dissatisfied with their healthcare experience,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81% reporting dissatisfaction according to Prophet and Camden group. The complexity or financial burden around co-pays, deductibles, cost-sharing and physician choice has led to inequities and may drive patients to avoid care altogether. According to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00"/>
          </w:cols>
          <w:pgMar w:left="320" w:top="450" w:right="3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spacing w:after="0" w:line="300" w:lineRule="auto"/>
        <w:rPr>
          <w:sz w:val="20"/>
          <w:szCs w:val="20"/>
          <w:color w:val="auto"/>
        </w:rPr>
      </w:pPr>
      <w:r>
        <w:rPr>
          <w:rFonts w:ascii="Times New Roman" w:cs="Times New Roman" w:eastAsia="Times New Roman" w:hAnsi="Times New Roman"/>
          <w:sz w:val="17"/>
          <w:szCs w:val="17"/>
          <w:color w:val="auto"/>
        </w:rPr>
        <w:t>Commonwealth Fund, approximately 40% of U.S. adults with below-average incomes reported a medical problem but did not visit a physician because of cost concerns, which has contributed to the United States ranking last among 11 industrialized countries on measures of health equity.</w:t>
      </w:r>
    </w:p>
    <w:p>
      <w:pPr>
        <w:spacing w:after="0" w:line="51" w:lineRule="exact"/>
        <w:rPr>
          <w:sz w:val="20"/>
          <w:szCs w:val="20"/>
          <w:color w:val="auto"/>
        </w:rPr>
      </w:pPr>
    </w:p>
    <w:p>
      <w:pPr>
        <w:ind w:left="1000" w:right="60" w:hanging="439"/>
        <w:spacing w:after="0" w:line="250"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 unsustainable cost curve and wasteful spending</w:t>
      </w:r>
      <w:r>
        <w:rPr>
          <w:rFonts w:ascii="Times New Roman" w:cs="Times New Roman" w:eastAsia="Times New Roman" w:hAnsi="Times New Roman"/>
          <w:sz w:val="18"/>
          <w:szCs w:val="18"/>
          <w:color w:val="auto"/>
        </w:rPr>
        <w:t>. Healthcare expenditures in the United States are escalating, with high levels of waste.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Academy of Medicine estimates that approximately 30% of U.S. healthcare expenditures in 2019 was wasteful. This amounts to $1.1 trillion. Wasteful spending is driven by variability in care and failure to conform to evidence-based clinical protocols, resulting in inconsistent cost and quality among providers; misaligned financial incentives, leading to overtreatment and fraud; and inefficient bureaucratic requirements, driving high administrative costs. These problems must be addressed as healthcare expenditures are forecasted to grow to $6.2 trillion by 2028 from $3.8 trillion, or 17.8% of gross domestic product, in 2019.</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Advantage presents a unique opportunity to address the challenges of today’s healthcare system</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Medicare is the U.S. federal health insurance program for Americans aged 65 or older and certain younger people with disabilities. In 2019, over</w:t>
      </w:r>
    </w:p>
    <w:p>
      <w:pPr>
        <w:spacing w:after="0" w:line="2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60 million people were enrolled in Medicare and that number is expected to rise, equating to over $1 trillion in total expenditures by 2025. While representing only 15% of the U.S. population, Medicare-eligible beneficiaries accounted for 34% of all healthcare spending in 2014, driven in part by the higher levels of chronic conditions and co-morbidities, such as diabetes and obesity.</w:t>
      </w:r>
    </w:p>
    <w:p>
      <w:pPr>
        <w:spacing w:after="0" w:line="189"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When individuals become eligible for Medicare coverage, they may elect to enroll directly with the federal government in what is commonly referred to as “Original Medicare,” under which they are generally required to pay premiums to the U.S. government and out-of-pocket deductibles and coinsurance to providers. Alternatively, eligible consumers may elect each year to enroll in Medicare Advantage in markets where it is available. Under MA, consumers can shop annually and choose a private company to coordinate their health plan benefits and care on behalf of the U.S. government. This model is consumer-friendly with low switching costs for members to choose the plan that suits their needs. In both Original Medicare and MA, the U.S. government is the ultimate insurer and pays for the cost of care. In MA, the U.S. government, through CMS, pays MA plans on a per member per month basis, which gives high visibility with respect to recurring revenue, making these plans similar to other subscription-based models. CMS also adjusts payments based on its risk adjustment model, which compensates plans for the health risk profile of their members, resulting in higher payments for sicker members who generally require more care, and provides the opportunity for sustainable plan economics regardless of a plan’s member mix. The consumer-oriented nature and predictable payment model feature have resulted in the MA program achieving rapid adoption.</w:t>
      </w:r>
    </w:p>
    <w:p>
      <w:pPr>
        <w:spacing w:after="0" w:line="188"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The overall Medicare market is growing rapidly, with 10,000 new individuals joining Medicare every day, and a growing number of these individuals choosing an MA plan over Original Medicare. MA plans offer consumers more choices than Original Medicare in terms of plan design, benefits and cost-sharing. Because of the plans’ flexibilities in providing supplemental benefits beyond those traditionally afforded in Original Medicare, it also serves as a laboratory of innovation for plans to demonstrate whether they can achieve better care and outcomes, at less cost, for Medicare enrollees than does Original Medicare. Currently, 36% of the total Medicare-eligible population chooses to enroll in Medicare Advantage, and that percentage is expected to rise to 50% by 2025 and 70% by 2040, according to L.E.K. Consulting. In terms of total expenditures, Medicare Advantage was $270 billion in 2019 and expected to grow at a 14% annual growth rate to $590 billion by 2025.</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number of factors make Medicare Advantage an ideal environment for private companies to drive positive change in the U.S. healthcare system:</w:t>
      </w:r>
    </w:p>
    <w:p>
      <w:pPr>
        <w:spacing w:after="0" w:line="122" w:lineRule="exact"/>
        <w:rPr>
          <w:sz w:val="20"/>
          <w:szCs w:val="20"/>
          <w:color w:val="auto"/>
        </w:rPr>
      </w:pPr>
    </w:p>
    <w:p>
      <w:pPr>
        <w:jc w:val="both"/>
        <w:ind w:left="1000" w:right="60" w:hanging="439"/>
        <w:spacing w:after="0" w:line="259"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 provides a powerful opportunity for economic alignment of the health plan, healthcare providers and the health care of members</w:t>
      </w:r>
      <w:r>
        <w:rPr>
          <w:rFonts w:ascii="Times New Roman" w:cs="Times New Roman" w:eastAsia="Times New Roman" w:hAnsi="Times New Roman"/>
          <w:sz w:val="18"/>
          <w:szCs w:val="18"/>
          <w:color w:val="auto"/>
        </w:rPr>
        <w:t>. MA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required to provide a comprehensive set of benefits to their members while receiving a fixed per member per month payment, but due to low switching costs, are more reluctant to pass on escalating costs to consumers. As a result, MA plans are incentivized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450"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establish long-term relationships with their members and to find ways to drive healthcare effectiveness and efficiency while maintaining member satisfaction. Capturing these economics also presents an opportunity for plans to reinvest savings by offering members lower out-of-pocket costs and improved plan designs.</w:t>
      </w:r>
    </w:p>
    <w:p>
      <w:pPr>
        <w:spacing w:after="0" w:line="84" w:lineRule="exact"/>
        <w:rPr>
          <w:sz w:val="20"/>
          <w:szCs w:val="20"/>
          <w:color w:val="auto"/>
        </w:rPr>
      </w:pPr>
    </w:p>
    <w:p>
      <w:pPr>
        <w:ind w:left="1000" w:right="60" w:hanging="439"/>
        <w:spacing w:after="0" w:line="254"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 plans have access to comprehensive, longitudinal member data that can support clinical decision-making</w:t>
      </w:r>
      <w:r>
        <w:rPr>
          <w:rFonts w:ascii="Times New Roman" w:cs="Times New Roman" w:eastAsia="Times New Roman" w:hAnsi="Times New Roman"/>
          <w:sz w:val="18"/>
          <w:szCs w:val="18"/>
          <w:color w:val="auto"/>
        </w:rPr>
        <w:t>. As payors, MA plans have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multitude of data, including claims, clinical, pharmacy, lab, imaging and other health data on its members, who are often frequent users of health care resources. This provides MA plans with longitudinal data sets that can help them coordinate better care, improve clinical decision-making and reduce costs for our chronically ill population that is in need of care.</w:t>
      </w:r>
    </w:p>
    <w:p>
      <w:pPr>
        <w:spacing w:after="0" w:line="88" w:lineRule="exact"/>
        <w:rPr>
          <w:rFonts w:ascii="Times New Roman" w:cs="Times New Roman" w:eastAsia="Times New Roman" w:hAnsi="Times New Roman"/>
          <w:sz w:val="18"/>
          <w:szCs w:val="18"/>
          <w:color w:val="auto"/>
        </w:rPr>
      </w:pPr>
    </w:p>
    <w:p>
      <w:pPr>
        <w:ind w:left="1000" w:right="100" w:hanging="439"/>
        <w:spacing w:after="0" w:line="25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 is one of the most robust, consumer-driven markets in healthcare</w:t>
      </w:r>
      <w:r>
        <w:rPr>
          <w:rFonts w:ascii="Times New Roman" w:cs="Times New Roman" w:eastAsia="Times New Roman" w:hAnsi="Times New Roman"/>
          <w:sz w:val="18"/>
          <w:szCs w:val="18"/>
          <w:color w:val="auto"/>
        </w:rPr>
        <w:t>. Compared to employer-sponsored health plans, where consumers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alternatives, MA plans must compete for members based on their value proposition to consumers because switching costs are low. Especially valuing their coverage because of their more complex health conditions, MA consumers evaluate out-of-pocket costs and the breadth of the healthcare provider networks that are offered when deciding to enroll in a plan. This consumer experience continues throughout the member journey, as seniors can choose to renew or change their Medicare plan each year.</w:t>
      </w:r>
    </w:p>
    <w:p>
      <w:pPr>
        <w:spacing w:after="0" w:line="89" w:lineRule="exact"/>
        <w:rPr>
          <w:rFonts w:ascii="Times New Roman" w:cs="Times New Roman" w:eastAsia="Times New Roman" w:hAnsi="Times New Roman"/>
          <w:sz w:val="18"/>
          <w:szCs w:val="18"/>
          <w:color w:val="auto"/>
        </w:rPr>
      </w:pPr>
    </w:p>
    <w:p>
      <w:pPr>
        <w:ind w:left="1000" w:right="20" w:hanging="439"/>
        <w:spacing w:after="0" w:line="254"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 benefits from growth tailwinds and strong bipartisan support</w:t>
      </w:r>
      <w:r>
        <w:rPr>
          <w:rFonts w:ascii="Times New Roman" w:cs="Times New Roman" w:eastAsia="Times New Roman" w:hAnsi="Times New Roman"/>
          <w:sz w:val="18"/>
          <w:szCs w:val="18"/>
          <w:color w:val="auto"/>
        </w:rPr>
        <w:t>. Driven by the aging U.S. population, MA is expected to capture a larger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overall healthcare spend. Since 2010, MA’s share of the market has more than doubled, with MA plan members representing 36% of the total Medicare eligible population in 2020. Since MA plans can enable better, more coordinated care at more affordable costs for seniors, it is one of the rare areas in health care that has received legislative support from both sides of the aisle.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Incumbent Medicare Advantage plans have been slow to adopt innovations to improve care delivery</w:t>
      </w:r>
    </w:p>
    <w:p>
      <w:pPr>
        <w:spacing w:after="0" w:line="11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Despite Medicare Advantage being a highly attractive market, incumbent MA plans have been slow to innovate. Many of these organizations were not purpose-built to be MA plans. Instead, many entered the market through acquisitions or by applying existing capabilities and know-how from their commercial health insurance offerings. We believe incumbent MA plans are not well positioned to improve care delivery because they:</w:t>
      </w:r>
    </w:p>
    <w:p>
      <w:pPr>
        <w:spacing w:after="0" w:line="84" w:lineRule="exact"/>
        <w:rPr>
          <w:sz w:val="20"/>
          <w:szCs w:val="20"/>
          <w:color w:val="auto"/>
        </w:rPr>
      </w:pPr>
    </w:p>
    <w:p>
      <w:pPr>
        <w:ind w:left="1000" w:right="20" w:hanging="439"/>
        <w:spacing w:after="0" w:line="249"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 not deliver real-time data at the point of care</w:t>
      </w:r>
      <w:r>
        <w:rPr>
          <w:rFonts w:ascii="Times New Roman" w:cs="Times New Roman" w:eastAsia="Times New Roman" w:hAnsi="Times New Roman"/>
          <w:sz w:val="18"/>
          <w:szCs w:val="18"/>
          <w:color w:val="auto"/>
        </w:rPr>
        <w:t>. Incumbent MA plans often take months to collect latent claims feeds and retrospective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 analysis to understand members’ health conditions. By the time they collect the data, the plan may have missed meaningful opportunities at the point of care to engage with the patient to help prevent a deterioration of their health. Fundamentally, these systems often lack bi-directional interaction, with data flowing up to the payor but not back down to the physician at the point of care, limiting the ability to utilize patient data to drive clinical decision-making. Further, while other industries have migrated to the cloud to enhance their services offerings, incumbent health plans are straining to leverage legacy technology systems and architectures, which have typically been built on old code and accumulated through years of acquisitions, to deploy technologies that deliver better care and lower costs.</w:t>
      </w:r>
    </w:p>
    <w:p>
      <w:pPr>
        <w:spacing w:after="0" w:line="96" w:lineRule="exact"/>
        <w:rPr>
          <w:rFonts w:ascii="Times New Roman" w:cs="Times New Roman" w:eastAsia="Times New Roman" w:hAnsi="Times New Roman"/>
          <w:sz w:val="18"/>
          <w:szCs w:val="18"/>
          <w:color w:val="auto"/>
        </w:rPr>
      </w:pPr>
    </w:p>
    <w:p>
      <w:pPr>
        <w:ind w:left="1000" w:right="60" w:hanging="439"/>
        <w:spacing w:after="0" w:line="25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Rely on narrow physician networks to limit care variability and delegate risk</w:t>
      </w:r>
      <w:r>
        <w:rPr>
          <w:rFonts w:ascii="Times New Roman" w:cs="Times New Roman" w:eastAsia="Times New Roman" w:hAnsi="Times New Roman"/>
          <w:sz w:val="18"/>
          <w:szCs w:val="18"/>
          <w:color w:val="auto"/>
        </w:rPr>
        <w:t>. Incumbent MA plans typically leverage narrow, or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 networks in an attempt to control the delivery of care, and drive volume to certain providers. Narrow network strategies mean that consumers ultimately have limited choices and control over the care they receive. Additionally, some MA plans concentrate in dense geographic locales where they can rely on large risk-bearing provider groups, which take on the risk themselves and control the patient care. This highly targeted approach often restricts incumbent plans’ ability to serve the entire Medicare market.</w:t>
      </w:r>
    </w:p>
    <w:p>
      <w:pPr>
        <w:spacing w:after="0" w:line="89" w:lineRule="exact"/>
        <w:rPr>
          <w:rFonts w:ascii="Times New Roman" w:cs="Times New Roman" w:eastAsia="Times New Roman" w:hAnsi="Times New Roman"/>
          <w:sz w:val="18"/>
          <w:szCs w:val="18"/>
          <w:color w:val="auto"/>
        </w:rPr>
      </w:pPr>
    </w:p>
    <w:p>
      <w:pPr>
        <w:ind w:left="1000" w:hanging="439"/>
        <w:spacing w:after="0" w:line="273"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 costs by limiting or denying access to care</w:t>
      </w:r>
      <w:r>
        <w:rPr>
          <w:rFonts w:ascii="Times New Roman" w:cs="Times New Roman" w:eastAsia="Times New Roman" w:hAnsi="Times New Roman"/>
          <w:sz w:val="18"/>
          <w:szCs w:val="18"/>
          <w:color w:val="auto"/>
        </w:rPr>
        <w:t>. Many incumbent MA plans attempt to manage costs by reducing utilization of health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potentially unnecessary through restrictive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450"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right="160"/>
        <w:spacing w:after="0" w:line="258" w:lineRule="auto"/>
        <w:rPr>
          <w:sz w:val="20"/>
          <w:szCs w:val="20"/>
          <w:color w:val="auto"/>
        </w:rPr>
      </w:pPr>
      <w:r>
        <w:rPr>
          <w:rFonts w:ascii="Times New Roman" w:cs="Times New Roman" w:eastAsia="Times New Roman" w:hAnsi="Times New Roman"/>
          <w:sz w:val="18"/>
          <w:szCs w:val="18"/>
          <w:color w:val="auto"/>
        </w:rPr>
        <w:t>protocols. For example, a principal cost-saving strategy adopted by many is to require prior authorizations for certain services or specific step-therapy for certain medications. Instead of empowering providers, these MA plans often prioritize the plan’s administrative goals over the providers’ clinical judgement and the care the member receives.</w:t>
      </w:r>
    </w:p>
    <w:p>
      <w:pPr>
        <w:spacing w:after="0" w:line="84" w:lineRule="exact"/>
        <w:rPr>
          <w:sz w:val="20"/>
          <w:szCs w:val="20"/>
          <w:color w:val="auto"/>
        </w:rPr>
      </w:pPr>
    </w:p>
    <w:p>
      <w:pPr>
        <w:ind w:left="1000" w:right="60" w:hanging="439"/>
        <w:spacing w:after="0" w:line="259"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Depend on limited plan shopping by members</w:t>
      </w:r>
      <w:r>
        <w:rPr>
          <w:rFonts w:ascii="Times New Roman" w:cs="Times New Roman" w:eastAsia="Times New Roman" w:hAnsi="Times New Roman"/>
          <w:sz w:val="18"/>
          <w:szCs w:val="18"/>
          <w:color w:val="auto"/>
        </w:rPr>
        <w:t>. MA plans rely on opaque broker-driven markets for MA plan shopping and reap the benefits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marketing and election period. As a result, members do not always end up in plans that are the best value and most comprehensive for their situation.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112" w:lineRule="exact"/>
        <w:rPr>
          <w:sz w:val="20"/>
          <w:szCs w:val="20"/>
          <w:color w:val="auto"/>
        </w:rPr>
      </w:pPr>
    </w:p>
    <w:p>
      <w:pPr>
        <w:ind w:right="200" w:firstLine="449"/>
        <w:spacing w:after="0" w:line="249" w:lineRule="auto"/>
        <w:rPr>
          <w:sz w:val="20"/>
          <w:szCs w:val="20"/>
          <w:color w:val="auto"/>
        </w:rPr>
      </w:pPr>
      <w:r>
        <w:rPr>
          <w:rFonts w:ascii="Times New Roman" w:cs="Times New Roman" w:eastAsia="Times New Roman" w:hAnsi="Times New Roman"/>
          <w:sz w:val="18"/>
          <w:szCs w:val="18"/>
          <w:color w:val="auto"/>
        </w:rPr>
        <w:t>We believe we have an opportunity to fundamentally change healthcare by aligning our interests with those of our members and physicians through a technology-driven, asset-light model. By leveraging the Clover Assistant platform, we believe we can raise the level of care provided by every PCP and rapidly and broadly scale in ways unthinkable by traditional managed care plans. We principally scale our model of care by deploying software to PCPs. We contract with providers simply to use the Clover Assistant at the point of care for a flat fee rather than, for example, negotiating contracts involving risk-sharing arrangements under which the provider assumes financial responsibilities for patient care. Our platform, which enables differentiated open network plan designs, supports our expansion into virtually any market, including traditionally underserved markets that are generally not viable for others because those markets often lack providers willing or able to assume financial risk for the costs of patient care.</w:t>
      </w:r>
    </w:p>
    <w:p>
      <w:pPr>
        <w:spacing w:after="0" w:line="189"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Medicare is the focal point of our opportunity, with over 60 million people enrolled in Medicare in 2019, and that number is expected to rise, equating to over $1 trillion in total expenditures by 2025. Within Medicare, the current MA market already makes up approximately $270 billion of annual spend and is expected to grow to approximately $590 billion by 2025. While we intend to deploy our model nationally, we are in the early stages of this market expansion with approximately 97.6% of our total membership, most of whom are in two metropolitan areas, residing in New Jersey, as of December 31, 2019. We currently offer MA plans in 34 markets, or counties, across seven states, with 8% market share of the individual, non-SNP MA enrollees in these markets. These markets also represent 3.1 million available Medicare-eligible beneficiaries as of 2019. We are launching in 74 new MA markets, expanding our footprint by an additional state, in 2021. Together with our current markets, these new markets represent 4.2 million available Medicare-eligible beneficiaries as of 2019.</w:t>
      </w:r>
    </w:p>
    <w:p>
      <w:pPr>
        <w:spacing w:after="0" w:line="193" w:lineRule="exact"/>
        <w:rPr>
          <w:sz w:val="20"/>
          <w:szCs w:val="20"/>
          <w:color w:val="auto"/>
        </w:rPr>
      </w:pPr>
    </w:p>
    <w:p>
      <w:pPr>
        <w:ind w:right="40" w:firstLine="449"/>
        <w:spacing w:after="0" w:line="247" w:lineRule="auto"/>
        <w:rPr>
          <w:sz w:val="20"/>
          <w:szCs w:val="20"/>
          <w:color w:val="auto"/>
        </w:rPr>
      </w:pPr>
      <w:r>
        <w:rPr>
          <w:rFonts w:ascii="Times New Roman" w:cs="Times New Roman" w:eastAsia="Times New Roman" w:hAnsi="Times New Roman"/>
          <w:sz w:val="18"/>
          <w:szCs w:val="18"/>
          <w:color w:val="auto"/>
        </w:rPr>
        <w:t>Additionally, we believe we are well positioned to leverage the power of the Clover Assistant to further capture Medicare market share through emerging payment models. For example, we plan to participate in CMS’s Direct Contracting program, which is scheduled to begin in April 2021 for a period of at least five years and provides for payment incentives similar to those in MA for physician practices and other organizations serving Original Medicare beneficiaries. As part of the program, we contract directly with physicians to use the Clover Assistant to help manage their Original Medicare patients. A member becomes aligned to our Direct Contracting Entity (“DCE”) when CMS’s attribution model attributes them to (or they voluntarily elect to designate) a PCP with whom we have contracted as a “DC Participant” provider. To date, we already have contracts with physicians through which approximately 200,000 lives may be aligned with our DCE under the program. We also contract with “Preferred” providers, which includes other types of providers to which the PCP may refer or admit patients. Under our global risk arrangement, total medical costs for these members are calculated and compared to a risk-adjusted benchmark rate. Our DCE will receive any savings, or bear any losses, generated, limited by several risk mitigation mechanisms. We believe this program represents a significant economic and market opportunity for us to deploy our platform across a national footprint since we plan to scale this beyond our MA markets and greatly enhance the velocity of our new market growth.</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Platform: The Clover Assistant</w:t>
      </w:r>
    </w:p>
    <w:p>
      <w:pPr>
        <w:spacing w:after="0" w:line="112" w:lineRule="exact"/>
        <w:rPr>
          <w:sz w:val="20"/>
          <w:szCs w:val="20"/>
          <w:color w:val="auto"/>
        </w:rPr>
      </w:pPr>
    </w:p>
    <w:p>
      <w:pPr>
        <w:ind w:right="860" w:firstLine="449"/>
        <w:spacing w:after="0" w:line="270" w:lineRule="auto"/>
        <w:rPr>
          <w:sz w:val="20"/>
          <w:szCs w:val="20"/>
          <w:color w:val="auto"/>
        </w:rPr>
      </w:pPr>
      <w:r>
        <w:rPr>
          <w:rFonts w:ascii="Times New Roman" w:cs="Times New Roman" w:eastAsia="Times New Roman" w:hAnsi="Times New Roman"/>
          <w:sz w:val="18"/>
          <w:szCs w:val="18"/>
          <w:color w:val="auto"/>
        </w:rPr>
        <w:t>The Clover Assistant is a purpose-built technology platform that successfully engages physicians and empowers them to deliver data-driven, personalized care. This platform synthesizes comprehensive, longitudinal</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450" w:right="3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sets of data directly available to us as a health plan, generates physician-focused machine learning, artificial intelligence, and rules-based insights, and drives action by surfacing the most relevant, personalized information to PCPs directly at the point of care. Through this democratization of data access for physicians, we seek to reduce the variability in clinical decision-making, drive improved adherence to evidence-based protocols, and help physicians deliver better care. As a result, the Clover Assistant enables health care to work at the speed of software.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key and differentiated features of the Clover Assistant technology platform are: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Real-time actionable insights at the point of care</w:t>
      </w:r>
    </w:p>
    <w:p>
      <w:pPr>
        <w:spacing w:after="0" w:line="220" w:lineRule="exact"/>
        <w:rPr>
          <w:sz w:val="20"/>
          <w:szCs w:val="20"/>
          <w:color w:val="auto"/>
        </w:rPr>
      </w:pPr>
    </w:p>
    <w:p>
      <w:pPr>
        <w:ind w:right="120" w:firstLine="449"/>
        <w:spacing w:after="0" w:line="273" w:lineRule="auto"/>
        <w:rPr>
          <w:sz w:val="20"/>
          <w:szCs w:val="20"/>
          <w:color w:val="auto"/>
        </w:rPr>
      </w:pPr>
      <w:r>
        <w:rPr>
          <w:rFonts w:ascii="Times New Roman" w:cs="Times New Roman" w:eastAsia="Times New Roman" w:hAnsi="Times New Roman"/>
          <w:sz w:val="17"/>
          <w:szCs w:val="17"/>
          <w:color w:val="auto"/>
        </w:rPr>
        <w:t>The Clover Assistant aggregates and structures millions of data points per day, derived from a variety of data sets, such as claims data, medical charts, medication data, diagnostic data and EHR-generated data, across dozens of typically siloed and inconsistently formatted data feeds. It connects this data with up-to-date, evidence-based protocols and member-specific plan information to drive real-time, personalized, and actionable insights to PCPs at the point of care. These real-time, data-rich insights inform physicians’ decision-making at the moment that they are interacting with and treating their patients.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delight</w:t>
      </w:r>
    </w:p>
    <w:p>
      <w:pPr>
        <w:spacing w:after="0" w:line="114"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Since launching our platform in July 2018, we have driven PCP adoption of the Clover Assistant platform through its user-centric design, highly actionable and real-time clinical content, enhanced and rapid payment for Clover Assistant visits and simple onboarding. These features have delighted physicians. As of September 30, 2020, over 2,300 PCPs, who already treat our members and are responsible for caring for 65% of our total membership, had contracted to use the Clover Assistant to manage our members’ care. Because our platform provides highly-actionable clinical content through an intuitive interface that easily integrates into the physicians’ workflow, our broad base of contracted physicians are highly engaged. This is evident by the fact that onboarded physicians used the Clover Assistant for 92% of their member visits in 2019. For the six months ended September 30, 2020, the Clover Assistant had a positive NPS of 59, which is comparable to those of leading consumer technology platforms, such as Netflix and Amazon, and stands in stark contrast to the average negative NPS of -44 of legacy medical record software products, including EHRs such as athenahealth, Epic and NextGen.</w:t>
      </w:r>
    </w:p>
    <w:p>
      <w:pPr>
        <w:spacing w:after="0" w:line="193" w:lineRule="exact"/>
        <w:rPr>
          <w:sz w:val="20"/>
          <w:szCs w:val="20"/>
          <w:color w:val="auto"/>
        </w:rPr>
      </w:pPr>
    </w:p>
    <w:p>
      <w:pPr>
        <w:ind w:right="260" w:firstLine="449"/>
        <w:spacing w:after="0" w:line="273" w:lineRule="auto"/>
        <w:rPr>
          <w:sz w:val="20"/>
          <w:szCs w:val="20"/>
          <w:color w:val="auto"/>
        </w:rPr>
      </w:pPr>
      <w:r>
        <w:rPr>
          <w:rFonts w:ascii="Times New Roman" w:cs="Times New Roman" w:eastAsia="Times New Roman" w:hAnsi="Times New Roman"/>
          <w:sz w:val="17"/>
          <w:szCs w:val="17"/>
          <w:color w:val="auto"/>
        </w:rPr>
        <w:t>Beyond the clinical benefits and intuitive technology, the Clover Assistant also provides physicians with a simple, streamlined administrative model. Upon completion of a member visit with the Clover Assistant, physicians are paid at predictable, prompt and enhanced per visit rates, directly through the Clover Assistant program, providing advantages over the traditional claims submission process, which often requires separate billing and longer payment cycles. This enhanced and simplified payment model allows physicians to focus on delivering care instead of documenting claims for payment.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Differentiated plan performance</w:t>
      </w:r>
    </w:p>
    <w:p>
      <w:pPr>
        <w:spacing w:after="0" w:line="11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The Clover Assistant platform enables our mission-aligned business model to drive the empowerment of physicians and improve care for members while contributing to expanding margins for our plans. As a result of our physician-focused, data-driven platform, physicians who have been using the Clover Assistant, on average, have been able to drive lower MCR for our returning members that they serve. For the three and twelve months ended March 31, 2020, our MCR for returning members with a PCP who used the Clover Assistant was 82.0% and 85.6%, respectively, which was on average, 1,100 and 730 basis points lower, respectively, than the MCR for returning members with a PCP who did not use the Clover Assistant.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software iteration via our closed feedback loop</w:t>
      </w:r>
    </w:p>
    <w:p>
      <w:pPr>
        <w:spacing w:after="0" w:line="114" w:lineRule="exact"/>
        <w:rPr>
          <w:sz w:val="20"/>
          <w:szCs w:val="20"/>
          <w:color w:val="auto"/>
        </w:rPr>
      </w:pPr>
    </w:p>
    <w:p>
      <w:pPr>
        <w:ind w:right="140" w:firstLine="449"/>
        <w:spacing w:after="0" w:line="270" w:lineRule="auto"/>
        <w:rPr>
          <w:sz w:val="20"/>
          <w:szCs w:val="20"/>
          <w:color w:val="auto"/>
        </w:rPr>
      </w:pPr>
      <w:r>
        <w:rPr>
          <w:rFonts w:ascii="Times New Roman" w:cs="Times New Roman" w:eastAsia="Times New Roman" w:hAnsi="Times New Roman"/>
          <w:sz w:val="18"/>
          <w:szCs w:val="18"/>
          <w:color w:val="auto"/>
        </w:rPr>
        <w:t>Our platform is highly dynamic and continues to improve as we capture more data. As an MA plan that builds our own internally-developed clinician-focused software, we believe we are differentiated in our ability to</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00"/>
          </w:cols>
          <w:pgMar w:left="320" w:top="450" w:right="3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180"/>
        <w:spacing w:after="0" w:line="280" w:lineRule="auto"/>
        <w:rPr>
          <w:sz w:val="20"/>
          <w:szCs w:val="20"/>
          <w:color w:val="auto"/>
        </w:rPr>
      </w:pPr>
      <w:r>
        <w:rPr>
          <w:rFonts w:ascii="Times New Roman" w:cs="Times New Roman" w:eastAsia="Times New Roman" w:hAnsi="Times New Roman"/>
          <w:sz w:val="17"/>
          <w:szCs w:val="17"/>
          <w:color w:val="auto"/>
        </w:rPr>
        <w:t>continuously build upon our broad sets of rich data, resulting in a rapid learn-iterate-deploy software improvement cycle. We capture real-time data via live physician engagement and feedback through the Clover Assistant. This highly engaged, bi-directional data sharing construct creates a closed feedback loop, allowing us to continuously measure the results of our platform’s recommendations in real-time as well as iterate and improve our platform.</w:t>
      </w:r>
    </w:p>
    <w:p>
      <w:pPr>
        <w:spacing w:after="0" w:line="16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We employ an agile software development methodology. While others in healthcare technology often only ship updates irregularly, we have released an updated version of the Clover Assistant, on average, once every three weeks since its launch in July 2018, with a focus on driving more personalized and effective clinical decision-making in each release. In addition to regular improvement of the Clover Assistant, this enables us to rapidly introduce new capabilities in response to changes in the market.</w:t>
      </w:r>
    </w:p>
    <w:p>
      <w:pPr>
        <w:spacing w:after="0" w:line="185"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We recently built a telemedicine version of the Clover Assistant, developing and deploying it in less than five days in response to the needs of providers and our members as they faced challenges in receiving care during the COVID-19 pandemic. We believe physicians are drawn to our platform because of the ease with which it allows them to see patients virtually while giving them ready access to their patients’ comprehensive medical histories. As a result, during the period between April 1, 2020, and June 30, 2020, providers completed over 20,000 video and telephonic visits using Clover Assistant, which represents over 60% of all visits completed between April 1 and June 30, 2020. In total, we pivoted from 100% in-person Clover Assistant visits before the COVID-19 pandemic to 82% and 64% virtual Clover Assistant visits during the months of April and May 2020, respectively. While primary care visits nationwide were down 51% between the first week of March 2020 as compared to the first week of April 2020, our platform featured no material decline in utilization for the same time period. This platform utilization trend continued into the second quarter of 2020 while primary care visits were down approximately 25% over the same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scalable implementations, powered by the cloud</w:t>
      </w:r>
    </w:p>
    <w:p>
      <w:pPr>
        <w:spacing w:after="0" w:line="114"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The Clover Assistant’s flexible systems architecture allows us to scale and upgrade the platform across geographies, healthcare delivery systems, and IT infrastructures rapidly and efficiently while providing a consistent and robust user experience.</w:t>
      </w:r>
    </w:p>
    <w:p>
      <w:pPr>
        <w:spacing w:after="0" w:line="169" w:lineRule="exact"/>
        <w:rPr>
          <w:sz w:val="20"/>
          <w:szCs w:val="20"/>
          <w:color w:val="auto"/>
        </w:rPr>
      </w:pPr>
    </w:p>
    <w:p>
      <w:pPr>
        <w:ind w:right="200" w:firstLine="449"/>
        <w:spacing w:after="0" w:line="251" w:lineRule="auto"/>
        <w:rPr>
          <w:sz w:val="20"/>
          <w:szCs w:val="20"/>
          <w:color w:val="auto"/>
        </w:rPr>
      </w:pPr>
      <w:r>
        <w:rPr>
          <w:rFonts w:ascii="Times New Roman" w:cs="Times New Roman" w:eastAsia="Times New Roman" w:hAnsi="Times New Roman"/>
          <w:sz w:val="18"/>
          <w:szCs w:val="18"/>
          <w:color w:val="auto"/>
        </w:rPr>
        <w:t>Our cloud-based software platform enables a low-touch onboarding process for our physicians, who are trained and go live on the Clover Assistant typically within one hour. This ability to scale at the speed of software differentiates the Clover Assistant from other technology prevalent within the healthcare industry, such as EHRs and healthcare IT solutions, which often take months or years to roll out and are extremely costly and resource-intensive. Our ability to drive adoption of the Clover Assistant has continued even in the midst of the COVID-19 pandemic, as we have enabled virtual onboarding of physicians.</w:t>
      </w:r>
    </w:p>
    <w:p>
      <w:pPr>
        <w:spacing w:after="0" w:line="187"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Finally, as the Clover Assistant is a cloud-based software platform, each new release is instantaneously available across our userbase, so that all of our physicians may use the same, latest version of the Clover Assistant at any time. We also strive to ensure that physicians are informed of these releases by modern, user-friendly in-app training, as opposed to time- and resource-intensive manual retraining.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differentiated clinical care capabilities</w:t>
      </w:r>
    </w:p>
    <w:p>
      <w:pPr>
        <w:spacing w:after="0" w:line="11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We work hard to drive better care for our members. To accomplish this goal, we aim to develop a comprehensive understanding of each member, their conditions and needs as well as how those factors change over time, so that we can provide guidance to their physicians regarding when the correct interventions should be delivered. We monitor a range of data sources over time and capitalize on emerging interoperability data standards to create a comprehensive view of each member’s disease trajectory, taking this holistic approach helps us to improve personalized chronic disease management and care coordination. Designed under the guidance of our clinical team physicians and utilizing the data we collect, the Clover Assistant provides insights in a clear and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80"/>
          </w:cols>
          <w:pgMar w:left="320" w:top="450" w:right="39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actionable format to the physician directly at the point of care, thereby facilitating adherence to evidence-based protocols for our members. In addition, it enables rapid identification and enrollment of patient populations that would greatly benefit from complex care management or our other in-house clinical programs. Our focus on improving member care is having a real and measurable impact. For example, according to Medicare FFS data, in 2019, our members had 197 inpatient hospital admissions per 1,000 members compared to the Original Medicare benchmark of 250 admissions per 1,000 enrollees. Also, our members had 465 emergency room visits per 1,000 members in 2019, compared to 600 emergency room visits per 1,000 beneficiaries in Original Medicare.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features of our clinical care capabilities provide significant value to physicians and our members: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Physicians empowered with insights at the point of care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a patient visit, a physician utilizing the Clover Assistant may encounter any of the following:</w:t>
      </w:r>
    </w:p>
    <w:p>
      <w:pPr>
        <w:spacing w:after="0" w:line="122" w:lineRule="exact"/>
        <w:rPr>
          <w:sz w:val="20"/>
          <w:szCs w:val="20"/>
          <w:color w:val="auto"/>
        </w:rPr>
      </w:pPr>
    </w:p>
    <w:p>
      <w:pPr>
        <w:ind w:left="1000" w:right="60" w:hanging="439"/>
        <w:spacing w:after="0" w:line="254"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Synthesized sets of actionable, payor collated data</w:t>
      </w:r>
      <w:r>
        <w:rPr>
          <w:rFonts w:ascii="Times New Roman" w:cs="Times New Roman" w:eastAsia="Times New Roman" w:hAnsi="Times New Roman"/>
          <w:sz w:val="18"/>
          <w:szCs w:val="18"/>
          <w:color w:val="auto"/>
        </w:rPr>
        <w:t>. Physicians often do not have access to comprehensive information about their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interactions, such as a recent hospital admission or specialist-prescribed medication, across the healthcare ecosystem. The Clover Assistant eliminates this inefficiency by surfacing relevant and important data from sources across the healthcare ecosystem for physicians at the point of care.</w:t>
      </w:r>
    </w:p>
    <w:p>
      <w:pPr>
        <w:spacing w:after="0" w:line="88" w:lineRule="exact"/>
        <w:rPr>
          <w:rFonts w:ascii="Times New Roman" w:cs="Times New Roman" w:eastAsia="Times New Roman" w:hAnsi="Times New Roman"/>
          <w:sz w:val="18"/>
          <w:szCs w:val="18"/>
          <w:color w:val="auto"/>
        </w:rPr>
      </w:pPr>
    </w:p>
    <w:p>
      <w:pPr>
        <w:ind w:left="1000" w:right="60" w:hanging="439"/>
        <w:spacing w:after="0" w:line="249"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Personalized clinical guidelines for chronic condition management</w:t>
      </w:r>
      <w:r>
        <w:rPr>
          <w:rFonts w:ascii="Times New Roman" w:cs="Times New Roman" w:eastAsia="Times New Roman" w:hAnsi="Times New Roman"/>
          <w:sz w:val="18"/>
          <w:szCs w:val="18"/>
          <w:color w:val="auto"/>
        </w:rPr>
        <w:t>. Our members are seniors and the long-term disabled who exhibit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chronic conditions and often manage them with multiple medications. Through synthesizing our broad set of payor data and mapping up-to-date clinical research, we are able to identify when members are “off evidence”, and for an increasing number of chronic conditions, surface for the provider’s consideration a medication or treatment regimen that may be more clinically appropriate for that particular member. Our focus on personalized care differentiates us. For instance, many other MA plans create high-level disease management programs that apply across large portions of their member groups while the Clover Assistant recommends specific therapies, based on personalized details, such as comorbidities and contraindications. Our clinical team is constantly refining the platform’s recommendations in order to provide the most up-to-date and evidence-based care standards.</w:t>
      </w:r>
    </w:p>
    <w:p>
      <w:pPr>
        <w:spacing w:after="0" w:line="93" w:lineRule="exact"/>
        <w:rPr>
          <w:rFonts w:ascii="Times New Roman" w:cs="Times New Roman" w:eastAsia="Times New Roman" w:hAnsi="Times New Roman"/>
          <w:sz w:val="18"/>
          <w:szCs w:val="18"/>
          <w:color w:val="auto"/>
        </w:rPr>
      </w:pPr>
    </w:p>
    <w:p>
      <w:pPr>
        <w:ind w:left="1000" w:right="300" w:hanging="439"/>
        <w:spacing w:after="0" w:line="259"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Quality gap closure</w:t>
      </w:r>
      <w:r>
        <w:rPr>
          <w:rFonts w:ascii="Times New Roman" w:cs="Times New Roman" w:eastAsia="Times New Roman" w:hAnsi="Times New Roman"/>
          <w:sz w:val="18"/>
          <w:szCs w:val="18"/>
          <w:color w:val="auto"/>
        </w:rPr>
        <w:t>. The Clover Assistant identifies and surfaces opportunities for improvement in clinical quality gaps, including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prioritized by the Stars program, such as prescription drug adherence, regular cancer screenings and the annual flu shot. By addressing these quality gaps with evidence-based guidelines we expect to reduce costs and improve care over the long term.</w:t>
      </w:r>
    </w:p>
    <w:p>
      <w:pPr>
        <w:spacing w:after="0" w:line="83" w:lineRule="exact"/>
        <w:rPr>
          <w:rFonts w:ascii="Times New Roman" w:cs="Times New Roman" w:eastAsia="Times New Roman" w:hAnsi="Times New Roman"/>
          <w:sz w:val="18"/>
          <w:szCs w:val="18"/>
          <w:color w:val="auto"/>
        </w:rPr>
      </w:pPr>
    </w:p>
    <w:p>
      <w:pPr>
        <w:ind w:left="1000" w:right="120" w:hanging="439"/>
        <w:spacing w:after="0" w:line="259"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Disease burden identification</w:t>
      </w:r>
      <w:r>
        <w:rPr>
          <w:rFonts w:ascii="Times New Roman" w:cs="Times New Roman" w:eastAsia="Times New Roman" w:hAnsi="Times New Roman"/>
          <w:sz w:val="18"/>
          <w:szCs w:val="18"/>
          <w:color w:val="auto"/>
        </w:rPr>
        <w:t>. The Clover Assistant reveals potential gaps in a physician’s understanding of a member’s disease burden.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surfacing potential conditions that may be asymptomatic or otherwise unaddressed, physicians can proactively treat conditions and drive better care for their patients.</w:t>
      </w:r>
    </w:p>
    <w:p>
      <w:pPr>
        <w:spacing w:after="0" w:line="178" w:lineRule="exact"/>
        <w:rPr>
          <w:sz w:val="20"/>
          <w:szCs w:val="20"/>
          <w:color w:val="auto"/>
        </w:rPr>
      </w:pPr>
    </w:p>
    <w:p>
      <w:pPr>
        <w:ind w:right="720" w:firstLine="449"/>
        <w:spacing w:after="0" w:line="270" w:lineRule="auto"/>
        <w:rPr>
          <w:sz w:val="20"/>
          <w:szCs w:val="20"/>
          <w:color w:val="auto"/>
        </w:rPr>
      </w:pPr>
      <w:r>
        <w:rPr>
          <w:rFonts w:ascii="Times New Roman" w:cs="Times New Roman" w:eastAsia="Times New Roman" w:hAnsi="Times New Roman"/>
          <w:sz w:val="18"/>
          <w:szCs w:val="18"/>
          <w:color w:val="auto"/>
        </w:rPr>
        <w:t>The combination of these features enables physicians to deliver a better consumer experience for our members, as physicians are able to more effectively identify clinical opportunities to treat members at the point of care using data-driven, personalized insights.</w:t>
      </w:r>
    </w:p>
    <w:p>
      <w:pPr>
        <w:spacing w:after="0" w:line="16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Of critical importance, when providing actionable advice, the Clover Assistant shares with the physicians the specific reasons why a recommendation is being made so that the physician can ultimately exercise his or her own judgment in deciding whether to accept or reject a care recommendation. This may include evidence such as specific lab results, records from prior encounters, and links to up-to-date medical journals and clinical resources. Additionally, the Clover Assistant receives specific information and feedback from physicians on reasons why a member may not be receiving evidence-based care or complying with protocols, which ultimately prompts other</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80"/>
          </w:cols>
          <w:pgMar w:left="320" w:top="450" w:right="3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program outreach efforts or future care plan recommendations. This closed feedback loop continuously improves our clinical recommendation engine and understanding of individual member needs.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programs run on the Clover Assistant</w:t>
      </w:r>
    </w:p>
    <w:p>
      <w:pPr>
        <w:spacing w:after="0" w:line="114"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In addition to supporting primary care physicians throughout our open network, we operate clinical programs, either through our own employed clinicians or through vendors, that are designed to provide improved additive care for our most chronically-ill, frail and costly members. Below is a snapshot of several clinical programs we offer:</w:t>
      </w:r>
    </w:p>
    <w:p>
      <w:pPr>
        <w:spacing w:after="0" w:line="84" w:lineRule="exact"/>
        <w:rPr>
          <w:sz w:val="20"/>
          <w:szCs w:val="20"/>
          <w:color w:val="auto"/>
        </w:rPr>
      </w:pPr>
    </w:p>
    <w:p>
      <w:pPr>
        <w:ind w:left="1000" w:hanging="439"/>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Complex Care Management</w:t>
      </w:r>
      <w:r>
        <w:rPr>
          <w:rFonts w:ascii="Times New Roman" w:cs="Times New Roman" w:eastAsia="Times New Roman" w:hAnsi="Times New Roman"/>
          <w:sz w:val="18"/>
          <w:szCs w:val="18"/>
          <w:color w:val="auto"/>
        </w:rPr>
        <w:t>. Home-based primary care/intensive care management for our most complex members.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Supportive Care</w:t>
      </w:r>
      <w:r>
        <w:rPr>
          <w:rFonts w:ascii="Times New Roman" w:cs="Times New Roman" w:eastAsia="Times New Roman" w:hAnsi="Times New Roman"/>
          <w:sz w:val="18"/>
          <w:szCs w:val="18"/>
          <w:color w:val="auto"/>
        </w:rPr>
        <w:t>. Advanced care planning support and palliative care for members with limited life expectancy.</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Readmission Prevention Program</w:t>
      </w:r>
      <w:r>
        <w:rPr>
          <w:rFonts w:ascii="Times New Roman" w:cs="Times New Roman" w:eastAsia="Times New Roman" w:hAnsi="Times New Roman"/>
          <w:sz w:val="18"/>
          <w:szCs w:val="18"/>
          <w:color w:val="auto"/>
        </w:rPr>
        <w:t>. Care transition support for members recently discharged from a hospital or post-acute care.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Behavioral Health Program</w:t>
      </w:r>
      <w:r>
        <w:rPr>
          <w:rFonts w:ascii="Times New Roman" w:cs="Times New Roman" w:eastAsia="Times New Roman" w:hAnsi="Times New Roman"/>
          <w:sz w:val="18"/>
          <w:szCs w:val="18"/>
          <w:color w:val="auto"/>
        </w:rPr>
        <w:t>. Comprehensive care coordination for members with behavioral health and social services needs.</w:t>
      </w:r>
    </w:p>
    <w:p>
      <w:pPr>
        <w:spacing w:after="0" w:line="218" w:lineRule="exact"/>
        <w:rPr>
          <w:sz w:val="20"/>
          <w:szCs w:val="20"/>
          <w:color w:val="auto"/>
        </w:rPr>
      </w:pPr>
    </w:p>
    <w:p>
      <w:pPr>
        <w:ind w:right="340" w:firstLine="449"/>
        <w:spacing w:after="0" w:line="270" w:lineRule="auto"/>
        <w:rPr>
          <w:sz w:val="20"/>
          <w:szCs w:val="20"/>
          <w:color w:val="auto"/>
        </w:rPr>
      </w:pPr>
      <w:r>
        <w:rPr>
          <w:rFonts w:ascii="Times New Roman" w:cs="Times New Roman" w:eastAsia="Times New Roman" w:hAnsi="Times New Roman"/>
          <w:sz w:val="18"/>
          <w:szCs w:val="18"/>
          <w:color w:val="auto"/>
        </w:rPr>
        <w:t>The Clover Assistant supports every stage of our care and interaction with our high-risk members through our clinical programs, from identification through engagement to clinical care.</w:t>
      </w:r>
    </w:p>
    <w:p>
      <w:pPr>
        <w:spacing w:after="0" w:line="74" w:lineRule="exact"/>
        <w:rPr>
          <w:sz w:val="20"/>
          <w:szCs w:val="20"/>
          <w:color w:val="auto"/>
        </w:rPr>
      </w:pPr>
    </w:p>
    <w:p>
      <w:pPr>
        <w:ind w:left="1000" w:hanging="439"/>
        <w:spacing w:after="0" w:line="259"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Identification</w:t>
      </w:r>
      <w:r>
        <w:rPr>
          <w:rFonts w:ascii="Times New Roman" w:cs="Times New Roman" w:eastAsia="Times New Roman" w:hAnsi="Times New Roman"/>
          <w:sz w:val="18"/>
          <w:szCs w:val="18"/>
          <w:color w:val="auto"/>
        </w:rPr>
        <w:t>. The Clover Assistant enables us to identify members for whom our programs can provide needed support, fill gaps or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example, utilizing our machine learning algorithm, the Clover Health Acute Risk Model, we are able to accurately identify members at high future hospitalization risk for our complex care management program.</w:t>
      </w:r>
    </w:p>
    <w:p>
      <w:pPr>
        <w:spacing w:after="0" w:line="83" w:lineRule="exact"/>
        <w:rPr>
          <w:rFonts w:ascii="Times New Roman" w:cs="Times New Roman" w:eastAsia="Times New Roman" w:hAnsi="Times New Roman"/>
          <w:sz w:val="18"/>
          <w:szCs w:val="18"/>
          <w:color w:val="auto"/>
        </w:rPr>
      </w:pPr>
    </w:p>
    <w:p>
      <w:pPr>
        <w:ind w:left="1000" w:hanging="439"/>
        <w:spacing w:after="0" w:line="25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The Clover Assistant enables us to partner with physicians to determine if high-risk members would benefit from our clinical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The Clover Assistant’s bi-directional point-of-care approach not only prompts the physician to let us know which members are appropriate for these programs, but encourages the physician to discuss the program with the patient at the point of care. We believe this introduction and engagement increases the likelihood that a member will ultimately enroll in our clinical programs and receive the care that he or she needs.</w:t>
      </w:r>
    </w:p>
    <w:p>
      <w:pPr>
        <w:spacing w:after="0" w:line="89" w:lineRule="exact"/>
        <w:rPr>
          <w:rFonts w:ascii="Times New Roman" w:cs="Times New Roman" w:eastAsia="Times New Roman" w:hAnsi="Times New Roman"/>
          <w:sz w:val="18"/>
          <w:szCs w:val="18"/>
          <w:color w:val="auto"/>
        </w:rPr>
      </w:pPr>
    </w:p>
    <w:p>
      <w:pPr>
        <w:ind w:left="1000" w:right="360" w:hanging="439"/>
        <w:spacing w:after="0" w:line="303" w:lineRule="auto"/>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Clinical Care</w:t>
      </w:r>
      <w:r>
        <w:rPr>
          <w:rFonts w:ascii="Times New Roman" w:cs="Times New Roman" w:eastAsia="Times New Roman" w:hAnsi="Times New Roman"/>
          <w:sz w:val="17"/>
          <w:szCs w:val="17"/>
          <w:color w:val="auto"/>
        </w:rPr>
        <w:t>. With the right members identified and engaged, and the right protocols surfaced to program clinicians at the point of care,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believe we are able to further improve our members’ quality of life and health care while driving significant medical expense savings.</w:t>
      </w:r>
    </w:p>
    <w:p>
      <w:pPr>
        <w:spacing w:after="0" w:line="143" w:lineRule="exact"/>
        <w:rPr>
          <w:sz w:val="20"/>
          <w:szCs w:val="20"/>
          <w:color w:val="auto"/>
        </w:rPr>
      </w:pPr>
    </w:p>
    <w:p>
      <w:pPr>
        <w:ind w:right="380" w:firstLine="449"/>
        <w:spacing w:after="0" w:line="258" w:lineRule="auto"/>
        <w:rPr>
          <w:sz w:val="20"/>
          <w:szCs w:val="20"/>
          <w:color w:val="auto"/>
        </w:rPr>
      </w:pPr>
      <w:r>
        <w:rPr>
          <w:rFonts w:ascii="Times New Roman" w:cs="Times New Roman" w:eastAsia="Times New Roman" w:hAnsi="Times New Roman"/>
          <w:sz w:val="18"/>
          <w:szCs w:val="18"/>
          <w:color w:val="auto"/>
        </w:rPr>
        <w:t>Leveraging our data and engaging physicians and members has resulted in a number of meaningful clinical improvements. For example, since the inception of our in-home complex care program on May 1, 2017, until March 31, 2020, inpatient admissions and the MCR of the 1,061 program enrollees were 12% and 1,900 basis points lower, respectively, than the admissions and MCR of 716 people in a matched control group.</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18" w:lineRule="exact"/>
        <w:rPr>
          <w:sz w:val="20"/>
          <w:szCs w:val="20"/>
          <w:color w:val="auto"/>
        </w:rPr>
      </w:pPr>
    </w:p>
    <w:p>
      <w:pPr>
        <w:ind w:right="300" w:firstLine="449"/>
        <w:spacing w:after="0" w:line="253" w:lineRule="auto"/>
        <w:rPr>
          <w:sz w:val="20"/>
          <w:szCs w:val="20"/>
          <w:color w:val="auto"/>
        </w:rPr>
      </w:pPr>
      <w:r>
        <w:rPr>
          <w:rFonts w:ascii="Times New Roman" w:cs="Times New Roman" w:eastAsia="Times New Roman" w:hAnsi="Times New Roman"/>
          <w:sz w:val="18"/>
          <w:szCs w:val="18"/>
          <w:color w:val="auto"/>
        </w:rPr>
        <w:t>We employ a simple and broad go-to-market strategy. Utilizing the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 Our go-to-market strategy centers around scaling our model through software and is summarized in four simple steps:</w:t>
      </w:r>
    </w:p>
    <w:p>
      <w:pPr>
        <w:spacing w:after="0" w:line="90" w:lineRule="exact"/>
        <w:rPr>
          <w:sz w:val="20"/>
          <w:szCs w:val="20"/>
          <w:color w:val="auto"/>
        </w:rPr>
      </w:pPr>
    </w:p>
    <w:p>
      <w:pPr>
        <w:ind w:left="1000" w:right="560" w:hanging="439"/>
        <w:spacing w:after="0" w:line="273"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Step one: Select markets to deploy our disruptive model. </w:t>
      </w:r>
      <w:r>
        <w:rPr>
          <w:rFonts w:ascii="Times New Roman" w:cs="Times New Roman" w:eastAsia="Times New Roman" w:hAnsi="Times New Roman"/>
          <w:sz w:val="18"/>
          <w:szCs w:val="18"/>
          <w:color w:val="auto"/>
        </w:rPr>
        <w:t>We seek opportunities to create differentiated and enhanced plans for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virtually anywhere in the United States, including traditionally underserved markets.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450"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1000" w:right="100" w:hanging="439"/>
        <w:spacing w:after="0" w:line="250"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Step two: Broadly disseminate the Clover Assistant. </w:t>
      </w:r>
      <w:r>
        <w:rPr>
          <w:rFonts w:ascii="Times New Roman" w:cs="Times New Roman" w:eastAsia="Times New Roman" w:hAnsi="Times New Roman"/>
          <w:sz w:val="18"/>
          <w:szCs w:val="18"/>
          <w:color w:val="auto"/>
        </w:rPr>
        <w:t>We contract with a wide array of primary and chronic care decision-makers and deploy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Clover Assistant wherever possible to empower physicians to deliver data-driven, personalized care. Our contracts also have a simple payment model, with one enhanced rate for primary care visits using the Clover Assistant, relieving physicians of significant administrative tasks. Our model expands our reach to physicians beyond simply those large providers or other groups willing and able to structure complex risk-sharing arrangements. In addition, our plans with open network designs make it easier for our members to see physicians outside our network, which generates new leads for us to deploy the Clover Assistant with an increasing pool of physicians.</w:t>
      </w:r>
    </w:p>
    <w:p>
      <w:pPr>
        <w:spacing w:after="0" w:line="94" w:lineRule="exact"/>
        <w:rPr>
          <w:rFonts w:ascii="Times New Roman" w:cs="Times New Roman" w:eastAsia="Times New Roman" w:hAnsi="Times New Roman"/>
          <w:sz w:val="18"/>
          <w:szCs w:val="18"/>
          <w:color w:val="auto"/>
        </w:rPr>
      </w:pPr>
    </w:p>
    <w:p>
      <w:pPr>
        <w:ind w:left="1000" w:hanging="439"/>
        <w:spacing w:after="0" w:line="25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Step three: Powered by the Clover Assistant’s strong unit economics, deploy “Obvious” best-in-class plans. </w:t>
      </w:r>
      <w:r>
        <w:rPr>
          <w:rFonts w:ascii="Times New Roman" w:cs="Times New Roman" w:eastAsia="Times New Roman" w:hAnsi="Times New Roman"/>
          <w:sz w:val="18"/>
          <w:szCs w:val="18"/>
          <w:color w:val="auto"/>
        </w:rPr>
        <w:t>The use of the Clover Assistant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drives the economic success of our plans. For the three and twelve months ended March 31, 2020, our MCR for returning members with a PCP who used the Clover Assistant was 82.0% and 85.6%, respectively, which was on average, 1,100 and 730 basis points lower, respectively, than the MCR for returning members with a PCP who did not use the Clover Assistant. We return these strong economics back to our members in the form of enhanced benefits, lower out-of-pocket costs and freedom of choice.</w:t>
      </w:r>
    </w:p>
    <w:p>
      <w:pPr>
        <w:spacing w:after="0" w:line="78" w:lineRule="exact"/>
        <w:rPr>
          <w:rFonts w:ascii="Times New Roman" w:cs="Times New Roman" w:eastAsia="Times New Roman" w:hAnsi="Times New Roman"/>
          <w:sz w:val="18"/>
          <w:szCs w:val="18"/>
          <w:color w:val="auto"/>
        </w:rPr>
      </w:pPr>
    </w:p>
    <w:p>
      <w:pPr>
        <w:ind w:left="102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affordability is underpinned by our plans’ lower average total out-of-pocket costs for PCP co-pays, specialist co-pays, drug deductibles and drug costs, compared to those of virtually all of our competitor plans. The substantial majority of our members enjoy freedom of choice, which manifests in our expansive, open network with the same cost-sharing for members who see physicians in- and out-of-network. Our open network design is particularly attractive compared to our competitors’ usual narrow networks or higher cost-sharing for out-of-network providers.</w:t>
      </w:r>
    </w:p>
    <w:p>
      <w:pPr>
        <w:spacing w:after="0" w:line="92" w:lineRule="exact"/>
        <w:rPr>
          <w:rFonts w:ascii="Times New Roman" w:cs="Times New Roman" w:eastAsia="Times New Roman" w:hAnsi="Times New Roman"/>
          <w:sz w:val="18"/>
          <w:szCs w:val="18"/>
          <w:color w:val="auto"/>
        </w:rPr>
      </w:pPr>
    </w:p>
    <w:p>
      <w:pPr>
        <w:ind w:left="1000" w:right="40" w:hanging="439"/>
        <w:spacing w:after="0" w:line="250"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Step four: Drive strong, industry-leading, organic growth as consumers select our “Obvious” plans and receive care from physicians on Clover Assistant. </w:t>
      </w:r>
      <w:r>
        <w:rPr>
          <w:rFonts w:ascii="Times New Roman" w:cs="Times New Roman" w:eastAsia="Times New Roman" w:hAnsi="Times New Roman"/>
          <w:sz w:val="18"/>
          <w:szCs w:val="18"/>
          <w:color w:val="auto"/>
        </w:rPr>
        <w:t>As we have entered and scaled in new markets, our members have rewarded us with a differentiated membership growth profile.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Today, we have the highest membership growth rate among MA plans in the United States with over 50,000 members. Over the past three annually recurring election periods, we have grown our membership at a 27% CAGR, with our growth reaching 34% in the 2020 annual enrollment period. This growth has largely been driven by our nation-leading established market take rate, which has averaged more than 50% over the past three years. This has allowed us to achieve a top three market position in all of our established markets.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12" w:lineRule="exact"/>
        <w:rPr>
          <w:sz w:val="20"/>
          <w:szCs w:val="20"/>
          <w:color w:val="auto"/>
        </w:rPr>
      </w:pPr>
    </w:p>
    <w:p>
      <w:pPr>
        <w:ind w:right="580" w:firstLine="449"/>
        <w:spacing w:after="0" w:line="270" w:lineRule="auto"/>
        <w:rPr>
          <w:sz w:val="20"/>
          <w:szCs w:val="20"/>
          <w:color w:val="auto"/>
        </w:rPr>
      </w:pPr>
      <w:r>
        <w:rPr>
          <w:rFonts w:ascii="Times New Roman" w:cs="Times New Roman" w:eastAsia="Times New Roman" w:hAnsi="Times New Roman"/>
          <w:sz w:val="18"/>
          <w:szCs w:val="18"/>
          <w:color w:val="auto"/>
        </w:rPr>
        <w:t>We believe our mission-aligned business model, powered by the Clover Assistant, enables us to deliver significant value to the entire healthcare ecosystem.</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Clover Health is the “Obvious” plan for consumers</w:t>
      </w:r>
    </w:p>
    <w:p>
      <w:pPr>
        <w:spacing w:after="0" w:line="114" w:lineRule="exact"/>
        <w:rPr>
          <w:sz w:val="20"/>
          <w:szCs w:val="20"/>
          <w:color w:val="auto"/>
        </w:rPr>
      </w:pPr>
    </w:p>
    <w:p>
      <w:pPr>
        <w:ind w:right="680" w:firstLine="449"/>
        <w:spacing w:after="0" w:line="270" w:lineRule="auto"/>
        <w:rPr>
          <w:sz w:val="20"/>
          <w:szCs w:val="20"/>
          <w:color w:val="auto"/>
        </w:rPr>
      </w:pPr>
      <w:r>
        <w:rPr>
          <w:rFonts w:ascii="Times New Roman" w:cs="Times New Roman" w:eastAsia="Times New Roman" w:hAnsi="Times New Roman"/>
          <w:sz w:val="18"/>
          <w:szCs w:val="18"/>
          <w:color w:val="auto"/>
        </w:rPr>
        <w:t>Our members are our primary constituents. We believe that an approach focused on consumer healthcare choice, enhanced physician trust, and competitive pricing results in distinct value to our members and makes great health care available to everyone.</w:t>
      </w:r>
    </w:p>
    <w:p>
      <w:pPr>
        <w:spacing w:after="0" w:line="74" w:lineRule="exact"/>
        <w:rPr>
          <w:sz w:val="20"/>
          <w:szCs w:val="20"/>
          <w:color w:val="auto"/>
        </w:rPr>
      </w:pPr>
    </w:p>
    <w:p>
      <w:pPr>
        <w:ind w:left="1000" w:right="60" w:hanging="439"/>
        <w:spacing w:after="0" w:line="25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Physician of choice</w:t>
      </w:r>
      <w:r>
        <w:rPr>
          <w:rFonts w:ascii="Times New Roman" w:cs="Times New Roman" w:eastAsia="Times New Roman" w:hAnsi="Times New Roman"/>
          <w:sz w:val="18"/>
          <w:szCs w:val="18"/>
          <w:color w:val="auto"/>
        </w:rPr>
        <w:t>. We value the health decisions our members make and believe that consumer-driven physician choice increases trust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satisfaction. Our differentiated, open network philosophy offers considerable consumer choice: discretion to choose any new Medicare physician willing to see them or keep an existing physician. The substantial majority of our members are enrolled in our open network plans, meaning that our members need not worry about verifying whether their Medicare physician is in- or out-of- our network as they pay the same amount in either case.</w:t>
      </w:r>
    </w:p>
    <w:p>
      <w:pPr>
        <w:spacing w:after="0" w:line="89" w:lineRule="exact"/>
        <w:rPr>
          <w:rFonts w:ascii="Times New Roman" w:cs="Times New Roman" w:eastAsia="Times New Roman" w:hAnsi="Times New Roman"/>
          <w:sz w:val="18"/>
          <w:szCs w:val="18"/>
          <w:color w:val="auto"/>
        </w:rPr>
      </w:pPr>
    </w:p>
    <w:p>
      <w:pPr>
        <w:ind w:left="1000" w:right="440" w:hanging="439"/>
        <w:spacing w:after="0" w:line="273"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Clover Assistant makes the PCP the quarterback</w:t>
      </w:r>
      <w:r>
        <w:rPr>
          <w:rFonts w:ascii="Times New Roman" w:cs="Times New Roman" w:eastAsia="Times New Roman" w:hAnsi="Times New Roman"/>
          <w:sz w:val="18"/>
          <w:szCs w:val="18"/>
          <w:color w:val="auto"/>
        </w:rPr>
        <w:t>. The Clover Assistant enhances each PCP’s ability to coordinate care for each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Our members can have confidence that, when using</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80"/>
          </w:cols>
          <w:pgMar w:left="320" w:top="450" w:right="39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Clover Assistant, their PCP has ready access to their medical histories and personalized, data-driven clinical care recommendations.</w:t>
      </w:r>
    </w:p>
    <w:p>
      <w:pPr>
        <w:spacing w:after="0" w:line="124" w:lineRule="exact"/>
        <w:rPr>
          <w:sz w:val="20"/>
          <w:szCs w:val="20"/>
          <w:color w:val="auto"/>
        </w:rPr>
      </w:pPr>
    </w:p>
    <w:p>
      <w:pPr>
        <w:ind w:left="1000" w:right="20" w:hanging="439"/>
        <w:spacing w:after="0" w:line="248"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value plans. Consumers that choose our health plans get more for less. Our plans are benefit-rich while being highly affordable. Most of our members are enrolled in plans that offer the lowest average out-of-pocket costs for PCP co-pays, specialist co-pays, drug deductibles and drug costs in their markets while also providing peace of mind with wide network access and with the same in- and out-of-network costs for physician visits. For example, based on a company analysis that assumes a lifetime of seven years on Medicare, we estimate that our highest enrolled plan offers a 17% average lifetime cost savings compared to the highest enrolled MA competitor plan in our five largest markets. Likewise, based on a similar company analysis, we estimate that our highest enrolled plan offers a 41% average lifetime cost savings compared to Original Medicare, taking into account the Kaiser Family Foundation’s reported average Original Medicare enrollee’s out-of-pocket spending on medical and long-term care services in 2016. By lowering the financial burden on our members, we reduce disincentives that inhibit our members from seeking the care they need.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Clover Health delivers clinical and financial value for physicians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Physicians enjoy using the Clover Assistant as it allows them to focus on delivering care and rewards them for doing so.</w:t>
      </w:r>
    </w:p>
    <w:p>
      <w:pPr>
        <w:spacing w:after="0" w:line="122" w:lineRule="exact"/>
        <w:rPr>
          <w:sz w:val="20"/>
          <w:szCs w:val="20"/>
          <w:color w:val="auto"/>
        </w:rPr>
      </w:pPr>
    </w:p>
    <w:p>
      <w:pPr>
        <w:ind w:left="1000" w:right="80" w:hanging="439"/>
        <w:spacing w:after="0" w:line="270" w:lineRule="auto"/>
        <w:tabs>
          <w:tab w:leader="none" w:pos="10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Clover Assistant delights and engages physicians</w:t>
      </w:r>
      <w:r>
        <w:rPr>
          <w:rFonts w:ascii="Times New Roman" w:cs="Times New Roman" w:eastAsia="Times New Roman" w:hAnsi="Times New Roman"/>
          <w:sz w:val="17"/>
          <w:szCs w:val="17"/>
          <w:color w:val="auto"/>
        </w:rPr>
        <w:t>. We are focused on empowering and delighting physicians that use our platform.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Physicians are highly satisfied with the Clover Assistant platform, as evidenced by our platform’s positive NPS of 59 for the six months ended September 30, 2020. The Clover Assistant’s NPS is comparable to those of leading consumer technology platforms, such as Netflix and Amazon, and stands in stark contrast to the average negative NPS of -44 of legacy medical record software products, including EHRs such as athenahealth, Epic and NextGen. Onboarded physicians are highly engaged, using the Clover Assistant for 92% of their member visits in 2019.</w:t>
      </w:r>
    </w:p>
    <w:p>
      <w:pPr>
        <w:spacing w:after="0" w:line="76" w:lineRule="exact"/>
        <w:rPr>
          <w:rFonts w:ascii="Times New Roman" w:cs="Times New Roman" w:eastAsia="Times New Roman" w:hAnsi="Times New Roman"/>
          <w:sz w:val="17"/>
          <w:szCs w:val="17"/>
          <w:color w:val="auto"/>
        </w:rPr>
      </w:pPr>
    </w:p>
    <w:p>
      <w:pPr>
        <w:ind w:left="1000" w:right="20" w:hanging="439"/>
        <w:spacing w:after="0" w:line="250"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pay an enhanced rate for primary care</w:t>
      </w:r>
      <w:r>
        <w:rPr>
          <w:rFonts w:ascii="Times New Roman" w:cs="Times New Roman" w:eastAsia="Times New Roman" w:hAnsi="Times New Roman"/>
          <w:sz w:val="18"/>
          <w:szCs w:val="18"/>
          <w:color w:val="auto"/>
        </w:rPr>
        <w:t>. We believe the PCP plays a critical role in helping to keep our members healthy, and we compensate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for the enhanced clinical experience they provide members through the Clover Assistant. Our payment model is simple; we provide one enhanced rate for primary care visits using the Clover Assistant, or what we refer to as “Clover Assistant visits.” Our flat-fee per-visit PCP compensation is approximately twice the average Medicare reimbursement fee rate for a primary care visit, and is consistent, predictable and prompt, with payments received on average within four days of completion of the visit. We believe our payment process for Clover Assistant visits is substantially faster than our competitors’ payment processes, which can take weeks or months.</w:t>
      </w:r>
    </w:p>
    <w:p>
      <w:pPr>
        <w:spacing w:after="0" w:line="94" w:lineRule="exact"/>
        <w:rPr>
          <w:rFonts w:ascii="Times New Roman" w:cs="Times New Roman" w:eastAsia="Times New Roman" w:hAnsi="Times New Roman"/>
          <w:sz w:val="18"/>
          <w:szCs w:val="18"/>
          <w:color w:val="auto"/>
        </w:rPr>
      </w:pPr>
    </w:p>
    <w:p>
      <w:pPr>
        <w:ind w:left="1000" w:right="200" w:hanging="439"/>
        <w:spacing w:after="0" w:line="25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partner with physicians and allow them to focus on providing quality care</w:t>
      </w:r>
      <w:r>
        <w:rPr>
          <w:rFonts w:ascii="Times New Roman" w:cs="Times New Roman" w:eastAsia="Times New Roman" w:hAnsi="Times New Roman"/>
          <w:sz w:val="18"/>
          <w:szCs w:val="18"/>
          <w:color w:val="auto"/>
        </w:rPr>
        <w:t>. We partner with all types of physicians, including solo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practitioners, large physician groups and hospital-employed physicians. The combination of our growing member base, free use of the Clover Assistant and enhanced and rapid payment for Clover Assistant visits enables a highly efficient economic model that allows PCPs to build successful practices serving Medicare patients. This model focuses on relieving physicians of additional administrative burdens, empowering them to spend more time on care.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Great health care for everyone</w:t>
      </w:r>
    </w:p>
    <w:p>
      <w:pPr>
        <w:spacing w:after="0" w:line="11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 care.</w:t>
      </w:r>
    </w:p>
    <w:p>
      <w:pPr>
        <w:spacing w:after="0" w:line="84" w:lineRule="exact"/>
        <w:rPr>
          <w:sz w:val="20"/>
          <w:szCs w:val="20"/>
          <w:color w:val="auto"/>
        </w:rPr>
      </w:pPr>
    </w:p>
    <w:p>
      <w:pPr>
        <w:ind w:left="1000" w:hanging="439"/>
        <w:spacing w:after="0" w:line="273"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mean everyone</w:t>
      </w:r>
      <w:r>
        <w:rPr>
          <w:rFonts w:ascii="Times New Roman" w:cs="Times New Roman" w:eastAsia="Times New Roman" w:hAnsi="Times New Roman"/>
          <w:sz w:val="18"/>
          <w:szCs w:val="18"/>
          <w:color w:val="auto"/>
        </w:rPr>
        <w:t>. Every individual deserves the best care, and through the Clover Assistant we are democratizing the clinical data and insights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need to deliver care. Because we drive this</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80"/>
          </w:cols>
          <w:pgMar w:left="320" w:top="450" w:right="3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right="380"/>
        <w:spacing w:after="0" w:line="258" w:lineRule="auto"/>
        <w:rPr>
          <w:sz w:val="20"/>
          <w:szCs w:val="20"/>
          <w:color w:val="auto"/>
        </w:rPr>
      </w:pPr>
      <w:r>
        <w:rPr>
          <w:rFonts w:ascii="Times New Roman" w:cs="Times New Roman" w:eastAsia="Times New Roman" w:hAnsi="Times New Roman"/>
          <w:sz w:val="18"/>
          <w:szCs w:val="18"/>
          <w:color w:val="auto"/>
        </w:rPr>
        <w:t>clinical improvement with technology, we believe we can scale in virtually any market, including traditionally underserved markets that are generally not viable for others, as demonstrated by the fact that we had 25% more low-income members and nearly twice the number of minority members as a percentage of our plan population than are generally served in MA as of September 30, 2020.</w:t>
      </w:r>
    </w:p>
    <w:p>
      <w:pPr>
        <w:spacing w:after="0" w:line="84" w:lineRule="exact"/>
        <w:rPr>
          <w:sz w:val="20"/>
          <w:szCs w:val="20"/>
          <w:color w:val="auto"/>
        </w:rPr>
      </w:pPr>
    </w:p>
    <w:p>
      <w:pPr>
        <w:ind w:left="1000" w:hanging="439"/>
        <w:spacing w:after="0" w:line="270" w:lineRule="auto"/>
        <w:tabs>
          <w:tab w:leader="none" w:pos="10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Sustainable healthcare through reduced medical cost</w:t>
      </w:r>
      <w:r>
        <w:rPr>
          <w:rFonts w:ascii="Times New Roman" w:cs="Times New Roman" w:eastAsia="Times New Roman" w:hAnsi="Times New Roman"/>
          <w:sz w:val="17"/>
          <w:szCs w:val="17"/>
          <w:color w:val="auto"/>
        </w:rPr>
        <w:t>. We believe our focus on personalized evidence-based clinical recommendations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point of care and quality gap closure allows us to reduce medical costs over the long-term. Our innovative approach to preventive care empowers physicians to spend more time understanding their patient and personalized, evidence-based guidelines and helps reduce the incidence of high-cost events that drive the largest share of healthcare expenditures. We have a broad opportunity to bend the healthcare cost curve, driving true financial value to society, especially the American taxpayers who underwrite the medical costs of our current and future members.</w:t>
      </w:r>
    </w:p>
    <w:p>
      <w:pPr>
        <w:spacing w:after="0" w:line="76" w:lineRule="exact"/>
        <w:rPr>
          <w:rFonts w:ascii="Times New Roman" w:cs="Times New Roman" w:eastAsia="Times New Roman" w:hAnsi="Times New Roman"/>
          <w:sz w:val="17"/>
          <w:szCs w:val="17"/>
          <w:color w:val="auto"/>
        </w:rPr>
      </w:pPr>
    </w:p>
    <w:p>
      <w:pPr>
        <w:ind w:left="1000" w:right="140" w:hanging="439"/>
        <w:spacing w:after="0" w:line="254"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value, not overhead</w:t>
      </w:r>
      <w:r>
        <w:rPr>
          <w:rFonts w:ascii="Times New Roman" w:cs="Times New Roman" w:eastAsia="Times New Roman" w:hAnsi="Times New Roman"/>
          <w:sz w:val="18"/>
          <w:szCs w:val="18"/>
          <w:color w:val="auto"/>
        </w:rPr>
        <w:t>. Many insurers simply act as middlemen, taking a cut of premiums while assigning duties of care to physicians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risk-sharing contracting. New payment approaches, such as the federal government’s Direct Contracting program, may help eliminate entities that serve only as overhead. With our model and technology platform, we believe we are positioned to thrive in any program where entities are expected to empower physicians to improve care while lowering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differentiate ourselves from our competitors through the following competitive strengths:</w:t>
      </w:r>
    </w:p>
    <w:p>
      <w:pPr>
        <w:spacing w:after="0" w:line="122" w:lineRule="exact"/>
        <w:rPr>
          <w:sz w:val="20"/>
          <w:szCs w:val="20"/>
          <w:color w:val="auto"/>
        </w:rPr>
      </w:pPr>
    </w:p>
    <w:p>
      <w:pPr>
        <w:ind w:left="1000" w:right="180" w:hanging="439"/>
        <w:spacing w:after="0" w:line="274" w:lineRule="auto"/>
        <w:tabs>
          <w:tab w:leader="none" w:pos="10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Clover Assistant raises the level of care delivered by physicians</w:t>
      </w:r>
      <w:r>
        <w:rPr>
          <w:rFonts w:ascii="Times New Roman" w:cs="Times New Roman" w:eastAsia="Times New Roman" w:hAnsi="Times New Roman"/>
          <w:sz w:val="17"/>
          <w:szCs w:val="17"/>
          <w:color w:val="auto"/>
        </w:rPr>
        <w:t>. Our focus on developing technology for physicians has allowed us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improve care for our members. Our platform seamlessly recognizes clinical conditions or gaps requiring attention and provides insights to address them at the point of care. We believe usage of the Clover Assistant contributes to our members having had approximately 20% fewer emergency room visits and inpatient hospital admissions in 2019, as compared to Original Medicare benchmarks on a per 1,000 member basis.</w:t>
      </w:r>
    </w:p>
    <w:p>
      <w:pPr>
        <w:spacing w:after="0" w:line="72" w:lineRule="exact"/>
        <w:rPr>
          <w:rFonts w:ascii="Times New Roman" w:cs="Times New Roman" w:eastAsia="Times New Roman" w:hAnsi="Times New Roman"/>
          <w:sz w:val="17"/>
          <w:szCs w:val="17"/>
          <w:color w:val="auto"/>
        </w:rPr>
      </w:pPr>
    </w:p>
    <w:p>
      <w:pPr>
        <w:ind w:left="1000" w:right="120" w:hanging="439"/>
        <w:spacing w:after="0" w:line="249"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Mission-driven business model enables health equity for all</w:t>
      </w:r>
      <w:r>
        <w:rPr>
          <w:rFonts w:ascii="Times New Roman" w:cs="Times New Roman" w:eastAsia="Times New Roman" w:hAnsi="Times New Roman"/>
          <w:sz w:val="18"/>
          <w:szCs w:val="18"/>
          <w:color w:val="auto"/>
        </w:rPr>
        <w:t>. Our “every provider, every member” business model is driven by our core 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improving every life by delivering clinical and economic value to all of our members. This aligns our success with the health and well-being of our members. We designed the Clover Assistant platform to serve the entire Medicare population, and are not burdened by legacy systems, relationships or dogmas. We believe our platform removes the need to curate our membership through limiting the providers that a member can see or shifting additional costs to the member. Most of our members are enrolled in plans that offer the lowest average out-of-pocket costs for PCP co-pays, specialist co-pays, drug deductibles and drug costs in their markets while also providing peace of mind with wide network access and with the same in- and out-of-network costs for physician visits.</w:t>
      </w:r>
    </w:p>
    <w:p>
      <w:pPr>
        <w:spacing w:after="0" w:line="96" w:lineRule="exact"/>
        <w:rPr>
          <w:rFonts w:ascii="Times New Roman" w:cs="Times New Roman" w:eastAsia="Times New Roman" w:hAnsi="Times New Roman"/>
          <w:sz w:val="18"/>
          <w:szCs w:val="18"/>
          <w:color w:val="auto"/>
        </w:rPr>
      </w:pPr>
    </w:p>
    <w:p>
      <w:pPr>
        <w:ind w:left="1000" w:right="60" w:hanging="439"/>
        <w:spacing w:after="0" w:line="24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scale at the speed of software through differentiated rapid software improvement cycle</w:t>
      </w:r>
      <w:r>
        <w:rPr>
          <w:rFonts w:ascii="Times New Roman" w:cs="Times New Roman" w:eastAsia="Times New Roman" w:hAnsi="Times New Roman"/>
          <w:sz w:val="18"/>
          <w:szCs w:val="18"/>
          <w:color w:val="auto"/>
        </w:rPr>
        <w:t>. We rapidly onboard our physicians,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trained and go live on the Clover Assistant typically within one hour, following which we provide them with timely, accurate and actionable member data at the point of care. Our cloud-based platform allows us to implement platform updates with little to no disruption to the physician. On average, we have released an updated version once every three weeks since the launch of the Clover Assistant in July 2018. The Clover Assistant is differentiated by its flexible product architecture, which allows us to quickly scale our technology platform across geographies, healthcare delivery systems and provider IT infrastructures. For example, during the COVID pandemic, we built a telemedicine version of the Clover Assistant in less than five days in response to the needs of providers and our members as they faced challenges in receiving care. The Clover Assistant’s intuitive software design, rapid product enhancement and reliable insights empower our physicians and drive high engagement and satisfaction.</w:t>
      </w:r>
    </w:p>
    <w:p>
      <w:pPr>
        <w:spacing w:after="0" w:line="97" w:lineRule="exact"/>
        <w:rPr>
          <w:rFonts w:ascii="Times New Roman" w:cs="Times New Roman" w:eastAsia="Times New Roman" w:hAnsi="Times New Roman"/>
          <w:sz w:val="18"/>
          <w:szCs w:val="18"/>
          <w:color w:val="auto"/>
        </w:rPr>
      </w:pPr>
    </w:p>
    <w:p>
      <w:pPr>
        <w:ind w:left="1000" w:right="40" w:hanging="439"/>
        <w:spacing w:after="0" w:line="273"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Powerful virtuous growth cycle</w:t>
      </w:r>
      <w:r>
        <w:rPr>
          <w:rFonts w:ascii="Times New Roman" w:cs="Times New Roman" w:eastAsia="Times New Roman" w:hAnsi="Times New Roman"/>
          <w:sz w:val="18"/>
          <w:szCs w:val="18"/>
          <w:color w:val="auto"/>
        </w:rPr>
        <w:t>. The combination of our Clover Assistant-empowered physicians and “Obvious” plan designs creates a powerful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effect that has enabled us to achieve market-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450"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spacing w:after="0" w:line="248" w:lineRule="auto"/>
        <w:rPr>
          <w:sz w:val="20"/>
          <w:szCs w:val="20"/>
          <w:color w:val="auto"/>
        </w:rPr>
      </w:pPr>
      <w:r>
        <w:rPr>
          <w:rFonts w:ascii="Times New Roman" w:cs="Times New Roman" w:eastAsia="Times New Roman" w:hAnsi="Times New Roman"/>
          <w:sz w:val="18"/>
          <w:szCs w:val="18"/>
          <w:color w:val="auto"/>
        </w:rPr>
        <w:t>leading membership growth, as compared to other MA plans with over 50,000 members, and attractive unit economics. In the markets we select, we rapidly deploy the Clover Assistant to physicians. The attractive physician-oriented features of the Clover Assistant, including its user-centric design, highly actionable and real-time clinical content, enhanced and rapid payment for Clover Assistant visits and simple onboarding, drive increased adoption and engagement with the platform. Our unit economics have improved through the use of the Clover Assistant; for the three and twelve months ended March 31, 2020, the MCR for returning members with a PCP who used the Clover Assistant was, on average, 1,100 and 730 basis points lower, respectively, than the MCR for returning members with a PCP who did not use the Clover Assistant. This enables us to offer “Obvious” plan designs, capture market share and collect even more clinical data that benefits our platform. This virtuous cycle also enables us to reinvest in our existing markets through improved plan designs and to expand into adjacent and new markets, all of which benefit the cycle.</w:t>
      </w:r>
    </w:p>
    <w:p>
      <w:pPr>
        <w:spacing w:after="0" w:line="96" w:lineRule="exact"/>
        <w:rPr>
          <w:sz w:val="20"/>
          <w:szCs w:val="20"/>
          <w:color w:val="auto"/>
        </w:rPr>
      </w:pPr>
    </w:p>
    <w:p>
      <w:pPr>
        <w:ind w:left="1000" w:right="80" w:hanging="439"/>
        <w:spacing w:after="0" w:line="25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Highly experienced management team</w:t>
      </w:r>
      <w:r>
        <w:rPr>
          <w:rFonts w:ascii="Times New Roman" w:cs="Times New Roman" w:eastAsia="Times New Roman" w:hAnsi="Times New Roman"/>
          <w:sz w:val="18"/>
          <w:szCs w:val="18"/>
          <w:color w:val="auto"/>
        </w:rPr>
        <w:t>. Our founder-led management team has extensive experience across the healthcare and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with a deep culture of disruption that is critical to our success. Our team brings strong clinical expertise and has extensive experience building and overseeing technology and healthcare companies across software development, artificial intelligence / machine learning, data management, payors, providers, and pharma and consumer sectors. Our leadership team drives our strong mission-focused and action-oriented culture dedicated to improving our members’ lives.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growth strategies include the following:</w:t>
      </w:r>
    </w:p>
    <w:p>
      <w:pPr>
        <w:spacing w:after="0" w:line="122" w:lineRule="exact"/>
        <w:rPr>
          <w:sz w:val="20"/>
          <w:szCs w:val="20"/>
          <w:color w:val="auto"/>
        </w:rPr>
      </w:pPr>
    </w:p>
    <w:p>
      <w:pPr>
        <w:ind w:left="1000" w:right="160" w:hanging="439"/>
        <w:spacing w:after="0" w:line="250"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adoption of the Clover Assistant</w:t>
      </w:r>
      <w:r>
        <w:rPr>
          <w:rFonts w:ascii="Times New Roman" w:cs="Times New Roman" w:eastAsia="Times New Roman" w:hAnsi="Times New Roman"/>
          <w:sz w:val="18"/>
          <w:szCs w:val="18"/>
          <w:color w:val="auto"/>
        </w:rPr>
        <w:t>. We have designed our platform to be easy to adopt and use, resulting in rapid adoption of the Clover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Assistant since its launch in July 2018. In particular, the number of PCPs contracted to use the Clover Assistant that care for our members has grown by more than 500% from January 1, 2019, to September 30, 2020. We plan to drive further adoption through ongoing development and delivery of user-centric designs, highly actionable clinical content and simple onboarding while making enhanced payments to physicians who use the Clover Assistant. We intend to continue to invest in, enhance and rapidly implement new features and functionality that improve the Clover Assistant and expand its existing use cases for physicians in order to drive further adoption.</w:t>
      </w:r>
    </w:p>
    <w:p>
      <w:pPr>
        <w:spacing w:after="0" w:line="94" w:lineRule="exact"/>
        <w:rPr>
          <w:rFonts w:ascii="Times New Roman" w:cs="Times New Roman" w:eastAsia="Times New Roman" w:hAnsi="Times New Roman"/>
          <w:sz w:val="18"/>
          <w:szCs w:val="18"/>
          <w:color w:val="auto"/>
        </w:rPr>
      </w:pPr>
    </w:p>
    <w:p>
      <w:pPr>
        <w:ind w:left="1000" w:right="40" w:hanging="439"/>
        <w:spacing w:after="0" w:line="266" w:lineRule="auto"/>
        <w:tabs>
          <w:tab w:leader="none" w:pos="10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Grow our membership in existing markets</w:t>
      </w:r>
      <w:r>
        <w:rPr>
          <w:rFonts w:ascii="Times New Roman" w:cs="Times New Roman" w:eastAsia="Times New Roman" w:hAnsi="Times New Roman"/>
          <w:sz w:val="17"/>
          <w:szCs w:val="17"/>
          <w:color w:val="auto"/>
        </w:rPr>
        <w:t>. Our market-leading “Obvious” plans, backed by the Clover Assistant, have allowed us to capture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growing share of the membership growth in the Medicare Advantage markets we serve. By continuing to drive adoption and use of the Clover Assistant, we expect to continue to improve the care of our members and our overall plan economics, thereby enabling us to continue to invest our cost savings by offering “Obvious” plans in our existing markets to attract more members. We intend to increase spending for member acquisition and further develop internal and external sales channels that market our value proposition and our products, leveraging targeted messages that resonate with our members. We also plan to continue to invest in increasing awareness and encouraging greater levels of shopping behavior by Medicare-eligible beneficiaries during Medicare’s annual election period to help us take share in our existing markets.</w:t>
      </w:r>
    </w:p>
    <w:p>
      <w:pPr>
        <w:spacing w:after="0" w:line="82" w:lineRule="exact"/>
        <w:rPr>
          <w:rFonts w:ascii="Times New Roman" w:cs="Times New Roman" w:eastAsia="Times New Roman" w:hAnsi="Times New Roman"/>
          <w:sz w:val="17"/>
          <w:szCs w:val="17"/>
          <w:color w:val="auto"/>
        </w:rPr>
      </w:pPr>
    </w:p>
    <w:p>
      <w:pPr>
        <w:ind w:left="1000" w:right="40" w:hanging="439"/>
        <w:spacing w:after="0" w:line="250"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into new markets</w:t>
      </w:r>
      <w:r>
        <w:rPr>
          <w:rFonts w:ascii="Times New Roman" w:cs="Times New Roman" w:eastAsia="Times New Roman" w:hAnsi="Times New Roman"/>
          <w:sz w:val="18"/>
          <w:szCs w:val="18"/>
          <w:color w:val="auto"/>
        </w:rPr>
        <w:t>. We currently offer MA plans in 34 markets in the United States, and we are launching in 74 additional MA markets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We principally scale by deploying the Clover Assistant software to PCPs. We contract with providers simply to use the Clover Assistant at the point of care for a flat fee rather than, for example, negotiating contracts involving risk-sharing arrangements under which the provider assumes financial responsibilities for patient care. We plan to leverage our rapidly scalable business model to enter into new markets nationally in order to offer our “Obvious” plans to a greater percentage of the over 60 million Medicare-eligible beneficiaries. Accordingly, we plan to seek opportunities to create differentiated and enhanced plans for Medicare-eligible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450"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right="120"/>
        <w:spacing w:after="0" w:line="253" w:lineRule="auto"/>
        <w:rPr>
          <w:sz w:val="20"/>
          <w:szCs w:val="20"/>
          <w:color w:val="auto"/>
        </w:rPr>
      </w:pPr>
      <w:r>
        <w:rPr>
          <w:rFonts w:ascii="Times New Roman" w:cs="Times New Roman" w:eastAsia="Times New Roman" w:hAnsi="Times New Roman"/>
          <w:sz w:val="18"/>
          <w:szCs w:val="18"/>
          <w:color w:val="auto"/>
        </w:rPr>
        <w:t>beneficiaries across the United States, including underpenetrated and traditionally underserved markets. For example, we recently announced a new partnership with Walmart to make co-branded Clover Health-Walmart plans available in eight Georgia counties that represented over 370,000 Medicare eligible beneficiaries in 2019. We also intend to increase spending for new market development and expansion of our sales channels and in-person or remote clinical care capabilities.</w:t>
      </w:r>
    </w:p>
    <w:p>
      <w:pPr>
        <w:spacing w:after="0" w:line="90" w:lineRule="exact"/>
        <w:rPr>
          <w:sz w:val="20"/>
          <w:szCs w:val="20"/>
          <w:color w:val="auto"/>
        </w:rPr>
      </w:pPr>
    </w:p>
    <w:p>
      <w:pPr>
        <w:ind w:left="1000" w:hanging="439"/>
        <w:spacing w:after="0" w:line="249"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Continuously drive increasing value via the Clover Assistant</w:t>
      </w:r>
      <w:r>
        <w:rPr>
          <w:rFonts w:ascii="Times New Roman" w:cs="Times New Roman" w:eastAsia="Times New Roman" w:hAnsi="Times New Roman"/>
          <w:sz w:val="18"/>
          <w:szCs w:val="18"/>
          <w:color w:val="auto"/>
        </w:rPr>
        <w:t>. We plan to deploy the Clover Assistant across the entire Medicare-eligible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in the United States, not just those enrolled in Medicare Advantage, through a physician-led framework that utilizes the Clover Assistant. We are investing in enhancing the features and functionalities of the platform and developing the foundation to address new opportunities. New innovative Medicare payments models, such as Accountable Care Organization models, Comprehensive Primary Care Plus (CPC+) and Direct Contracting, provide an opportunity to deploy our platform across a national footprint and greatly enhance the velocity of our new market growth. We also plan to continue to innovate and develop the Clover Assistant for potential applications beyond Medicare, including research and development, where we believe it can further our mission while providing additional revenue streams.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Clover Assistant Architecture</w:t>
      </w:r>
    </w:p>
    <w:p>
      <w:pPr>
        <w:spacing w:after="0" w:line="112"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Clover Assistant is a differentiated platform able to scalably combine data synthesis, insight generation, and point-of-care action. The Clover Assistant platform synthesizes comprehensive, longitudinal sets of data directly available to us as a health plan, generates clinically-focused machine learning, artificial intelligence, and rules-based insights, and drives action by surfacing the most relevant, personalized information to PCPs directly at the point of care. Our platform’s excellence is centered on this three-pronged approach:</w:t>
      </w:r>
    </w:p>
    <w:p>
      <w:pPr>
        <w:spacing w:after="0" w:line="90" w:lineRule="exact"/>
        <w:rPr>
          <w:sz w:val="20"/>
          <w:szCs w:val="20"/>
          <w:color w:val="auto"/>
        </w:rPr>
      </w:pPr>
    </w:p>
    <w:p>
      <w:pPr>
        <w:ind w:left="1000" w:right="120" w:hanging="439"/>
        <w:spacing w:after="0" w:line="25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Synthesis</w:t>
      </w:r>
      <w:r>
        <w:rPr>
          <w:rFonts w:ascii="Times New Roman" w:cs="Times New Roman" w:eastAsia="Times New Roman" w:hAnsi="Times New Roman"/>
          <w:sz w:val="18"/>
          <w:szCs w:val="18"/>
          <w:color w:val="auto"/>
        </w:rPr>
        <w:t>. Because it is developed by a health plan, the Clover Assistant is uniquely positioned in its ability to directly access broad sets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personalized, 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APIs, flat file ingests, or even paper document ingests.</w:t>
      </w:r>
    </w:p>
    <w:p>
      <w:pPr>
        <w:spacing w:after="0" w:line="78" w:lineRule="exact"/>
        <w:rPr>
          <w:rFonts w:ascii="Times New Roman" w:cs="Times New Roman" w:eastAsia="Times New Roman" w:hAnsi="Times New Roman"/>
          <w:sz w:val="18"/>
          <w:szCs w:val="18"/>
          <w:color w:val="auto"/>
        </w:rPr>
      </w:pPr>
    </w:p>
    <w:p>
      <w:pPr>
        <w:ind w:left="1020" w:righ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spacing w:after="0" w:line="83" w:lineRule="exact"/>
        <w:rPr>
          <w:rFonts w:ascii="Times New Roman" w:cs="Times New Roman" w:eastAsia="Times New Roman" w:hAnsi="Times New Roman"/>
          <w:sz w:val="18"/>
          <w:szCs w:val="18"/>
          <w:color w:val="auto"/>
        </w:rPr>
      </w:pPr>
    </w:p>
    <w:p>
      <w:pPr>
        <w:ind w:left="1000" w:right="20" w:hanging="439"/>
        <w:spacing w:after="0" w:line="259"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Insight</w:t>
      </w:r>
      <w:r>
        <w:rPr>
          <w:rFonts w:ascii="Times New Roman" w:cs="Times New Roman" w:eastAsia="Times New Roman" w:hAnsi="Times New Roman"/>
          <w:sz w:val="18"/>
          <w:szCs w:val="18"/>
          <w:color w:val="auto"/>
        </w:rPr>
        <w:t>. Given the massive depth, breadth and volume of data that we collect, it is critical to leverage technology to perform intelligent analytics.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physician could analyze this amount of data in real-time. Our insight engine applies a combination of advanced machine learning and clinically-driven business rules to curate actionable insights for PCPs at the point of care.</w:t>
      </w:r>
    </w:p>
    <w:p>
      <w:pPr>
        <w:spacing w:after="0" w:line="83" w:lineRule="exact"/>
        <w:rPr>
          <w:rFonts w:ascii="Times New Roman" w:cs="Times New Roman" w:eastAsia="Times New Roman" w:hAnsi="Times New Roman"/>
          <w:sz w:val="18"/>
          <w:szCs w:val="18"/>
          <w:color w:val="auto"/>
        </w:rPr>
      </w:pPr>
    </w:p>
    <w:p>
      <w:pPr>
        <w:ind w:left="1000" w:right="400" w:hanging="439"/>
        <w:spacing w:after="0" w:line="259"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data scientists work in conjunction with physicians to continually enhance our insight engine</w:t>
      </w:r>
      <w:r>
        <w:rPr>
          <w:rFonts w:ascii="Times New Roman" w:cs="Times New Roman" w:eastAsia="Times New Roman" w:hAnsi="Times New Roman"/>
          <w:sz w:val="18"/>
          <w:szCs w:val="18"/>
          <w:color w:val="auto"/>
        </w:rPr>
        <w:t>. We identify and target specific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problems, then seek to solve these problems with expert systems, combining the latest clinical and evidence-based research with ML-based insights.</w:t>
      </w:r>
    </w:p>
    <w:p>
      <w:pPr>
        <w:spacing w:after="0" w:line="83" w:lineRule="exact"/>
        <w:rPr>
          <w:rFonts w:ascii="Times New Roman" w:cs="Times New Roman" w:eastAsia="Times New Roman" w:hAnsi="Times New Roman"/>
          <w:sz w:val="18"/>
          <w:szCs w:val="18"/>
          <w:color w:val="auto"/>
        </w:rPr>
      </w:pPr>
    </w:p>
    <w:p>
      <w:pPr>
        <w:jc w:val="both"/>
        <w:ind w:left="1000" w:right="320" w:hanging="439"/>
        <w:spacing w:after="0" w:line="281" w:lineRule="auto"/>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Action</w:t>
      </w:r>
      <w:r>
        <w:rPr>
          <w:rFonts w:ascii="Times New Roman" w:cs="Times New Roman" w:eastAsia="Times New Roman" w:hAnsi="Times New Roman"/>
          <w:sz w:val="17"/>
          <w:szCs w:val="17"/>
          <w:color w:val="auto"/>
        </w:rPr>
        <w:t>. The Clover Assistant provides real time, personalized, and actionable insights to help healthcare providers make better decisions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 the right care at the right time. Because our insights are provided in a clear, actionable format directly at the point of care, the Clover Assistant can instantaneously inform physician decision-making at the very moment that they are interacting with and treating our members.</w:t>
      </w:r>
    </w:p>
    <w:p>
      <w:pPr>
        <w:spacing w:after="0" w:line="161"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auto"/>
        </w:rPr>
        <w:t>These three aspects of the Clover Assistant—Synthesis, Insight and Action—form a self-contained software improvement virtuous cycle. As physicians take action based on our data insights, we receive rich feedback data in real time. We then input this data back into our data and insight layers, creating a loop of bi-directional information exchange.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450" w:right="3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firstLine="449"/>
        <w:spacing w:after="0" w:line="269" w:lineRule="auto"/>
        <w:rPr>
          <w:sz w:val="20"/>
          <w:szCs w:val="20"/>
          <w:color w:val="auto"/>
        </w:rPr>
      </w:pPr>
      <w:r>
        <w:rPr>
          <w:rFonts w:ascii="Times New Roman" w:cs="Times New Roman" w:eastAsia="Times New Roman" w:hAnsi="Times New Roman"/>
          <w:sz w:val="17"/>
          <w:szCs w:val="17"/>
          <w:color w:val="auto"/>
        </w:rPr>
        <w:t>Across all three prongs of our platform, the Clover Assistant is designed to ensure data integrity and security to protect our users’ and members’ information, identities and privacy. As such, we have invested significantly in data protection and follow strict data protection protocols. We follow HIPAA guidelines, and all data in transit and at rest are encrypted. Data transfers, including API calls to and from third parties are authenticated via password, token, or two-way mTLS. We discourage and minimize local data storage as a deterrence against physical device and data loss. The Clover Assistant data is stored in the cloud, with backups across Amazon Web Services and Google Cloud Platform and secured by centralized identity access and management.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Products Built on the Clover Assistant Platform</w:t>
      </w:r>
    </w:p>
    <w:p>
      <w:pPr>
        <w:spacing w:after="0" w:line="112" w:lineRule="exact"/>
        <w:rPr>
          <w:sz w:val="20"/>
          <w:szCs w:val="20"/>
          <w:color w:val="auto"/>
        </w:rPr>
      </w:pPr>
    </w:p>
    <w:p>
      <w:pPr>
        <w:jc w:val="both"/>
        <w:ind w:right="80" w:firstLine="449"/>
        <w:spacing w:after="0" w:line="258" w:lineRule="auto"/>
        <w:rPr>
          <w:sz w:val="20"/>
          <w:szCs w:val="20"/>
          <w:color w:val="auto"/>
        </w:rPr>
      </w:pPr>
      <w:r>
        <w:rPr>
          <w:rFonts w:ascii="Times New Roman" w:cs="Times New Roman" w:eastAsia="Times New Roman" w:hAnsi="Times New Roman"/>
          <w:sz w:val="18"/>
          <w:szCs w:val="18"/>
          <w:color w:val="auto"/>
        </w:rPr>
        <w:t>While the platform is currently primarily used by physicians at the point of care, the Clover Assistant’s impact is scalable across a myriad of use cases. The platform is designed to surface the most relevant information for a specific context so that any users of the platform can make more informed decisions at the most actionable opportunity available. Use cases include:</w:t>
      </w:r>
    </w:p>
    <w:p>
      <w:pPr>
        <w:spacing w:after="0" w:line="84" w:lineRule="exact"/>
        <w:rPr>
          <w:sz w:val="20"/>
          <w:szCs w:val="20"/>
          <w:color w:val="auto"/>
        </w:rPr>
      </w:pPr>
    </w:p>
    <w:p>
      <w:pPr>
        <w:ind w:left="1000" w:right="480" w:hanging="439"/>
        <w:spacing w:after="0" w:line="254"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 / virtual visits</w:t>
      </w:r>
      <w:r>
        <w:rPr>
          <w:rFonts w:ascii="Times New Roman" w:cs="Times New Roman" w:eastAsia="Times New Roman" w:hAnsi="Times New Roman"/>
          <w:sz w:val="18"/>
          <w:szCs w:val="18"/>
          <w:color w:val="auto"/>
        </w:rPr>
        <w:t>. The Clover Assistant empowers physicians by recommending personalized, evidence-based medications,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reminders of timely discussion topics and treatment, enabling requests for member data and orders for tests or screening kits and identifies potential undiagnosed conditions based on clinical evidence. Our software makes these features available for in-person visits or through telemedicine solutions.</w:t>
      </w:r>
    </w:p>
    <w:p>
      <w:pPr>
        <w:spacing w:after="0" w:line="88" w:lineRule="exact"/>
        <w:rPr>
          <w:rFonts w:ascii="Times New Roman" w:cs="Times New Roman" w:eastAsia="Times New Roman" w:hAnsi="Times New Roman"/>
          <w:sz w:val="18"/>
          <w:szCs w:val="18"/>
          <w:color w:val="auto"/>
        </w:rPr>
      </w:pPr>
    </w:p>
    <w:p>
      <w:pPr>
        <w:ind w:left="1000" w:right="280" w:hanging="439"/>
        <w:spacing w:after="0" w:line="254"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In-home visits</w:t>
      </w:r>
      <w:r>
        <w:rPr>
          <w:rFonts w:ascii="Times New Roman" w:cs="Times New Roman" w:eastAsia="Times New Roman" w:hAnsi="Times New Roman"/>
          <w:sz w:val="18"/>
          <w:szCs w:val="18"/>
          <w:color w:val="auto"/>
        </w:rPr>
        <w:t>. The Clover Assistant empowers physicians and other providers who operate outside of clinical settings, offices or hospitals.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supports, for example, our in-home primary care program enabling lengthy interactions for our members with the most advanced illnesses or complex conditions. It also supports in-home programs targeting members who have been recently discharged from hospitals or who do not receive regular care from a PCP.</w:t>
      </w:r>
    </w:p>
    <w:p>
      <w:pPr>
        <w:spacing w:after="0" w:line="88" w:lineRule="exact"/>
        <w:rPr>
          <w:rFonts w:ascii="Times New Roman" w:cs="Times New Roman" w:eastAsia="Times New Roman" w:hAnsi="Times New Roman"/>
          <w:sz w:val="18"/>
          <w:szCs w:val="18"/>
          <w:color w:val="auto"/>
        </w:rPr>
      </w:pPr>
    </w:p>
    <w:p>
      <w:pPr>
        <w:ind w:left="1000" w:right="600" w:hanging="439"/>
        <w:spacing w:after="0" w:line="273"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 staff</w:t>
      </w:r>
      <w:r>
        <w:rPr>
          <w:rFonts w:ascii="Times New Roman" w:cs="Times New Roman" w:eastAsia="Times New Roman" w:hAnsi="Times New Roman"/>
          <w:sz w:val="18"/>
          <w:szCs w:val="18"/>
          <w:color w:val="auto"/>
        </w:rPr>
        <w:t>. Through its Care Connect feature, the Clover Assistant empowers office staff by identifying patients due for a visit, flagging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recently discharged from the hospital and providing tools for scheduling various screenings and follow-up visits.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1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market our “Obvious” plans through direct marketing activities and an extensive network of insurance brokers and field marketing organizations. We also enter into co-branding arrangements with physicians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Key to our success is the time, attention and investment we place on continued innovation in the Clover Assistant platform. We will continue to invest in expanding our platform and enhancing the features and functionality of the Clover Assistant. We analyze the growing number of interactions our physicians have with the Clover Assistant to recognize their needs quickly and guide future innovation. Our research and development team is responsible for the design, development, testing and delivery of solutions for our platform.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18" w:lineRule="exact"/>
        <w:rPr>
          <w:sz w:val="20"/>
          <w:szCs w:val="20"/>
          <w:color w:val="auto"/>
        </w:rPr>
      </w:pPr>
    </w:p>
    <w:p>
      <w:pPr>
        <w:ind w:right="320" w:firstLine="449"/>
        <w:spacing w:after="0" w:line="270" w:lineRule="auto"/>
        <w:rPr>
          <w:sz w:val="20"/>
          <w:szCs w:val="20"/>
          <w:color w:val="auto"/>
        </w:rPr>
      </w:pPr>
      <w:r>
        <w:rPr>
          <w:rFonts w:ascii="Times New Roman" w:cs="Times New Roman" w:eastAsia="Times New Roman" w:hAnsi="Times New Roman"/>
          <w:sz w:val="18"/>
          <w:szCs w:val="18"/>
          <w:color w:val="auto"/>
        </w:rPr>
        <w:t>The markets for MA plans and related products are highly competitive. We compete in certain segments within the healthcare market, including MA plans as well as other healthcare technology platforms, and intend to</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450" w:right="3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enter into others, such as new payment models offered by CMS, including the Direct Contracting program. Competition in our market involves rapidly changing technologies, evolving regulatory requirements and industry expectations, new product offerings and constantly evolving member and physician preferences and user requirements. We currently face competition from a range of companies, including other incumbent MA plan providers and health insurance companies, many of whom are developing their own technology or partnering with third-party technology providers to drive improvements in care. Our competitors generally include large, national insurers, such as UnitedHealth, Aetna, Humana, Cigna, Centene and Anthem, that provide MA plans, as well as regional-based companies that provide MA plans, such as Blue Cross Blue Shield affiliates,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 care technology platforms, EHR providers, telehealth providers, health care data analytics providers and accountable care organizations.</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We believe our asset-light model allows us to compete favorably based on the following competitive factors: the use of the Clover Assistant platform to improve clinical decision-making, price, quality of service, access to broad and open provider networks, breadth and flexibility of plan benefits, brand strength, member satisfaction, and financial stability.</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2"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inventions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inventions assignments agreements will not be breached.</w:t>
      </w:r>
    </w:p>
    <w:p>
      <w:pPr>
        <w:spacing w:after="0" w:line="195" w:lineRule="exact"/>
        <w:rPr>
          <w:sz w:val="20"/>
          <w:szCs w:val="20"/>
          <w:color w:val="auto"/>
        </w:rPr>
      </w:pPr>
    </w:p>
    <w:p>
      <w:pPr>
        <w:ind w:right="280" w:firstLine="449"/>
        <w:spacing w:after="0" w:line="253" w:lineRule="auto"/>
        <w:rPr>
          <w:sz w:val="20"/>
          <w:szCs w:val="20"/>
          <w:color w:val="auto"/>
        </w:rPr>
      </w:pPr>
      <w:r>
        <w:rPr>
          <w:rFonts w:ascii="Times New Roman" w:cs="Times New Roman" w:eastAsia="Times New Roman" w:hAnsi="Times New Roman"/>
          <w:sz w:val="18"/>
          <w:szCs w:val="18"/>
          <w:color w:val="auto"/>
        </w:rPr>
        <w:t>While we rely on software licensed from third parties for internal tools we use to operate our business, we do not currently in-license any intellectual property. Our intellectual property, including internally developed technology and products are developed by our employees, who are distributed geographically across the United States and globally, with two major hubs in San Francisco (California) and Hong Kong (China). We outsource operational engineering support work to a third party vendor headquartered in the United States with a globally distributed workforce.</w:t>
      </w:r>
    </w:p>
    <w:p>
      <w:pPr>
        <w:spacing w:after="0" w:line="185" w:lineRule="exact"/>
        <w:rPr>
          <w:sz w:val="20"/>
          <w:szCs w:val="20"/>
          <w:color w:val="auto"/>
        </w:rPr>
      </w:pPr>
    </w:p>
    <w:p>
      <w:pPr>
        <w:ind w:right="60" w:firstLine="449"/>
        <w:spacing w:after="0" w:line="269" w:lineRule="auto"/>
        <w:rPr>
          <w:sz w:val="20"/>
          <w:szCs w:val="20"/>
          <w:color w:val="auto"/>
        </w:rPr>
      </w:pPr>
      <w:r>
        <w:rPr>
          <w:rFonts w:ascii="Times New Roman" w:cs="Times New Roman" w:eastAsia="Times New Roman" w:hAnsi="Times New Roman"/>
          <w:sz w:val="17"/>
          <w:szCs w:val="17"/>
          <w:color w:val="auto"/>
        </w:rPr>
        <w:t>A portion of the technologies we use in our platform and mobile application incorporates “open source” software, which grants us broad permissions to use, copy, modify and redistribute on our platform and other products.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In addition, the use of third-party open source software typically exposes us to greater risks than the use of third-party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450"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software because open-source licensors generally do not provide warranties or controls on the functionality or origin of the software.</w:t>
      </w:r>
    </w:p>
    <w:p>
      <w:pPr>
        <w:spacing w:after="0" w:line="216"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8"/>
          <w:szCs w:val="18"/>
          <w:color w:val="auto"/>
        </w:rPr>
        <w:t>As of September 30, 2020, we do not own any U.S. or foreign patents and had 25 U.S. patent applications pending and 14 foreign patent applications pending. We have not applied for patents in foreign jurisdictions. We have registered our trademarks in the United States, European Union, China, South Korea, Singapore, Australia and Taiwan. We continually review our development efforts to assess the existence and patentability of new intellectual property. We pursue the registration of our domain names, trademarks, and service marks in the United States and in certain locations outside the United States, including Canada and Hong Kong.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Facilities</w:t>
      </w:r>
    </w:p>
    <w:p>
      <w:pPr>
        <w:spacing w:after="0" w:line="112"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Our current corporate headquarters are located in Franklin, Tennessee. We lease additional offices in multiple locations in the United States and internationally, including in Jersey City, New Jersey, San Francisco, California and Hong Kong, China.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12" w:lineRule="exact"/>
        <w:rPr>
          <w:sz w:val="20"/>
          <w:szCs w:val="20"/>
          <w:color w:val="auto"/>
        </w:rPr>
      </w:pPr>
    </w:p>
    <w:p>
      <w:pPr>
        <w:ind w:right="80" w:firstLine="449"/>
        <w:spacing w:after="0" w:line="270" w:lineRule="auto"/>
        <w:rPr>
          <w:sz w:val="20"/>
          <w:szCs w:val="20"/>
          <w:color w:val="auto"/>
        </w:rPr>
      </w:pPr>
      <w:r>
        <w:rPr>
          <w:rFonts w:ascii="Times New Roman" w:cs="Times New Roman" w:eastAsia="Times New Roman" w:hAnsi="Times New Roman"/>
          <w:sz w:val="18"/>
          <w:szCs w:val="18"/>
          <w:color w:val="auto"/>
        </w:rPr>
        <w:t>As of September 30, 2020, we had 327 full-time employees. None of our employees is represented by a labor union or covered by collective bargaining agreements. We have not experienced any work stoppages. We consider our relationship with our employees to be good.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2" w:lineRule="exact"/>
        <w:rPr>
          <w:sz w:val="20"/>
          <w:szCs w:val="20"/>
          <w:color w:val="auto"/>
        </w:rPr>
      </w:pPr>
    </w:p>
    <w:p>
      <w:pPr>
        <w:ind w:right="140" w:firstLine="449"/>
        <w:spacing w:after="0" w:line="251"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involved in any legal proceeding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legal proceedings, and there can be no assurances that favorable final outcomes will be obtained.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work diligently to ensure compliance with all applicable laws and regulations. As an entity within the healthcare industry, and one operating MA plans, we are subject to comprehensive federal, state and international laws and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operations, financial position, or cash flows.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discussion of the risks related to our compliance with federal, state and international laws and regulations.</w:t>
      </w:r>
    </w:p>
    <w:p>
      <w:pPr>
        <w:spacing w:after="0" w:line="187" w:lineRule="exact"/>
        <w:rPr>
          <w:sz w:val="20"/>
          <w:szCs w:val="20"/>
          <w:color w:val="auto"/>
        </w:rPr>
      </w:pPr>
    </w:p>
    <w:p>
      <w:pPr>
        <w:ind w:right="320" w:firstLine="449"/>
        <w:spacing w:after="0" w:line="251" w:lineRule="auto"/>
        <w:rPr>
          <w:sz w:val="20"/>
          <w:szCs w:val="20"/>
          <w:color w:val="auto"/>
        </w:rPr>
      </w:pPr>
      <w:r>
        <w:rPr>
          <w:rFonts w:ascii="Times New Roman" w:cs="Times New Roman" w:eastAsia="Times New Roman" w:hAnsi="Times New Roman"/>
          <w:sz w:val="18"/>
          <w:szCs w:val="18"/>
          <w:color w:val="auto"/>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From time to time we are and may be subject to litigation or investigations, which could be costly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time-consuming to defend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320" w:top="450" w:right="3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laws and regulations, relevant agency oversight</w:t>
      </w:r>
    </w:p>
    <w:p>
      <w:pPr>
        <w:spacing w:after="0" w:line="114"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color w:val="auto"/>
        </w:rPr>
        <w:t>We are subject to various federal laws and regulations, and our activities are subject to regulation by several federal agencies. Our most comprehensive oversight comes from CMS, which regulates our MA plans, as well as our intended participation in the Centers for Medicare &amp; Medicaid Innovation Direct Contracting model. CMS regulates the payments made to us and the submission of information relating to the health status of members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spacing w:after="0" w:line="176"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We are also subject to CMS audits related to our compliance with CMS contracts, the performance of the plan, adherence to governing rules and regulations, and the quality of care we provide to Medicare beneficiaries, among other areas. For example, CMS currently conducts RADV audits of a subset of Medicare Advantage contracts for each contract year. In addition, the OIG also audits risk adjustment of companies offering MA plans and we anticipate this remaining a focus of government investigations in the next few years.</w:t>
      </w:r>
    </w:p>
    <w:p>
      <w:pPr>
        <w:spacing w:after="0" w:line="185"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A portion of each MA plan’s reimbursement is tied to the plan’s “Star Ratings.” In addition, Star Ratings affect a plan’s image in the market, and higher rated plans may offer enhanced benefits and additional enrollment opportunities than may other plans. The Star Rating system considers a variety of measures adopted by CMS, including quality of preventative services, chronic illness management, compliance and overall customer satisfaction. We received a 3.0 Star Rating for 2020. Our ability to improve our Star Rating may be significantly compromised by the COVID-19 pandemic, which has prevented all plans from encouraging conduct to address member care gaps and collecting information required to demonstrate plan compliance with and performance on Star Rating metrics.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security and data standards regulation.</w:t>
      </w:r>
    </w:p>
    <w:p>
      <w:pPr>
        <w:spacing w:after="0" w:line="114" w:lineRule="exact"/>
        <w:rPr>
          <w:sz w:val="20"/>
          <w:szCs w:val="20"/>
          <w:color w:val="auto"/>
        </w:rPr>
      </w:pPr>
    </w:p>
    <w:p>
      <w:pPr>
        <w:ind w:right="260" w:firstLine="449"/>
        <w:spacing w:after="0" w:line="251" w:lineRule="auto"/>
        <w:rPr>
          <w:sz w:val="20"/>
          <w:szCs w:val="20"/>
          <w:color w:val="auto"/>
        </w:rPr>
      </w:pPr>
      <w:r>
        <w:rPr>
          <w:rFonts w:ascii="Times New Roman" w:cs="Times New Roman" w:eastAsia="Times New Roman" w:hAnsi="Times New Roman"/>
          <w:sz w:val="18"/>
          <w:szCs w:val="18"/>
          <w:color w:val="auto"/>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spacing w:after="0" w:line="187" w:lineRule="exact"/>
        <w:rPr>
          <w:sz w:val="20"/>
          <w:szCs w:val="20"/>
          <w:color w:val="auto"/>
        </w:rPr>
      </w:pPr>
    </w:p>
    <w:p>
      <w:pPr>
        <w:ind w:right="100" w:firstLine="449"/>
        <w:spacing w:after="0" w:line="247" w:lineRule="auto"/>
        <w:rPr>
          <w:sz w:val="20"/>
          <w:szCs w:val="20"/>
          <w:color w:val="auto"/>
        </w:rPr>
      </w:pPr>
      <w:r>
        <w:rPr>
          <w:rFonts w:ascii="Times New Roman" w:cs="Times New Roman" w:eastAsia="Times New Roman" w:hAnsi="Times New Roman"/>
          <w:sz w:val="18"/>
          <w:szCs w:val="18"/>
          <w:color w:val="auto"/>
        </w:rPr>
        <w:t>In particular, regulations promulgated pursuant to the Health Insurance Portability and Accountability Act of 1996 (“HIPAA”) impose a number of obligations on issuers of health insurance coverage and health benefit plan sponsors. Health insurers, HMOs and health care providers who transmit health information electronically are included in HIPAA’s definition of “Covered Entities.” Regulations promulgated to implement HIPAA and Health Information Technology for Economic and Clinical Health Act (“HITECH”) also require that “business associates” (e.g., entities that provide services to health plans and providers, such as electronic claims clearinghouses, print and fulfillment vendors, consultants and those services we will provide on behalf of our Direct Contracting providers) acting for or on behalf of Covered Entities be contractually obligated to meet HIPAA standards. These regulations govern privacy and security of electronic health information; require federal data breach notification and reporting to the HHS Office for Civil Rights (“OCR”) and the Federal Trade Commission (“FTC”) and, in some cases, to the local media; provide for financial penalties for privacy violations and, in certain cases, criminal penalties for individuals, including employees.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00"/>
          </w:cols>
          <w:pgMar w:left="320" w:top="450" w:right="3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As explained above, depending on the line of business, the Company acts or intends to act as both a covered entity and a business associate.</w:t>
      </w:r>
    </w:p>
    <w:p>
      <w:pPr>
        <w:spacing w:after="0" w:line="187"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HIPAA does not preempt state laws that provide more stringent privacy protection than provided for in HIPAA; as such, we may be subject to additional state privacy laws in states in which we operate. Additionally, states also have adopted regulations to implement provisions of the Financial Modernization Act of 1999 (also known as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GLBA sets a “floor” standard, allowing states to adopt more stringent requirements governing privacy protection.</w:t>
      </w:r>
    </w:p>
    <w:p>
      <w:pPr>
        <w:spacing w:after="0" w:line="187"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Federal and state consumer protection laws are being applied increasingly by the FTC and states’ attorney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 The Cybersecurity Information Sharing Act of 2015 (“CISA”), encourages organizations to share cyber threat indicators with the federal government and, among other things, directs HHS to develop a set of voluntary cybersecurity best practices for organizations in the healthcare industry.</w:t>
      </w:r>
    </w:p>
    <w:p>
      <w:pPr>
        <w:spacing w:after="0" w:line="193"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In addition, states have begun to enact more comprehensive privacy laws and regulations addressing consumer rights to data protection, transparency and cybersecurity. Violations of federal and state privacy and security laws and other contractual requirements may result in significant liability and expense, damage to our reputation or termination of relationship with our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114" w:lineRule="exact"/>
        <w:rPr>
          <w:sz w:val="20"/>
          <w:szCs w:val="20"/>
          <w:color w:val="auto"/>
        </w:rPr>
      </w:pPr>
    </w:p>
    <w:p>
      <w:pPr>
        <w:ind w:right="20" w:firstLine="449"/>
        <w:spacing w:after="0" w:line="265" w:lineRule="auto"/>
        <w:rPr>
          <w:sz w:val="20"/>
          <w:szCs w:val="20"/>
          <w:color w:val="auto"/>
        </w:rPr>
      </w:pPr>
      <w:r>
        <w:rPr>
          <w:rFonts w:ascii="Times New Roman" w:cs="Times New Roman" w:eastAsia="Times New Roman" w:hAnsi="Times New Roman"/>
          <w:sz w:val="17"/>
          <w:szCs w:val="17"/>
          <w:color w:val="auto"/>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members or for the coverage of products by a plan, billing for unnecessary medical services by a healthcare provider, improper marketing and beneficiary inducements, and violations of patient privacy rights. Companies involved in federal and state health care programs such as Medicare are required to maintain compliance programs to detect and deter fraud, waste and abuse, and are often the subject of fraud, waste and abuse investigations and audits. The regulations and contractual requirements applicable to us and other participants in these programs are complex and subject to change. Although our compliance program is designed to meet all statutory and regulatory requirements, our policies and procedures are frequently under review and subject to updates, and our training and education programs continue to evolve.</w:t>
      </w:r>
    </w:p>
    <w:p>
      <w:pPr>
        <w:spacing w:after="0" w:line="177"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The federal Anti-Kickback Statute and related regulations have been interpreted to prohibit the knowing and willful payment, solicitation, offering or receipt of any form of remuneration (including kickbacks, bribes and</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450" w:right="3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spacing w:after="0" w:line="175" w:lineRule="exact"/>
        <w:rPr>
          <w:sz w:val="20"/>
          <w:szCs w:val="20"/>
          <w:color w:val="auto"/>
        </w:rPr>
      </w:pPr>
    </w:p>
    <w:p>
      <w:pPr>
        <w:ind w:right="40" w:firstLine="449"/>
        <w:spacing w:after="0" w:line="263" w:lineRule="auto"/>
        <w:rPr>
          <w:sz w:val="20"/>
          <w:szCs w:val="20"/>
          <w:color w:val="auto"/>
        </w:rPr>
      </w:pPr>
      <w:r>
        <w:rPr>
          <w:rFonts w:ascii="Times New Roman" w:cs="Times New Roman" w:eastAsia="Times New Roman" w:hAnsi="Times New Roman"/>
          <w:sz w:val="17"/>
          <w:szCs w:val="17"/>
          <w:color w:val="auto"/>
        </w:rPr>
        <w:t>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 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 and related benefits industry, including ours, frequently are subject to actions brought under the FCA or similar state laws.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federal regulations</w:t>
      </w:r>
    </w:p>
    <w:p>
      <w:pPr>
        <w:spacing w:after="0" w:line="114"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Additionally, we may be subject to general consumer protection laws and regulations applicable to direct-to-consumer activities such as on-line communications including, but not limited to, the FTC’s Telemarketing Sales Rules and the Telephone Consumer Protection Act, which gives the FTC, Federal Communications Commission (“FCC”), and state attorneys general the ability to regulate, and bring enforcement actions relating to, telemarketing practices and certain automated outbound contacts such as phone calls, texts or emails. Under certain circumstances, these laws may provide consumers with a private right of action. Violations of these laws could result in substantial statutory penalties and other sanctions.</w:t>
      </w:r>
    </w:p>
    <w:p>
      <w:pPr>
        <w:spacing w:after="0" w:line="187" w:lineRule="exact"/>
        <w:rPr>
          <w:sz w:val="20"/>
          <w:szCs w:val="20"/>
          <w:color w:val="auto"/>
        </w:rPr>
      </w:pPr>
    </w:p>
    <w:p>
      <w:pPr>
        <w:ind w:right="480" w:firstLine="449"/>
        <w:spacing w:after="0" w:line="270" w:lineRule="auto"/>
        <w:rPr>
          <w:sz w:val="20"/>
          <w:szCs w:val="20"/>
          <w:color w:val="auto"/>
        </w:rPr>
      </w:pPr>
      <w:r>
        <w:rPr>
          <w:rFonts w:ascii="Times New Roman" w:cs="Times New Roman" w:eastAsia="Times New Roman" w:hAnsi="Times New Roman"/>
          <w:sz w:val="18"/>
          <w:szCs w:val="18"/>
          <w:color w:val="auto"/>
        </w:rPr>
        <w:t>We are also constantly assessing the medical device status of certain health information technology products and/or solutions and clinical decision support tools, which may, at any time, require compliance with U.S. Food and Drug Administration (“FDA”) requirements.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laws and regulation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care regulation</w:t>
      </w:r>
    </w:p>
    <w:p>
      <w:pPr>
        <w:spacing w:after="0" w:line="112"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entity, requires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450"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reports to be filed directly with the New Jersey Department of Banking and Insurance (“NJDOBI”).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required to file a variety of reports stipulated by each state in which we are licensed in. These reports can be financial in nature or informational. Our PPO plans are currently licensed in 45 states and D.C., excluding Michigan, New Hampshire, New York, North Carolina and Vermont. Our HMO is licensed in New Jersey and Texas. The most comprehensive reporting is required by the state of domicile of our regulated insurance entity which, for both the HMO and PPO, is New Jersey.</w:t>
      </w:r>
    </w:p>
    <w:p>
      <w:pPr>
        <w:spacing w:after="0" w:line="193"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8"/>
          <w:szCs w:val="18"/>
          <w:color w:val="auto"/>
        </w:rPr>
        <w:t>Because we operate as one or more holding companies, we are regulated under state insurance holding company regulations and are dependent upon dividends and administrative expense reimbursements from our subsidiaries. Most state insurance holding company laws and regulations require prior regulatory approval of acquisitions and material affiliated transfers of assets, including transactions between the regulated companies and their parent holding companies or affiliates. These laws may restrict the ability of our regulated subsidiaries to pay dividends to our holding companies or to obtain sufficient capital to fund our obligations.</w:t>
      </w:r>
    </w:p>
    <w:p>
      <w:pPr>
        <w:spacing w:after="0" w:line="18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Some of our business activity is subject to other health care-related regulations and requirements, including PPO, Managed Care Organization (“MCO”), utilization review (“UR”),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 care professional networks, fraud prevention, protection of consumer health information, pricing and underwriting practices and covered benefits and services.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of control</w:t>
      </w:r>
    </w:p>
    <w:p>
      <w:pPr>
        <w:spacing w:after="0" w:line="112" w:lineRule="exact"/>
        <w:rPr>
          <w:sz w:val="20"/>
          <w:szCs w:val="20"/>
          <w:color w:val="auto"/>
        </w:rPr>
      </w:pPr>
    </w:p>
    <w:p>
      <w:pPr>
        <w:ind w:right="80" w:firstLine="449"/>
        <w:spacing w:after="0" w:line="269" w:lineRule="auto"/>
        <w:rPr>
          <w:sz w:val="20"/>
          <w:szCs w:val="20"/>
          <w:color w:val="auto"/>
        </w:rPr>
      </w:pPr>
      <w:r>
        <w:rPr>
          <w:rFonts w:ascii="Times New Roman" w:cs="Times New Roman" w:eastAsia="Times New Roman" w:hAnsi="Times New Roman"/>
          <w:sz w:val="17"/>
          <w:szCs w:val="17"/>
          <w:color w:val="auto"/>
        </w:rPr>
        <w:t>Before a person can acquire control of a U.S. domestic insurer, prior written approval, or exemption therefrom, must be obtained from the insurance commissioner of the state where the insurer is domiciled, or the acquiror must make a disclaimer of control filing with the insurance department of such state, which filing must be accepted by such insurance department. Prior to granting approval of an application to acquire control of a domestic insurer, the domiciliary state insurance commissioner will consider a number of factors, which include the financial strength of the proposed acquiror, the acquiror’s plans for the future operations of the domestic insurer, and any anti-competitive results that may arise from the consummation of the acquisition of control.</w:t>
      </w:r>
    </w:p>
    <w:p>
      <w:pPr>
        <w:spacing w:after="0" w:line="174" w:lineRule="exact"/>
        <w:rPr>
          <w:sz w:val="20"/>
          <w:szCs w:val="20"/>
          <w:color w:val="auto"/>
        </w:rPr>
      </w:pPr>
    </w:p>
    <w:p>
      <w:pPr>
        <w:ind w:right="180" w:firstLine="449"/>
        <w:spacing w:after="0" w:line="253" w:lineRule="auto"/>
        <w:rPr>
          <w:sz w:val="20"/>
          <w:szCs w:val="20"/>
          <w:color w:val="auto"/>
        </w:rPr>
      </w:pPr>
      <w:r>
        <w:rPr>
          <w:rFonts w:ascii="Times New Roman" w:cs="Times New Roman" w:eastAsia="Times New Roman" w:hAnsi="Times New Roman"/>
          <w:sz w:val="18"/>
          <w:szCs w:val="18"/>
          <w:color w:val="auto"/>
        </w:rPr>
        <w:t>Generally, state insurance statutes provide that control over a domestic insurer is presumed to exist if any person, directly or indirectly, owns, controls, holds with the power to vote, or holds proxies representing, ten percent or more of the outstanding voting securities of the domestic insurer. This statutory presumption of control may be rebutted by a showing that control does not exist in fact. The state regulators, however, may find that “control” exists in circumstances in which a person owns or controls less than ten percent of the voting securities of the domestic insurer.</w:t>
      </w:r>
    </w:p>
    <w:p>
      <w:pPr>
        <w:spacing w:after="0" w:line="185"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As our regulated insurance entity is domiciled in New Jersey, the insurance laws and regulations of New Jersey would be applicable to any proposed acquisition of control of the Company. Under New Jersey law, generally no person may acquire control of any insurer, whether by purchase of its securities or otherwise, unless it gives prior notice to the insurer and receives prior approval, or exemption therefrom, from NJDOBI. These regulations pertaining to an acquisition of control of an insurance company may discourage potential acquisition proposals.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450" w:right="3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practice of medicine and fee-splitting laws</w:t>
      </w:r>
    </w:p>
    <w:p>
      <w:pPr>
        <w:spacing w:after="0" w:line="112"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Certain of our businesses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spacing w:after="0" w:line="185" w:lineRule="exact"/>
        <w:rPr>
          <w:sz w:val="20"/>
          <w:szCs w:val="20"/>
          <w:color w:val="auto"/>
        </w:rPr>
      </w:pPr>
    </w:p>
    <w:p>
      <w:pPr>
        <w:jc w:val="both"/>
        <w:ind w:right="240" w:firstLine="449"/>
        <w:spacing w:after="0" w:line="258" w:lineRule="auto"/>
        <w:rPr>
          <w:sz w:val="20"/>
          <w:szCs w:val="20"/>
          <w:color w:val="auto"/>
        </w:rPr>
      </w:pPr>
      <w:r>
        <w:rPr>
          <w:rFonts w:ascii="Times New Roman" w:cs="Times New Roman" w:eastAsia="Times New Roman" w:hAnsi="Times New Roman"/>
          <w:sz w:val="18"/>
          <w:szCs w:val="18"/>
          <w:color w:val="auto"/>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114" w:lineRule="exact"/>
        <w:rPr>
          <w:sz w:val="20"/>
          <w:szCs w:val="20"/>
          <w:color w:val="auto"/>
        </w:rPr>
      </w:pPr>
    </w:p>
    <w:p>
      <w:pPr>
        <w:ind w:firstLine="449"/>
        <w:spacing w:after="0" w:line="269" w:lineRule="auto"/>
        <w:rPr>
          <w:sz w:val="20"/>
          <w:szCs w:val="20"/>
          <w:color w:val="auto"/>
        </w:rPr>
      </w:pPr>
      <w:r>
        <w:rPr>
          <w:rFonts w:ascii="Times New Roman" w:cs="Times New Roman" w:eastAsia="Times New Roman" w:hAnsi="Times New Roman"/>
          <w:sz w:val="17"/>
          <w:szCs w:val="17"/>
          <w:color w:val="auto"/>
        </w:rPr>
        <w:t>We have significant operations, including certain outsourced operations and software research and development in other countries, such as Hong Kong, the Philippines, Colombia, India and Eastern Europe and are subject to regulation in the jurisdictions in which they are organized or conduct business. These regulatory regimes vary from jurisdiction to jurisdiction. In addition, our non-U.S. operations are subject to U.S. laws that regulate the conduct and activities of U.S.-based businesses operating abroad, such as the export controls laws or FCPA, the latter of which prohibits offering, promising, providing or authorizing others to give anything of value to a foreign government official to obtain or retain business or otherwise secure a business advantage.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0"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key employees and directors as of January 7,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2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80" w:type="dxa"/>
            <w:vAlign w:val="bottom"/>
          </w:tcPr>
          <w:p>
            <w:pPr>
              <w:spacing w:after="0"/>
              <w:rPr>
                <w:sz w:val="16"/>
                <w:szCs w:val="16"/>
                <w:color w:val="auto"/>
              </w:rPr>
            </w:pPr>
          </w:p>
        </w:tc>
        <w:tc>
          <w:tcPr>
            <w:tcW w:w="51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85"/>
        </w:trPr>
        <w:tc>
          <w:tcPr>
            <w:tcW w:w="558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140" w:type="dxa"/>
            <w:vAlign w:val="bottom"/>
            <w:tcBorders>
              <w:top w:val="single" w:sz="8" w:color="auto"/>
            </w:tcBorders>
            <w:shd w:val="clear" w:color="auto" w:fill="CCEEFF"/>
          </w:tcPr>
          <w:p>
            <w:pPr>
              <w:spacing w:after="0"/>
              <w:rPr>
                <w:sz w:val="16"/>
                <w:szCs w:val="16"/>
                <w:color w:val="auto"/>
              </w:rPr>
            </w:pP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Vivek Garipalli</w:t>
            </w:r>
            <w:r>
              <w:rPr>
                <w:rFonts w:ascii="Times New Roman" w:cs="Times New Roman" w:eastAsia="Times New Roman" w:hAnsi="Times New Roman"/>
                <w:sz w:val="14"/>
                <w:szCs w:val="14"/>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Toy</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President, Chief Technology Officer and Director</w:t>
            </w: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Wagner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Gia Lee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L. Reynoso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Employees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Sophia Chang</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Clinical Informatics Officer</w:t>
            </w:r>
          </w:p>
        </w:tc>
      </w:tr>
      <w:tr>
        <w:trPr>
          <w:trHeight w:val="21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Kumar Dharmarajan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Mark Spektor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Chelsea Clinton</w:t>
            </w:r>
            <w:r>
              <w:rPr>
                <w:rFonts w:ascii="Times New Roman" w:cs="Times New Roman" w:eastAsia="Times New Roman" w:hAnsi="Times New Roman"/>
                <w:sz w:val="14"/>
                <w:szCs w:val="14"/>
                <w:color w:val="auto"/>
              </w:rPr>
              <w:t>(2)(3)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12"/>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A. Shapiro</w:t>
            </w:r>
            <w:r>
              <w:rPr>
                <w:rFonts w:ascii="Times New Roman" w:cs="Times New Roman" w:eastAsia="Times New Roman" w:hAnsi="Times New Roman"/>
                <w:sz w:val="14"/>
                <w:szCs w:val="14"/>
                <w:color w:val="auto"/>
              </w:rPr>
              <w:t>(1)(3)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S. Turner</w:t>
            </w:r>
            <w:r>
              <w:rPr>
                <w:rFonts w:ascii="Times New Roman" w:cs="Times New Roman" w:eastAsia="Times New Roman" w:hAnsi="Times New Roman"/>
                <w:sz w:val="14"/>
                <w:szCs w:val="14"/>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893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29" w:lineRule="exact"/>
        <w:rPr>
          <w:sz w:val="20"/>
          <w:szCs w:val="20"/>
          <w:color w:val="auto"/>
        </w:rPr>
      </w:pPr>
    </w:p>
    <w:p>
      <w:pPr>
        <w:ind w:left="460" w:hanging="454"/>
        <w:spacing w:after="0"/>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2"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4"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0" w:lineRule="exact"/>
        <w:rPr>
          <w:sz w:val="20"/>
          <w:szCs w:val="20"/>
          <w:color w:val="auto"/>
        </w:rPr>
      </w:pPr>
    </w:p>
    <w:p>
      <w:pPr>
        <w:jc w:val="both"/>
        <w:ind w:right="180" w:firstLine="44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Vivek Garipalli. </w:t>
      </w:r>
      <w:r>
        <w:rPr>
          <w:rFonts w:ascii="Times New Roman" w:cs="Times New Roman" w:eastAsia="Times New Roman" w:hAnsi="Times New Roman"/>
          <w:sz w:val="18"/>
          <w:szCs w:val="18"/>
          <w:color w:val="auto"/>
        </w:rPr>
        <w:t>Vivek Garipalli has served as our Chief Executive Officer and as a member of our board of directors since the Closing and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the same positions with Clover, which Mr. Garipalli co-founded, since July 2014. Previously, Mr. Garipalli also served as Clover’s President from July 2014 to March 2019. Mr. Garipalli holds a B.B.A. in entrepreneurship from Emory University.</w:t>
      </w:r>
    </w:p>
    <w:p>
      <w:pPr>
        <w:spacing w:after="0" w:line="177" w:lineRule="exact"/>
        <w:rPr>
          <w:sz w:val="20"/>
          <w:szCs w:val="20"/>
          <w:color w:val="auto"/>
        </w:rPr>
      </w:pPr>
    </w:p>
    <w:p>
      <w:pPr>
        <w:ind w:right="380" w:firstLine="449"/>
        <w:spacing w:after="0" w:line="270" w:lineRule="auto"/>
        <w:rPr>
          <w:sz w:val="20"/>
          <w:szCs w:val="20"/>
          <w:color w:val="auto"/>
        </w:rPr>
      </w:pPr>
      <w:r>
        <w:rPr>
          <w:rFonts w:ascii="Times New Roman" w:cs="Times New Roman" w:eastAsia="Times New Roman" w:hAnsi="Times New Roman"/>
          <w:sz w:val="18"/>
          <w:szCs w:val="18"/>
          <w:color w:val="auto"/>
        </w:rPr>
        <w:t>We believe that Mr. Garipalli is qualified to serve as a member of our board of directors due to the perspective and experience he brings as Clover’s co-founder and Chief Executive Officer and due to his extensive experience managing healthcare companies.</w:t>
      </w:r>
    </w:p>
    <w:p>
      <w:pPr>
        <w:spacing w:after="0" w:line="165"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Toy. </w:t>
      </w:r>
      <w:r>
        <w:rPr>
          <w:rFonts w:ascii="Times New Roman" w:cs="Times New Roman" w:eastAsia="Times New Roman" w:hAnsi="Times New Roman"/>
          <w:sz w:val="18"/>
          <w:szCs w:val="18"/>
          <w:color w:val="auto"/>
        </w:rPr>
        <w:t>Andrew Toy has served as our President, our Chief Technology Officer and as a member of our board of directors since the Closing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held the same positions with Clover since March 2019, February 2018 and November 2018, respectively. Prior to joining Clover, Mr. Toy served as a Product Director at Google LLC, a multinational technology company, from May 2014 to February 2018. Mr. Toy holds a B.S. and an M.S. in computer science from Stanford University.</w:t>
      </w:r>
    </w:p>
    <w:p>
      <w:pPr>
        <w:spacing w:after="0" w:line="182"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We believe that Mr. Toy is qualified to serve as a member of our board of directors due to the perspective and experience he brings as Clover’s President and Chief Technology Officer and due to his extensive experience overseeing technology and analytics at other companies.</w:t>
      </w:r>
    </w:p>
    <w:p>
      <w:pPr>
        <w:spacing w:after="0" w:line="165" w:lineRule="exact"/>
        <w:rPr>
          <w:sz w:val="20"/>
          <w:szCs w:val="20"/>
          <w:color w:val="auto"/>
        </w:rPr>
      </w:pPr>
    </w:p>
    <w:p>
      <w:pPr>
        <w:ind w:firstLine="44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Joseph Wagner. </w:t>
      </w:r>
      <w:r>
        <w:rPr>
          <w:rFonts w:ascii="Times New Roman" w:cs="Times New Roman" w:eastAsia="Times New Roman" w:hAnsi="Times New Roman"/>
          <w:sz w:val="17"/>
          <w:szCs w:val="17"/>
          <w:color w:val="auto"/>
        </w:rPr>
        <w:t>Joseph Wagner has served as our Chief Financial Officer since the Closing and previously held the same position with Clover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January 2020. Prior to joining Clover, Mr. Wagner served as a Regional Chief Financial Officer at UnitedHealth Group Incorporated, a healthcare organization, from February 2016 to December 2019. Mr. Wagner served as the Chief Financial Officer for Healthcare Interactive, a middleware healthcare company, from October 2014 to January 2016. Mr. Wagner holds a B.B.A. in accountancy from the University of Notre Dame and is a certified public accountant (inactive).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450" w:right="3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Gia Lee. </w:t>
      </w:r>
      <w:r>
        <w:rPr>
          <w:rFonts w:ascii="Times New Roman" w:cs="Times New Roman" w:eastAsia="Times New Roman" w:hAnsi="Times New Roman"/>
          <w:sz w:val="18"/>
          <w:szCs w:val="18"/>
          <w:color w:val="auto"/>
        </w:rPr>
        <w:t>Gia Lee has served as our General Counsel and our Secretary since the Closing and previously held the same positions with Clover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2020 and August 2020, respectively. Prior to joining Clover, Ms. Lee served as Deputy General Counsel at the U.S. Department of Health and Human Services from June 2011 to January 2017. Ms. Lee also served as a professor at UCLA School of Law and as an Attorney-Advisor at the U.S. Department of Justice’s Office of Legal Counsel. Ms. Lee holds an A.B. in social studies and women’s studies from Harvard University, an MPhil in social and political theory from the University of Cambridge and a J.D. from Harvard Law School.</w:t>
      </w:r>
    </w:p>
    <w:p>
      <w:pPr>
        <w:spacing w:after="0" w:line="182" w:lineRule="exact"/>
        <w:rPr>
          <w:sz w:val="20"/>
          <w:szCs w:val="20"/>
          <w:color w:val="auto"/>
        </w:rPr>
      </w:pPr>
    </w:p>
    <w:p>
      <w:pPr>
        <w:ind w:right="160" w:firstLine="44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Jamie L. Reynoso. </w:t>
      </w:r>
      <w:r>
        <w:rPr>
          <w:rFonts w:ascii="Times New Roman" w:cs="Times New Roman" w:eastAsia="Times New Roman" w:hAnsi="Times New Roman"/>
          <w:sz w:val="18"/>
          <w:szCs w:val="18"/>
          <w:color w:val="auto"/>
        </w:rPr>
        <w:t>Jamie L. Reynoso has served as our Chief Operating Officer since the Closing and previously held the same position with Clover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July 2020. Prior to joining Clover, Ms. Reynoso served as the Chief Executive Officer and the Chief Operating Officer of Memorial Hermann Health Solutions, Inc., a provider of health insurance plans, from April 2016 to December 2019. From November 2012 to April 2016, Ms. Reynoso served as the Regional Vice President of Payer Strategy and Operations at Catholic Health Initiatives, a nonprofit, faith-based health system. Ms. Reynoso holds a B.B.A. from Texas A&amp;M University-Kingsville.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Employees</w:t>
      </w:r>
    </w:p>
    <w:p>
      <w:pPr>
        <w:spacing w:after="0" w:line="110"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Sophia Chang. </w:t>
      </w:r>
      <w:r>
        <w:rPr>
          <w:rFonts w:ascii="Times New Roman" w:cs="Times New Roman" w:eastAsia="Times New Roman" w:hAnsi="Times New Roman"/>
          <w:sz w:val="18"/>
          <w:szCs w:val="18"/>
          <w:color w:val="auto"/>
        </w:rPr>
        <w:t>Dr. Sophia Chang has served as our Chief Clinical Informatics Officer since the Closing and previously held the same position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Clover since March 2017. Prior to joining Clover, Dr. Chang served as the Chief Clinical Innovation Officer at CareMore Health, a subsidiary of Anthem Inc., an integrated health plan and care delivery system for Medicare and Medicaid patients, from February 2016 to February 2017. From May 2014 to January 2016, Dr. Chang served as the Vice President of Programs at California Health Care Foundation, an independent, nonprofit organization that focuses on improving the health care system for the people of California. Dr. Chang holds a B.A. in political science from Amherst College, an M.P.H. from the University of California, Berkeley and an M.D. from Columbia University College of Physicians and Surgeons.</w:t>
      </w:r>
    </w:p>
    <w:p>
      <w:pPr>
        <w:spacing w:after="0" w:line="182" w:lineRule="exact"/>
        <w:rPr>
          <w:sz w:val="20"/>
          <w:szCs w:val="20"/>
          <w:color w:val="auto"/>
        </w:rPr>
      </w:pPr>
    </w:p>
    <w:p>
      <w:pPr>
        <w:ind w:right="100" w:firstLine="44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Kumar Dharmarajan. </w:t>
      </w:r>
      <w:r>
        <w:rPr>
          <w:rFonts w:ascii="Times New Roman" w:cs="Times New Roman" w:eastAsia="Times New Roman" w:hAnsi="Times New Roman"/>
          <w:sz w:val="18"/>
          <w:szCs w:val="18"/>
          <w:color w:val="auto"/>
        </w:rPr>
        <w:t>Dr. Kumar Dharmarajan has served as our Chief Scientific Officer since the Closing and previously held the same 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Clover since July 2017. Dr. Dharmarajan has served as an Assistant Professor at Yale University School of Medicine and a member of the research faculty at Yale’s New Haven Hospital Center for Outcomes Research and Evaluation since July 2014. Dr. Dharmarajan holds an A.B. in social studies from Harvard University, an M.B.A. in business administration and management from Columbia Business School and an M.D. from Columbia University College of Physicians and Surgeons.</w:t>
      </w:r>
    </w:p>
    <w:p>
      <w:pPr>
        <w:spacing w:after="0" w:line="182" w:lineRule="exact"/>
        <w:rPr>
          <w:sz w:val="20"/>
          <w:szCs w:val="20"/>
          <w:color w:val="auto"/>
        </w:rPr>
      </w:pPr>
    </w:p>
    <w:p>
      <w:pPr>
        <w:jc w:val="both"/>
        <w:ind w:right="20" w:firstLine="44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Mark Spektor. </w:t>
      </w:r>
      <w:r>
        <w:rPr>
          <w:rFonts w:ascii="Times New Roman" w:cs="Times New Roman" w:eastAsia="Times New Roman" w:hAnsi="Times New Roman"/>
          <w:sz w:val="18"/>
          <w:szCs w:val="18"/>
          <w:color w:val="auto"/>
        </w:rPr>
        <w:t>Dr. Mark Spektor has served as our Chief Medical Officer since the Closing and previously held the same position with Clover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2015. Prior to joining Clover, Dr. Spektor served as the Chief Clinical Integration Officer at CarePoint Health System, a preventive medicine, disease management and healthcare education health system, from June 2014 to January 2015. Dr. Spektor holds a B.A. in political science and biology from Rutgers University, an M.B.A. in healthcare management from the University of Massachusetts, Amherst and a D.O. from the University of Medicine and Dentistry of New Jersey.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0"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Chelsea Clinton. </w:t>
      </w:r>
      <w:r>
        <w:rPr>
          <w:rFonts w:ascii="Times New Roman" w:cs="Times New Roman" w:eastAsia="Times New Roman" w:hAnsi="Times New Roman"/>
          <w:sz w:val="18"/>
          <w:szCs w:val="18"/>
          <w:color w:val="auto"/>
        </w:rPr>
        <w:t>Chelsea Clinton has served as a member of our board of directors since the Closing and previously held the same position with Clover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2017. Since March 2013, Ms. Clinton has served as Vice Chair of the Clinton Foundation, where her work emphasizes improving global and domestic health, creating service opportunities and empowering the next generation of leaders. Ms. Clinton has also served as an Adjunct Assistant Professor at Columbia University’s Mailman School of Public Health since 2012. Ms. Clinton has served as a member of the board of directors of the Clinton Health Access Initiative since September 2011. Ms. Clinton has served as a member of the boards of directors of IAC Holdings, Inc., a media and internet company, since September 2011, Expedia Group, Inc. (formerly Expedia, Inc.), an online travel shopping company, since March 2017 and Nurx Inc., a telemedicine start-up company, since June 2018. In addition to her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80"/>
          </w:cols>
          <w:pgMar w:left="320" w:top="450" w:right="39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for-profit affiliations, Ms. Clinton currently serves on the boards of directors of The School of American Ballet, The Africa Center, the Alliance for a Healthier Generation, the Weill Cornell Medical College and Columbia University’s Mailman School of Public Health, and as Co-Chair of the Advisory Board of the Of Many Institute at New York University. Ms. Clinton holds a B.A. in history from Stanford University, an MPhil and a DPhil in international relations from Oxford University and an M.P.H. from Columbia University’s Mailman School of Public Health.</w:t>
      </w:r>
    </w:p>
    <w:p>
      <w:pPr>
        <w:spacing w:after="0" w:line="185"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We believe that Ms. Clinton is qualified to serve as a member of our board of directors because of her extensive health background, her experience as a director of public companies and non-profit organizations and her knowledge of our industry.</w:t>
      </w:r>
    </w:p>
    <w:p>
      <w:pPr>
        <w:spacing w:after="0" w:line="165"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Lee A. Shapiro. </w:t>
      </w:r>
      <w:r>
        <w:rPr>
          <w:rFonts w:ascii="Times New Roman" w:cs="Times New Roman" w:eastAsia="Times New Roman" w:hAnsi="Times New Roman"/>
          <w:sz w:val="18"/>
          <w:szCs w:val="18"/>
          <w:color w:val="auto"/>
        </w:rPr>
        <w:t>Lee A. Shapiro has served as a member of our board of directors since the Closing. Mr. Shapiro co-founded and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Partner at 7Wire Ventures, an early-stage healthcare venture fund, since June 2013. Mr. Shapiro previously served as Chief Financial Officer of Livongo Health, Inc., a mobile health monitoring technology company, from December 2018 to November 2020. Mr. Shapiro served as a director from August 2013 until April 2019. Mr. Shapiro joined Allscripts Healthcare Solutions, Inc., a provider of electronic prescribing, practice management and electronic health record technology, in April 2000 and served as President from April 2002 to December 2012. He previously served as a director of Tivity Health, Inc., a provider of fitness and health improvement programs, from May 2015 to May 2020 and a director of Medidata Solutions, Inc., a global provider of cloud-based solutions for life sciences, from June 2011 to October 2019. He also serves as a director of some of the 7Wire Ventures portfolio companies. He serves on the National Board of the American Heart Association and the advisory board of the Gastro-Intestinal Research Foundation. Mr. Shapiro holds a B.S. in accountancy from the University of Illinois Urbana-Champaign and a J.D. from The University of Chicago Law School.</w:t>
      </w:r>
    </w:p>
    <w:p>
      <w:pPr>
        <w:spacing w:after="0" w:line="186"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We believe that Mr. Shapiro is qualified to serve as a member of our board of directors because of his extensive finance background, including service as a chief financial officer of a public company, his experience as a director of a public company, and his knowledge of our industry.</w:t>
      </w:r>
    </w:p>
    <w:p>
      <w:pPr>
        <w:spacing w:after="0" w:line="165"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Nathaniel S. Turner. </w:t>
      </w:r>
      <w:r>
        <w:rPr>
          <w:rFonts w:ascii="Times New Roman" w:cs="Times New Roman" w:eastAsia="Times New Roman" w:hAnsi="Times New Roman"/>
          <w:sz w:val="18"/>
          <w:szCs w:val="18"/>
          <w:color w:val="auto"/>
        </w:rPr>
        <w:t>Nathaniel S. Turner has served as a member of our board of directors since the Closing and previously held the same position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Clover since April 2015. Mr. Turner co-founded and has served as the Chief Executive Officer of Flatiron Health, Inc., a cancer research and data collection software company, since June 2012. From June 2010 to June 2012, Mr. Turner served as a Product Manager at Google Inc. Mr. Turner holds a B.S. in economics from the Wharton School of the University of Pennsylvania.</w:t>
      </w:r>
    </w:p>
    <w:p>
      <w:pPr>
        <w:spacing w:after="0" w:line="182" w:lineRule="exact"/>
        <w:rPr>
          <w:sz w:val="20"/>
          <w:szCs w:val="20"/>
          <w:color w:val="auto"/>
        </w:rPr>
      </w:pPr>
    </w:p>
    <w:p>
      <w:pPr>
        <w:ind w:right="560" w:firstLine="449"/>
        <w:spacing w:after="0" w:line="270" w:lineRule="auto"/>
        <w:rPr>
          <w:sz w:val="20"/>
          <w:szCs w:val="20"/>
          <w:color w:val="auto"/>
        </w:rPr>
      </w:pPr>
      <w:r>
        <w:rPr>
          <w:rFonts w:ascii="Times New Roman" w:cs="Times New Roman" w:eastAsia="Times New Roman" w:hAnsi="Times New Roman"/>
          <w:sz w:val="18"/>
          <w:szCs w:val="18"/>
          <w:color w:val="auto"/>
        </w:rPr>
        <w:t>We believe that Mr. Turner is qualified to serve as a member of our board of directors because of his extensive experience as an investor in many technology, high-growth, healthcare companies, his experience as an executive at a healthcare company, and his knowledge of our industry.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2" w:lineRule="exact"/>
        <w:rPr>
          <w:sz w:val="20"/>
          <w:szCs w:val="20"/>
          <w:color w:val="auto"/>
        </w:rPr>
      </w:pPr>
    </w:p>
    <w:p>
      <w:pPr>
        <w:ind w:right="360" w:firstLine="449"/>
        <w:spacing w:after="0" w:line="270" w:lineRule="auto"/>
        <w:rPr>
          <w:sz w:val="20"/>
          <w:szCs w:val="20"/>
          <w:color w:val="auto"/>
        </w:rPr>
      </w:pPr>
      <w:r>
        <w:rPr>
          <w:rFonts w:ascii="Times New Roman" w:cs="Times New Roman" w:eastAsia="Times New Roman" w:hAnsi="Times New Roman"/>
          <w:sz w:val="18"/>
          <w:szCs w:val="18"/>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five directors.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450" w:right="3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14" w:lineRule="exact"/>
        <w:rPr>
          <w:sz w:val="20"/>
          <w:szCs w:val="20"/>
          <w:color w:val="auto"/>
        </w:rPr>
      </w:pPr>
    </w:p>
    <w:p>
      <w:pPr>
        <w:ind w:right="520" w:firstLine="449"/>
        <w:spacing w:after="0" w:line="27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divide our board of directors into three classes, with staggered three-year terms:</w:t>
      </w:r>
    </w:p>
    <w:p>
      <w:pPr>
        <w:spacing w:after="0" w:line="76" w:lineRule="exact"/>
        <w:rPr>
          <w:sz w:val="20"/>
          <w:szCs w:val="20"/>
          <w:color w:val="auto"/>
        </w:rPr>
      </w:pPr>
    </w:p>
    <w:p>
      <w:pPr>
        <w:ind w:left="1000" w:hanging="43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whose initial term will expire at the annual meeting of stockholders expected to be held in 2022;</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whose initial term will expire at the annual meeting of stockholders expected to be held in 2023;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whose initial term will expire at the annual meeting of stockholders expected to be held in 2024.</w:t>
      </w:r>
    </w:p>
    <w:p>
      <w:pPr>
        <w:spacing w:after="0" w:line="216"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At each annual meeting of stockholders after the initial classification, the successors to directors whose terms have expired will be elected to serve from the time of election and qualification until the third annual meeting following election. Upon the completion of this offering, the Class I directors will consist of Mr. Shapiro; the Class II directors will of Mr. Toy and Mr. Turner; and the Class III directors will consist of Ms. Clinton and Mr. Garipalli. As a result, only one class of directors will be elected at each annual meeting of our stockholders, with the other classes continuing for the remainder of their respective three-year terms.</w:t>
      </w:r>
    </w:p>
    <w:p>
      <w:pPr>
        <w:spacing w:after="0" w:line="187"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7"/>
          <w:szCs w:val="17"/>
          <w:color w:val="auto"/>
        </w:rPr>
        <w:t>In addition, our amended and restated bylaws provide that only the board of directors may fill vacancies, including newly created seats, on the board of directors until the next annual meeting of stockholders, subject to limited exceptions. Any additional directorships resulting from an increase in the number of directors will be distributed among the three classes so that, as nearly as possible, each class will consist of one-third of the total number of directors.</w:t>
      </w:r>
    </w:p>
    <w:p>
      <w:pPr>
        <w:spacing w:after="0" w:line="162"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This classification of the board of directors and the provisions described above may have the effect of delaying or preventing changes in our control or management. Our amended and restated certificate of incorporation further provide for the removal of a director only for cause and by the affirmative vote of the holders of two-thirds or more of the shares then entitled to vote at an election of our directors. See “</w:t>
      </w:r>
      <w:r>
        <w:rPr>
          <w:rFonts w:ascii="Times New Roman" w:cs="Times New Roman" w:eastAsia="Times New Roman" w:hAnsi="Times New Roman"/>
          <w:sz w:val="18"/>
          <w:szCs w:val="18"/>
          <w:i w:val="1"/>
          <w:iCs w:val="1"/>
          <w:color w:val="auto"/>
        </w:rPr>
        <w:t>Description of Securities— Anti-takeover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Delaware Law and Our Charter and Bylaws</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Nasdaq listing rules generally require that a majority of the members of a listed company’s board of directors be independent within specified periods following the completion of an initial public offering. In addition, the listing rules generally require that, subject to specified exceptions, each member of a listed company’s audit, compensation and governance committees be independent.</w:t>
      </w:r>
    </w:p>
    <w:p>
      <w:pPr>
        <w:spacing w:after="0" w:line="179" w:lineRule="exact"/>
        <w:rPr>
          <w:sz w:val="20"/>
          <w:szCs w:val="20"/>
          <w:color w:val="auto"/>
        </w:rPr>
      </w:pPr>
    </w:p>
    <w:p>
      <w:pPr>
        <w:ind w:right="20" w:firstLine="449"/>
        <w:spacing w:after="0" w:line="269" w:lineRule="auto"/>
        <w:rPr>
          <w:sz w:val="20"/>
          <w:szCs w:val="20"/>
          <w:color w:val="auto"/>
        </w:rPr>
      </w:pPr>
      <w:r>
        <w:rPr>
          <w:rFonts w:ascii="Times New Roman" w:cs="Times New Roman" w:eastAsia="Times New Roman" w:hAnsi="Times New Roman"/>
          <w:sz w:val="17"/>
          <w:szCs w:val="17"/>
          <w:color w:val="auto"/>
        </w:rPr>
        <w:t>Audit committee members must also satisfy the independence criteria set forth in Rule 10A-3 under the Securities Exchange Act of 1934, as amended, or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Compensation committee members must also satisfy the independence criteria as required by Rule 10C-1 under the Exchange Act.</w:t>
      </w:r>
    </w:p>
    <w:p>
      <w:pPr>
        <w:spacing w:after="0" w:line="174"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Our board of directors has determined that none of the members of our board of directors other than Messrs. Garipalli and Toy has a relationship that would interfere with the exercise of independent judgment in carrying out the responsibilities of a director and that each of the members of our board of directors other than Messrs. Garipalli and Toy is “independent” as that term is defined under the Nasdaq rules.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60"/>
          </w:cols>
          <w:pgMar w:left="320" w:top="450" w:right="41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2" w:lineRule="exact"/>
        <w:rPr>
          <w:sz w:val="20"/>
          <w:szCs w:val="20"/>
          <w:color w:val="auto"/>
        </w:rPr>
      </w:pPr>
    </w:p>
    <w:p>
      <w:pPr>
        <w:jc w:val="both"/>
        <w:ind w:right="380"/>
        <w:spacing w:after="0" w:line="280" w:lineRule="auto"/>
        <w:rPr>
          <w:sz w:val="20"/>
          <w:szCs w:val="20"/>
          <w:color w:val="auto"/>
        </w:rPr>
      </w:pPr>
      <w:r>
        <w:rPr>
          <w:rFonts w:ascii="Times New Roman" w:cs="Times New Roman" w:eastAsia="Times New Roman" w:hAnsi="Times New Roman"/>
          <w:sz w:val="17"/>
          <w:szCs w:val="17"/>
          <w:color w:val="auto"/>
        </w:rPr>
        <w:t>Our board of directors has established an audit committee, a compensation committee and a nominating and governance committee. The composition and responsibilities of each committee are described below. Copies of the charters for each committee will be available on the investor relations portion of our website, www.cloverhealth.com. Members serve on these committees until their resignations or until otherwise determined by the board of directors.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4"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Our audit committee will consist of Vivek Garipalli, Lee A. Shapiro and Nathaniel S. Turner, with Mr. Shapiro serving as the chair of the committee. The composition of our audit committee other than Vivek Garipalli meets the requirements for independence under the current Nasdaq listing standards and SEC rules and regulations. We intend to appoint one additional independent director to our audit committee to replace Mr. Garipalli within one year following SCH’s initial public offering pursuant to the Nasdaq phase-in provisions for transfers from other markets. Each member of our audit committee is financially literate. In addition, our board of directors has determined that Mr. Shapiro is an audit committee financial expert within the meaning of Item 407(d) of Regulation S-K of the Securities Act. Our audit committee is responsible for, among other things:</w:t>
      </w:r>
    </w:p>
    <w:p>
      <w:pPr>
        <w:spacing w:after="0" w:line="94" w:lineRule="exact"/>
        <w:rPr>
          <w:sz w:val="20"/>
          <w:szCs w:val="20"/>
          <w:color w:val="auto"/>
        </w:rPr>
      </w:pPr>
    </w:p>
    <w:p>
      <w:pPr>
        <w:ind w:left="1000" w:hanging="43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public accounting firm to audit our financial statements;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of the independent registered public accounting firm;</w:t>
      </w:r>
    </w:p>
    <w:p>
      <w:pPr>
        <w:spacing w:after="0" w:line="123" w:lineRule="exact"/>
        <w:rPr>
          <w:rFonts w:ascii="Times New Roman" w:cs="Times New Roman" w:eastAsia="Times New Roman" w:hAnsi="Times New Roman"/>
          <w:sz w:val="18"/>
          <w:szCs w:val="18"/>
          <w:color w:val="auto"/>
        </w:rPr>
      </w:pPr>
    </w:p>
    <w:p>
      <w:pPr>
        <w:ind w:left="1000" w:right="260" w:hanging="439"/>
        <w:spacing w:after="0" w:line="270"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anonymously submit concerns about questionable accounting or audit matters;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accounting controls and audit procedures.</w:t>
      </w:r>
    </w:p>
    <w:p>
      <w:pPr>
        <w:spacing w:after="0" w:line="216" w:lineRule="exact"/>
        <w:rPr>
          <w:sz w:val="20"/>
          <w:szCs w:val="20"/>
          <w:color w:val="auto"/>
        </w:rPr>
      </w:pPr>
    </w:p>
    <w:p>
      <w:pPr>
        <w:ind w:right="160" w:firstLine="449"/>
        <w:spacing w:after="0" w:line="270" w:lineRule="auto"/>
        <w:rPr>
          <w:sz w:val="20"/>
          <w:szCs w:val="20"/>
          <w:color w:val="auto"/>
        </w:rPr>
      </w:pPr>
      <w:r>
        <w:rPr>
          <w:rFonts w:ascii="Times New Roman" w:cs="Times New Roman" w:eastAsia="Times New Roman" w:hAnsi="Times New Roman"/>
          <w:sz w:val="18"/>
          <w:szCs w:val="18"/>
          <w:color w:val="auto"/>
        </w:rPr>
        <w:t>All audit services to be provided to us and all permissible non-audit services to be provided to us by our independent registered public accounting firm will be approved in advance by the audit committee.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consist of Chelsea Clinton and Lee A. Shapiro, with Mr. Shapiro serving as chair of the committee. The composition of our nominating and governance committee meets the requirements for independence under the current Nasdaq listing standards and SEC rules and regulations. Our nominating and corporate governance committee is responsible for, among other things:</w:t>
      </w:r>
    </w:p>
    <w:p>
      <w:pPr>
        <w:spacing w:after="0" w:line="86" w:lineRule="exact"/>
        <w:rPr>
          <w:sz w:val="20"/>
          <w:szCs w:val="20"/>
          <w:color w:val="auto"/>
        </w:rPr>
      </w:pPr>
    </w:p>
    <w:p>
      <w:pPr>
        <w:ind w:left="1000" w:hanging="43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nominees to our board of directors and its committees;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searches for appropriate directors;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the board and its committees;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our corporate governance practices;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concerning corporate governance matters.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450"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4"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Our compensation committee will consist of Chelsea Clinton and Nathaniel S. Turner, with Ms. Clinton serving as interim chair of the committee. The composition of our compensation committee meets the requirements for independence under current Nasdaq listing standards and SEC rules and regulations. At least two members of this committee are also non-employee directors, as defined pursuant to Rule 16b-3 promulgated under the Exchange Act. The purpose of the compensation committee is to discharge the responsibilities of our board of directors relating to compensation of our executive officers. Our compensation committee is responsible for, among other things:</w:t>
      </w:r>
    </w:p>
    <w:p>
      <w:pPr>
        <w:spacing w:after="0" w:line="94" w:lineRule="exact"/>
        <w:rPr>
          <w:sz w:val="20"/>
          <w:szCs w:val="20"/>
          <w:color w:val="auto"/>
        </w:rPr>
      </w:pPr>
    </w:p>
    <w:p>
      <w:pPr>
        <w:ind w:left="1000" w:right="320" w:hanging="439"/>
        <w:spacing w:after="0" w:line="270"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the compensation of our executive officers and recommending to our board of directors the compensation for our directors;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incentive compensation and equity plans; and</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general policies relating to compensation and benefits of our employees.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2"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None of our executive officers currently serves, or has served during the last year, as a member of our board of directors or compensation committee of any entity, other than Clover, that has one or more executive officers serving as a member of our board of directors.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12"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www.investors.cloverhealth.com. In addition, we intend to make any legally required disclosures regarding amendments to, or waivers of, provisions of our code of ethics on our website rather than by filing a Current Report on Form 8-K.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2"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Historically, we have neither had a formal compensation policy for our non-employee directors, nor have we had a formal policy of reimbursing expenses incurred by its non-employee directors in connection with their board service. However, we reimbursed our non-employee directors for reasonable expenses incurred in connection with their attendance at board of directors or committee meetings and occasionally granted stock options.</w:t>
      </w:r>
    </w:p>
    <w:p>
      <w:pPr>
        <w:spacing w:after="0" w:line="179" w:lineRule="exact"/>
        <w:rPr>
          <w:sz w:val="20"/>
          <w:szCs w:val="20"/>
          <w:color w:val="auto"/>
        </w:rPr>
      </w:pPr>
    </w:p>
    <w:p>
      <w:pPr>
        <w:ind w:right="440" w:firstLine="449"/>
        <w:spacing w:after="0" w:line="251" w:lineRule="auto"/>
        <w:rPr>
          <w:sz w:val="20"/>
          <w:szCs w:val="20"/>
          <w:color w:val="auto"/>
        </w:rPr>
      </w:pPr>
      <w:r>
        <w:rPr>
          <w:rFonts w:ascii="Times New Roman" w:cs="Times New Roman" w:eastAsia="Times New Roman" w:hAnsi="Times New Roman"/>
          <w:sz w:val="18"/>
          <w:szCs w:val="18"/>
          <w:color w:val="auto"/>
        </w:rPr>
        <w:t>We did not provide our non-employee directors with any cash, equity or other compensation in 2020. As of December 31, 2020, none of our non-employee directors held any equity awards other than Ms. Clinton who held 685,690 shares subject to outstanding stock options that were granted in February 2017 and October 2020. Neither Mr. Garipalli nor Mr. Toy received any additional compensation for service as a director for 2020. The compensation of Mr. Garipalli and Mr. Toy as named executive officers is set forth in the section titled “</w:t>
      </w:r>
      <w:r>
        <w:rPr>
          <w:rFonts w:ascii="Times New Roman" w:cs="Times New Roman" w:eastAsia="Times New Roman" w:hAnsi="Times New Roman"/>
          <w:sz w:val="18"/>
          <w:szCs w:val="18"/>
          <w:i w:val="1"/>
          <w:iCs w:val="1"/>
          <w:color w:val="auto"/>
        </w:rPr>
        <w:t>Executive Compensation—2020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14"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In connection with the Business Combination, we adopted a new non-employee director compensation policy that became effective as of the Closing. Our non-employee director compensation policy is designed to</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450" w:right="3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align the interests of the non-employee directors with the interests of stockholders through equity awards and to attract and retain high quality non-employee directors by providing competitive compensation.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policy provides for the following annual cash retainers, which are payable quarterly in arrears and pro-rated for partial quarters of service:</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Annual Board Member Service Retainer</w:t>
      </w:r>
    </w:p>
    <w:p>
      <w:pPr>
        <w:spacing w:after="0" w:line="126" w:lineRule="exact"/>
        <w:rPr>
          <w:sz w:val="20"/>
          <w:szCs w:val="20"/>
          <w:color w:val="auto"/>
        </w:rPr>
      </w:pPr>
    </w:p>
    <w:p>
      <w:pPr>
        <w:ind w:left="1460" w:hanging="331"/>
        <w:spacing w:after="0"/>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Outside Directors: $50,000</w:t>
      </w:r>
    </w:p>
    <w:p>
      <w:pPr>
        <w:spacing w:after="0" w:line="123" w:lineRule="exact"/>
        <w:rPr>
          <w:rFonts w:ascii="Times New Roman" w:cs="Times New Roman" w:eastAsia="Times New Roman" w:hAnsi="Times New Roman"/>
          <w:sz w:val="18"/>
          <w:szCs w:val="18"/>
          <w:color w:val="auto"/>
        </w:rPr>
      </w:pPr>
    </w:p>
    <w:p>
      <w:pPr>
        <w:ind w:left="1460" w:hanging="331"/>
        <w:spacing w:after="0"/>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Director serving as Chairperson: $50,000 (in addition to above)</w:t>
      </w:r>
    </w:p>
    <w:p>
      <w:pPr>
        <w:spacing w:after="0" w:line="123" w:lineRule="exact"/>
        <w:rPr>
          <w:rFonts w:ascii="Times New Roman" w:cs="Times New Roman" w:eastAsia="Times New Roman" w:hAnsi="Times New Roman"/>
          <w:sz w:val="18"/>
          <w:szCs w:val="18"/>
          <w:color w:val="auto"/>
        </w:rPr>
      </w:pPr>
    </w:p>
    <w:p>
      <w:pPr>
        <w:ind w:left="1460" w:hanging="331"/>
        <w:spacing w:after="0"/>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Director serving as Lead Independent Director: $30,000 (in addition to above)</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Annual Committee Member Service Retainer</w:t>
      </w:r>
    </w:p>
    <w:p>
      <w:pPr>
        <w:spacing w:after="0" w:line="126" w:lineRule="exact"/>
        <w:rPr>
          <w:sz w:val="20"/>
          <w:szCs w:val="20"/>
          <w:color w:val="auto"/>
        </w:rPr>
      </w:pPr>
    </w:p>
    <w:p>
      <w:pPr>
        <w:ind w:left="1460" w:hanging="331"/>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$10,000</w:t>
      </w:r>
    </w:p>
    <w:p>
      <w:pPr>
        <w:spacing w:after="0" w:line="123" w:lineRule="exact"/>
        <w:rPr>
          <w:rFonts w:ascii="Times New Roman" w:cs="Times New Roman" w:eastAsia="Times New Roman" w:hAnsi="Times New Roman"/>
          <w:sz w:val="18"/>
          <w:szCs w:val="18"/>
          <w:color w:val="auto"/>
        </w:rPr>
      </w:pPr>
    </w:p>
    <w:p>
      <w:pPr>
        <w:ind w:left="1460" w:hanging="331"/>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$7,500</w:t>
      </w:r>
    </w:p>
    <w:p>
      <w:pPr>
        <w:spacing w:after="0" w:line="123" w:lineRule="exact"/>
        <w:rPr>
          <w:rFonts w:ascii="Times New Roman" w:cs="Times New Roman" w:eastAsia="Times New Roman" w:hAnsi="Times New Roman"/>
          <w:sz w:val="18"/>
          <w:szCs w:val="18"/>
          <w:color w:val="auto"/>
        </w:rPr>
      </w:pPr>
    </w:p>
    <w:p>
      <w:pPr>
        <w:ind w:left="1460" w:hanging="331"/>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Annual Committee Chair Service Retainer (in lieu of the Annual Committee Member Service Retainer)</w:t>
      </w:r>
    </w:p>
    <w:p>
      <w:pPr>
        <w:spacing w:after="0" w:line="126" w:lineRule="exact"/>
        <w:rPr>
          <w:sz w:val="20"/>
          <w:szCs w:val="20"/>
          <w:color w:val="auto"/>
        </w:rPr>
      </w:pPr>
    </w:p>
    <w:p>
      <w:pPr>
        <w:ind w:left="1460" w:hanging="331"/>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 $25,000</w:t>
      </w:r>
    </w:p>
    <w:p>
      <w:pPr>
        <w:spacing w:after="0" w:line="123" w:lineRule="exact"/>
        <w:rPr>
          <w:rFonts w:ascii="Times New Roman" w:cs="Times New Roman" w:eastAsia="Times New Roman" w:hAnsi="Times New Roman"/>
          <w:sz w:val="18"/>
          <w:szCs w:val="18"/>
          <w:color w:val="auto"/>
        </w:rPr>
      </w:pPr>
    </w:p>
    <w:p>
      <w:pPr>
        <w:ind w:left="1460" w:hanging="331"/>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 $20,000</w:t>
      </w:r>
    </w:p>
    <w:p>
      <w:pPr>
        <w:spacing w:after="0" w:line="123" w:lineRule="exact"/>
        <w:rPr>
          <w:rFonts w:ascii="Times New Roman" w:cs="Times New Roman" w:eastAsia="Times New Roman" w:hAnsi="Times New Roman"/>
          <w:sz w:val="18"/>
          <w:szCs w:val="18"/>
          <w:color w:val="auto"/>
        </w:rPr>
      </w:pPr>
    </w:p>
    <w:p>
      <w:pPr>
        <w:ind w:left="1460" w:hanging="331"/>
        <w:spacing w:after="0"/>
        <w:tabs>
          <w:tab w:leader="none" w:pos="1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Corporate Governance Committee: $15,000</w:t>
      </w:r>
    </w:p>
    <w:p>
      <w:pPr>
        <w:spacing w:after="0" w:line="216" w:lineRule="exact"/>
        <w:rPr>
          <w:sz w:val="20"/>
          <w:szCs w:val="20"/>
          <w:color w:val="auto"/>
        </w:rPr>
      </w:pPr>
    </w:p>
    <w:p>
      <w:pPr>
        <w:jc w:val="both"/>
        <w:ind w:right="960" w:firstLine="449"/>
        <w:spacing w:after="0" w:line="300" w:lineRule="auto"/>
        <w:rPr>
          <w:sz w:val="20"/>
          <w:szCs w:val="20"/>
          <w:color w:val="auto"/>
        </w:rPr>
      </w:pPr>
      <w:r>
        <w:rPr>
          <w:rFonts w:ascii="Times New Roman" w:cs="Times New Roman" w:eastAsia="Times New Roman" w:hAnsi="Times New Roman"/>
          <w:sz w:val="17"/>
          <w:szCs w:val="17"/>
          <w:color w:val="auto"/>
        </w:rPr>
        <w:t>The policy also provides for equity awards of RSUs under the 2020 Plan covering shares of our Class A common stock to be granted to the non-employee directors upon their initial election or appointment to our board of directors and annually during their continued service thereafter.</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Grants Prior to 2022 Annual Meeting</w:t>
      </w:r>
    </w:p>
    <w:p>
      <w:pPr>
        <w:spacing w:after="0" w:line="112" w:lineRule="exact"/>
        <w:rPr>
          <w:sz w:val="20"/>
          <w:szCs w:val="20"/>
          <w:color w:val="auto"/>
        </w:rPr>
      </w:pPr>
    </w:p>
    <w:p>
      <w:pPr>
        <w:ind w:right="220" w:firstLine="449"/>
        <w:spacing w:after="0" w:line="270" w:lineRule="auto"/>
        <w:rPr>
          <w:sz w:val="20"/>
          <w:szCs w:val="20"/>
          <w:color w:val="auto"/>
        </w:rPr>
      </w:pPr>
      <w:r>
        <w:rPr>
          <w:rFonts w:ascii="Times New Roman" w:cs="Times New Roman" w:eastAsia="Times New Roman" w:hAnsi="Times New Roman"/>
          <w:sz w:val="18"/>
          <w:szCs w:val="18"/>
          <w:color w:val="auto"/>
        </w:rPr>
        <w:t>Prior to the 2022 annual meeting of stockholders (the “2022 Annual Meeting”), non-employee directors will receive transitional RSU grants upon the following terms, which will vest, subject to continuous service through the applicable vesting dates:</w:t>
      </w:r>
    </w:p>
    <w:p>
      <w:pPr>
        <w:spacing w:after="0" w:line="76" w:lineRule="exact"/>
        <w:rPr>
          <w:sz w:val="20"/>
          <w:szCs w:val="20"/>
          <w:color w:val="auto"/>
        </w:rPr>
      </w:pPr>
    </w:p>
    <w:p>
      <w:pPr>
        <w:ind w:left="1460" w:right="60" w:hanging="331"/>
        <w:spacing w:after="0" w:line="258"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who are initially elected or appointed on or after the Closing Date but before April 1, 2021 will be granted RSUs valued at $400,000, which will vest as to 50% of the RSUs on the first anniversary of the Closing and as to the remaining RSUs on the date of the 2022 Annual Meeting.</w:t>
      </w:r>
    </w:p>
    <w:p>
      <w:pPr>
        <w:spacing w:after="0" w:line="85" w:lineRule="exact"/>
        <w:rPr>
          <w:rFonts w:ascii="Times New Roman" w:cs="Times New Roman" w:eastAsia="Times New Roman" w:hAnsi="Times New Roman"/>
          <w:sz w:val="18"/>
          <w:szCs w:val="18"/>
          <w:color w:val="auto"/>
        </w:rPr>
      </w:pPr>
    </w:p>
    <w:p>
      <w:pPr>
        <w:ind w:left="1460" w:right="480" w:hanging="331"/>
        <w:spacing w:after="0" w:line="270"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who are initially elected or appointed on or after April 1, 2021 but before the 2022 Annual Meeting will be granted RSUs valued at $200,000, which will vest in full on the date of the 2022 Annual Meeting.</w:t>
      </w:r>
    </w:p>
    <w:p>
      <w:pPr>
        <w:spacing w:after="0" w:line="76" w:lineRule="exact"/>
        <w:rPr>
          <w:rFonts w:ascii="Times New Roman" w:cs="Times New Roman" w:eastAsia="Times New Roman" w:hAnsi="Times New Roman"/>
          <w:sz w:val="18"/>
          <w:szCs w:val="18"/>
          <w:color w:val="auto"/>
        </w:rPr>
      </w:pPr>
    </w:p>
    <w:p>
      <w:pPr>
        <w:ind w:left="1460" w:hanging="331"/>
        <w:spacing w:after="0" w:line="253"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who served as members of the board of directors of Clover prior to the Business Combination and continue to serve as members of the board of directors of Clover Health after the Closing Date will be granted RSUs valued at $400,000 multiplied by the anticipated number of whole months from the Closing Date until the 2022 Annual Meeting divided by 24, which will vest in full on the date of the 2022 Annual Meeting.</w:t>
      </w:r>
    </w:p>
    <w:p>
      <w:pPr>
        <w:spacing w:after="0" w:line="92" w:lineRule="exact"/>
        <w:rPr>
          <w:rFonts w:ascii="Times New Roman" w:cs="Times New Roman" w:eastAsia="Times New Roman" w:hAnsi="Times New Roman"/>
          <w:sz w:val="18"/>
          <w:szCs w:val="18"/>
          <w:color w:val="auto"/>
        </w:rPr>
      </w:pPr>
    </w:p>
    <w:p>
      <w:pPr>
        <w:ind w:left="1460" w:right="280" w:hanging="331"/>
        <w:spacing w:after="0" w:line="270" w:lineRule="auto"/>
        <w:tabs>
          <w:tab w:leader="none" w:pos="1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traditional RSU will be granted on the latest to occur of (i) the non-employee director’s election or appointment, (ii) the Closing Date and (iii) the effectiveness of our Registration Statement on Form S-8 for the 2020 Plan.</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450" w:right="3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Grants Beginning at 2022 Annual Meeting</w:t>
      </w:r>
    </w:p>
    <w:p>
      <w:pPr>
        <w:spacing w:after="0" w:line="112" w:lineRule="exact"/>
        <w:rPr>
          <w:sz w:val="20"/>
          <w:szCs w:val="20"/>
          <w:color w:val="auto"/>
        </w:rPr>
      </w:pPr>
    </w:p>
    <w:p>
      <w:pPr>
        <w:ind w:right="760" w:firstLine="449"/>
        <w:spacing w:after="0" w:line="270" w:lineRule="auto"/>
        <w:rPr>
          <w:sz w:val="20"/>
          <w:szCs w:val="20"/>
          <w:color w:val="auto"/>
        </w:rPr>
      </w:pPr>
      <w:r>
        <w:rPr>
          <w:rFonts w:ascii="Times New Roman" w:cs="Times New Roman" w:eastAsia="Times New Roman" w:hAnsi="Times New Roman"/>
          <w:sz w:val="18"/>
          <w:szCs w:val="18"/>
          <w:color w:val="auto"/>
        </w:rPr>
        <w:t>Beginning at the 2022 Annual Meeting, non-employee directors will receive RSU grants upon the following terms, which will vest, subject to continuous service through the applicable vesting dates:</w:t>
      </w:r>
    </w:p>
    <w:p>
      <w:pPr>
        <w:spacing w:after="0" w:line="76" w:lineRule="exact"/>
        <w:rPr>
          <w:sz w:val="20"/>
          <w:szCs w:val="20"/>
          <w:color w:val="auto"/>
        </w:rPr>
      </w:pPr>
    </w:p>
    <w:p>
      <w:pPr>
        <w:ind w:left="1460" w:right="520" w:hanging="331"/>
        <w:spacing w:after="0" w:line="270" w:lineRule="auto"/>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who are initially elected or appointed on or after the 2022 Annual Meeting will be granted RSUs valued at $200,000, which will in full on the one-year anniversary of the director’s election or appointment.</w:t>
      </w:r>
    </w:p>
    <w:p>
      <w:pPr>
        <w:spacing w:after="0" w:line="76" w:lineRule="exact"/>
        <w:rPr>
          <w:rFonts w:ascii="Times New Roman" w:cs="Times New Roman" w:eastAsia="Times New Roman" w:hAnsi="Times New Roman"/>
          <w:sz w:val="18"/>
          <w:szCs w:val="18"/>
          <w:color w:val="auto"/>
        </w:rPr>
      </w:pPr>
    </w:p>
    <w:p>
      <w:pPr>
        <w:ind w:left="1460" w:right="200" w:hanging="331"/>
        <w:spacing w:after="0" w:line="253" w:lineRule="auto"/>
        <w:tabs>
          <w:tab w:leader="none" w:pos="1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at the close of business on each annual meeting of the shareholders beginning with the 2022 Annual Meeting, each non-employee director who has served at least three full months prior to such annual meeting will be granted RSUs valued at $200,000, which will vest in full on the earlier to occur of the next annual meeting of the shareholders or the one-year anniversary of the date of grant.</w:t>
      </w:r>
    </w:p>
    <w:p>
      <w:pPr>
        <w:spacing w:after="0" w:line="185" w:lineRule="exact"/>
        <w:rPr>
          <w:sz w:val="20"/>
          <w:szCs w:val="20"/>
          <w:color w:val="auto"/>
        </w:rPr>
      </w:pPr>
    </w:p>
    <w:p>
      <w:pPr>
        <w:ind w:right="360" w:firstLine="449"/>
        <w:spacing w:after="0" w:line="270" w:lineRule="auto"/>
        <w:rPr>
          <w:sz w:val="20"/>
          <w:szCs w:val="20"/>
          <w:color w:val="auto"/>
        </w:rPr>
      </w:pPr>
      <w:r>
        <w:rPr>
          <w:rFonts w:ascii="Times New Roman" w:cs="Times New Roman" w:eastAsia="Times New Roman" w:hAnsi="Times New Roman"/>
          <w:sz w:val="18"/>
          <w:szCs w:val="18"/>
          <w:color w:val="auto"/>
        </w:rPr>
        <w:t>Our policy also provides that we will reimburse our non-employee directors for reasonable expenses incurred in connection with their attendance at board of directors or committee meetings.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12"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86" w:lineRule="exact"/>
        <w:rPr>
          <w:sz w:val="20"/>
          <w:szCs w:val="20"/>
          <w:color w:val="auto"/>
        </w:rPr>
      </w:pPr>
    </w:p>
    <w:p>
      <w:pPr>
        <w:ind w:left="1460" w:hanging="331"/>
        <w:spacing w:after="0"/>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123" w:lineRule="exact"/>
        <w:rPr>
          <w:rFonts w:ascii="Times New Roman" w:cs="Times New Roman" w:eastAsia="Times New Roman" w:hAnsi="Times New Roman"/>
          <w:sz w:val="18"/>
          <w:szCs w:val="18"/>
          <w:color w:val="auto"/>
        </w:rPr>
      </w:pPr>
    </w:p>
    <w:p>
      <w:pPr>
        <w:ind w:left="1460" w:hanging="331"/>
        <w:spacing w:after="0"/>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23" w:lineRule="exact"/>
        <w:rPr>
          <w:rFonts w:ascii="Times New Roman" w:cs="Times New Roman" w:eastAsia="Times New Roman" w:hAnsi="Times New Roman"/>
          <w:sz w:val="18"/>
          <w:szCs w:val="18"/>
          <w:color w:val="auto"/>
        </w:rPr>
      </w:pPr>
    </w:p>
    <w:p>
      <w:pPr>
        <w:ind w:left="1460" w:right="540" w:hanging="331"/>
        <w:spacing w:after="0" w:line="270" w:lineRule="auto"/>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76" w:lineRule="exact"/>
        <w:rPr>
          <w:rFonts w:ascii="Times New Roman" w:cs="Times New Roman" w:eastAsia="Times New Roman" w:hAnsi="Times New Roman"/>
          <w:sz w:val="18"/>
          <w:szCs w:val="18"/>
          <w:color w:val="auto"/>
        </w:rPr>
      </w:pPr>
    </w:p>
    <w:p>
      <w:pPr>
        <w:ind w:left="1460" w:hanging="331"/>
        <w:spacing w:after="0"/>
        <w:tabs>
          <w:tab w:leader="none" w:pos="1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they derived an improper personal benefit.</w:t>
      </w:r>
    </w:p>
    <w:p>
      <w:pPr>
        <w:spacing w:after="0" w:line="216"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Our amended and restated bylaws provide that we shall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our employees or agents. Our amended and restated bylaws also provide that we must advance expenses incurred by or on behalf of a director or officer in advance of the final disposition of any action or proceeding, subject to limited exceptions.</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maintain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spacing w:after="0" w:line="185" w:lineRule="exact"/>
        <w:rPr>
          <w:sz w:val="20"/>
          <w:szCs w:val="20"/>
          <w:color w:val="auto"/>
        </w:rPr>
      </w:pPr>
    </w:p>
    <w:p>
      <w:pPr>
        <w:ind w:right="100" w:firstLine="449"/>
        <w:spacing w:after="0" w:line="251" w:lineRule="auto"/>
        <w:rPr>
          <w:sz w:val="20"/>
          <w:szCs w:val="20"/>
          <w:color w:val="auto"/>
        </w:rPr>
      </w:pPr>
      <w:r>
        <w:rPr>
          <w:rFonts w:ascii="Times New Roman" w:cs="Times New Roman" w:eastAsia="Times New Roman" w:hAnsi="Times New Roman"/>
          <w:sz w:val="18"/>
          <w:szCs w:val="18"/>
          <w:color w:val="auto"/>
        </w:rPr>
        <w:t>We entered into indemnification agreements with each of our directors and executive officers that are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320" w:top="450"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0" w:firstLine="449"/>
        <w:spacing w:after="0" w:line="280" w:lineRule="auto"/>
        <w:rPr>
          <w:sz w:val="20"/>
          <w:szCs w:val="20"/>
          <w:color w:val="auto"/>
        </w:rPr>
      </w:pPr>
      <w:r>
        <w:rPr>
          <w:rFonts w:ascii="Times New Roman" w:cs="Times New Roman" w:eastAsia="Times New Roman" w:hAnsi="Times New Roman"/>
          <w:sz w:val="17"/>
          <w:szCs w:val="17"/>
          <w:color w:val="auto"/>
        </w:rPr>
        <w:t>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6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Securities and Exchange Commission, such indemnification is against public policy as expressed in the Securities Act and is therefore unenforceable.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50" w:right="47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concerning certain compensation awarded to, earned by or paid to our Chief Executive Officer and each of our two other most highly compensated officers, whom we collectively refer to as “named executive officers,” during the years ended December 31, 2019 and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90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7"/>
        </w:trPr>
        <w:tc>
          <w:tcPr>
            <w:tcW w:w="174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Year</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6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Awards </w:t>
            </w:r>
            <w:r>
              <w:rPr>
                <w:rFonts w:ascii="Times New Roman" w:cs="Times New Roman" w:eastAsia="Times New Roman" w:hAnsi="Times New Roman"/>
                <w:sz w:val="11"/>
                <w:szCs w:val="11"/>
                <w:b w:val="1"/>
                <w:bCs w:val="1"/>
                <w:color w:val="auto"/>
                <w:w w:val="98"/>
              </w:rPr>
              <w:t>(2)</w:t>
            </w:r>
          </w:p>
        </w:tc>
        <w:tc>
          <w:tcPr>
            <w:tcW w:w="15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4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Vivek Garipalli</w:t>
            </w:r>
          </w:p>
        </w:tc>
        <w:tc>
          <w:tcPr>
            <w:tcW w:w="5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60"/>
              <w:spacing w:after="0" w:line="177" w:lineRule="exact"/>
              <w:rPr>
                <w:sz w:val="20"/>
                <w:szCs w:val="20"/>
                <w:color w:val="auto"/>
              </w:rPr>
            </w:pPr>
            <w:r>
              <w:rPr>
                <w:rFonts w:ascii="Times New Roman" w:cs="Times New Roman" w:eastAsia="Times New Roman" w:hAnsi="Times New Roman"/>
                <w:sz w:val="18"/>
                <w:szCs w:val="18"/>
                <w:color w:val="auto"/>
                <w:w w:val="88"/>
              </w:rPr>
              <w:t>2020</w:t>
            </w: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91"/>
              </w:rPr>
              <w:t>(1)</w:t>
            </w: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334"/>
              <w:spacing w:after="0" w:line="177" w:lineRule="exact"/>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40"/>
              <w:spacing w:after="0" w:line="17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2019</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Toy</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2020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w w:val="95"/>
              </w:rPr>
              <w:t>415,385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8,190,695</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 xml:space="preserve">11,805 </w:t>
            </w:r>
            <w:r>
              <w:rPr>
                <w:rFonts w:ascii="Times New Roman" w:cs="Times New Roman" w:eastAsia="Times New Roman" w:hAnsi="Times New Roman"/>
                <w:sz w:val="14"/>
                <w:szCs w:val="14"/>
                <w:color w:val="auto"/>
                <w:w w:val="99"/>
              </w:rPr>
              <w:t>(3)</w:t>
            </w: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8,617,885</w:t>
            </w:r>
          </w:p>
        </w:tc>
        <w:tc>
          <w:tcPr>
            <w:tcW w:w="0" w:type="dxa"/>
            <w:vAlign w:val="bottom"/>
          </w:tcPr>
          <w:p>
            <w:pPr>
              <w:spacing w:after="0"/>
              <w:rPr>
                <w:sz w:val="1"/>
                <w:szCs w:val="1"/>
                <w:color w:val="auto"/>
              </w:rPr>
            </w:pPr>
          </w:p>
        </w:tc>
      </w:tr>
      <w:tr>
        <w:trPr>
          <w:trHeight w:val="231"/>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Technology Officer</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w w:val="95"/>
              </w:rPr>
              <w:t>400,000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 xml:space="preserve">23,593 </w:t>
            </w:r>
            <w:r>
              <w:rPr>
                <w:rFonts w:ascii="Times New Roman" w:cs="Times New Roman" w:eastAsia="Times New Roman" w:hAnsi="Times New Roman"/>
                <w:sz w:val="14"/>
                <w:szCs w:val="14"/>
                <w:color w:val="auto"/>
                <w:w w:val="99"/>
              </w:rPr>
              <w:t>(4)</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423,593</w:t>
            </w:r>
          </w:p>
        </w:tc>
        <w:tc>
          <w:tcPr>
            <w:tcW w:w="0" w:type="dxa"/>
            <w:vAlign w:val="bottom"/>
          </w:tcPr>
          <w:p>
            <w:pPr>
              <w:spacing w:after="0"/>
              <w:rPr>
                <w:sz w:val="1"/>
                <w:szCs w:val="1"/>
                <w:color w:val="auto"/>
              </w:rPr>
            </w:pPr>
          </w:p>
        </w:tc>
      </w:tr>
      <w:tr>
        <w:trPr>
          <w:trHeight w:val="107"/>
        </w:trPr>
        <w:tc>
          <w:tcPr>
            <w:tcW w:w="1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Gia Lee</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2020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w w:val="95"/>
              </w:rPr>
              <w:t>415,385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978,250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 xml:space="preserve">10,577 </w:t>
            </w:r>
            <w:r>
              <w:rPr>
                <w:rFonts w:ascii="Times New Roman" w:cs="Times New Roman" w:eastAsia="Times New Roman" w:hAnsi="Times New Roman"/>
                <w:sz w:val="14"/>
                <w:szCs w:val="14"/>
                <w:color w:val="auto"/>
                <w:w w:val="99"/>
              </w:rPr>
              <w:t>(5)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1,404,212</w:t>
            </w:r>
          </w:p>
        </w:tc>
        <w:tc>
          <w:tcPr>
            <w:tcW w:w="0" w:type="dxa"/>
            <w:vAlign w:val="bottom"/>
          </w:tcPr>
          <w:p>
            <w:pPr>
              <w:spacing w:after="0"/>
              <w:rPr>
                <w:sz w:val="1"/>
                <w:szCs w:val="1"/>
                <w:color w:val="auto"/>
              </w:rPr>
            </w:pPr>
          </w:p>
        </w:tc>
      </w:tr>
      <w:tr>
        <w:trPr>
          <w:trHeight w:val="212"/>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2019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w w:val="95"/>
              </w:rPr>
              <w:t>331,731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346,500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893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47" w:lineRule="exact"/>
        <w:rPr>
          <w:sz w:val="20"/>
          <w:szCs w:val="20"/>
          <w:color w:val="auto"/>
        </w:rPr>
      </w:pPr>
    </w:p>
    <w:p>
      <w:pPr>
        <w:ind w:left="460" w:hanging="454"/>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his own recommendation to our board of directors, Mr. Garipalli elected to forego any compensation for 2019 and 2020.</w:t>
      </w:r>
    </w:p>
    <w:p>
      <w:pPr>
        <w:spacing w:after="0" w:line="22" w:lineRule="exact"/>
        <w:rPr>
          <w:rFonts w:ascii="Times New Roman" w:cs="Times New Roman" w:eastAsia="Times New Roman" w:hAnsi="Times New Roman"/>
          <w:sz w:val="18"/>
          <w:szCs w:val="18"/>
          <w:color w:val="auto"/>
        </w:rPr>
      </w:pPr>
    </w:p>
    <w:p>
      <w:pPr>
        <w:ind w:left="460" w:right="40" w:hanging="454"/>
        <w:spacing w:after="0" w:line="245"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represents the aggregate grant date fair value of stock options granted under our 2014 Equity Incentive Plan as computed in accordance with FASB ASC Topic 718. The assumptions used in calculating the dollar amount recognized for financial statement reporting purposes of the stock option awards reported in this column are set forth in Note 18 to our consolidated financial statements included elsewhere in this prospectus. Note that the amount reported in this column reflects the accounting value for the stock option awards and may not correspond to the actual economic value that may be received by the named executive officer from the equity award.</w:t>
      </w:r>
    </w:p>
    <w:p>
      <w:pPr>
        <w:spacing w:after="0" w:line="1"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consist of (i) car services and related transportation costs of $3,805 and (ii) matching 401(k) contributions of $8,000.</w:t>
      </w:r>
    </w:p>
    <w:p>
      <w:pPr>
        <w:spacing w:after="0" w:line="4"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consist of (i) car services and related transportation costs of $17,516 and (ii) matching 401(k) contributions of $6,077.</w:t>
      </w:r>
    </w:p>
    <w:p>
      <w:pPr>
        <w:spacing w:after="0" w:line="4"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consist of matching 401(k) contributions.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 in Effect Prior to the Closing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Arrangements</w:t>
      </w:r>
    </w:p>
    <w:p>
      <w:pPr>
        <w:spacing w:after="0" w:line="114"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Clover previously entered into offer letters with Mr. Toy and Ms. Lee. Both of these arrangements provide for at will employment and generally include the named executive officer’s initial base salary and an initial equity award grant. In addition, Mr. Garipalli, Mr. Toy and Ms. Lee have each executed a confidential information and invention assignment agreement with Clover. Mr. Toy’s offer letter and all the benefits provided therein was superseded by the employment agreement that he entered into with Clover in connection with the Closing, which is described in more detail below.</w:t>
      </w:r>
    </w:p>
    <w:p>
      <w:pPr>
        <w:spacing w:after="0" w:line="185" w:lineRule="exact"/>
        <w:rPr>
          <w:sz w:val="20"/>
          <w:szCs w:val="20"/>
          <w:color w:val="auto"/>
        </w:rPr>
      </w:pPr>
    </w:p>
    <w:p>
      <w:pPr>
        <w:ind w:right="360" w:firstLine="449"/>
        <w:spacing w:after="0" w:line="258" w:lineRule="auto"/>
        <w:rPr>
          <w:sz w:val="20"/>
          <w:szCs w:val="20"/>
          <w:color w:val="auto"/>
        </w:rPr>
      </w:pPr>
      <w:r>
        <w:rPr>
          <w:rFonts w:ascii="Times New Roman" w:cs="Times New Roman" w:eastAsia="Times New Roman" w:hAnsi="Times New Roman"/>
          <w:sz w:val="18"/>
          <w:szCs w:val="18"/>
          <w:color w:val="auto"/>
        </w:rPr>
        <w:t>Ms. Lee’s offer letter provides that if she is terminated by us without cause or if she resigns for good reason upon the consummation of or within 24 months following a change in control transaction, then 100% of the then unvested shares subject to her equity awards will immediately vest and become exercisable upon the date of such termination.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14" w:lineRule="exact"/>
        <w:rPr>
          <w:sz w:val="20"/>
          <w:szCs w:val="20"/>
          <w:color w:val="auto"/>
        </w:rPr>
      </w:pPr>
    </w:p>
    <w:p>
      <w:pPr>
        <w:ind w:right="460" w:firstLine="449"/>
        <w:spacing w:after="0" w:line="258" w:lineRule="auto"/>
        <w:rPr>
          <w:sz w:val="20"/>
          <w:szCs w:val="20"/>
          <w:color w:val="auto"/>
        </w:rPr>
      </w:pPr>
      <w:r>
        <w:rPr>
          <w:rFonts w:ascii="Times New Roman" w:cs="Times New Roman" w:eastAsia="Times New Roman" w:hAnsi="Times New Roman"/>
          <w:sz w:val="18"/>
          <w:szCs w:val="18"/>
          <w:color w:val="auto"/>
        </w:rPr>
        <w:t>Clover has provided in the offer letter with Ms. Lee that if she is terminated by us without cause or if she resigns for good reason upon the consummation of or within 24 months following a change in control transaction, then 100% of the then unvested shares subject to her equity awards will immediately vest and become exercisable upon the date of such 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450"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Pension Benefits/Nonqualified Deferred Compensation Table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 of Clover’s named executive officers participated in any defined benefit pension plans or any non-qualified deferred compensation plans in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4"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Clover’s named executive officers are eligible to participate in Clover’s employee benefit plans, including Clover’s medical, dental, vision, group life, disability and accidental death and dismemberment insurance plans, in each case, on the same basis as all of Clover’s other employees. Clover provides a 401(k) plan to its employees, including its current named executive officers, as discussed in the section below entitled “</w:t>
      </w: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Clover generally does not provide perquisites or personal benefits to Clover’s named executive officers, except in limited circumstances.</w:t>
      </w:r>
    </w:p>
    <w:p>
      <w:pPr>
        <w:spacing w:after="0" w:line="183" w:lineRule="exact"/>
        <w:rPr>
          <w:sz w:val="20"/>
          <w:szCs w:val="20"/>
          <w:color w:val="auto"/>
        </w:rPr>
      </w:pPr>
    </w:p>
    <w:p>
      <w:pPr>
        <w:ind w:right="220" w:firstLine="449"/>
        <w:spacing w:after="0" w:line="252" w:lineRule="auto"/>
        <w:rPr>
          <w:sz w:val="20"/>
          <w:szCs w:val="20"/>
          <w:color w:val="auto"/>
        </w:rPr>
      </w:pP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Clover maintains a 401(k) plan that provides eligible employees with an opportunity to save for retirement on a tax advantaged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employees are able to defer eligible compensation subject to applicable annual Code limits. Employees are immediately and fully vested in their contributions. The 401(k) plan permits Clover to make matching contributions and profit-sharing contributions to eligible participants. Clover intends for its 401(k) plan to qualify under Sections 401(a) and 501(a) of the Code so that contributions by employees to the 401(k) plan, and earnings on those contributions, are not taxable to employees until withdrawn from the 401(k) plan.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2020 Fiscal Year-End</w:t>
      </w:r>
    </w:p>
    <w:p>
      <w:pPr>
        <w:spacing w:after="0" w:line="112" w:lineRule="exact"/>
        <w:rPr>
          <w:sz w:val="20"/>
          <w:szCs w:val="20"/>
          <w:color w:val="auto"/>
        </w:rPr>
      </w:pPr>
    </w:p>
    <w:p>
      <w:pPr>
        <w:ind w:right="140" w:firstLine="449"/>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stock options held by certain of the named executive officers as of December 31, 2020 on an as converted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80" w:type="dxa"/>
            <w:vAlign w:val="bottom"/>
            <w:gridSpan w:val="4"/>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74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1"/>
                <w:szCs w:val="11"/>
                <w:b w:val="1"/>
                <w:bCs w:val="1"/>
                <w:color w:val="auto"/>
              </w:rPr>
              <w:t>(1)</w:t>
            </w:r>
          </w:p>
        </w:tc>
        <w:tc>
          <w:tcPr>
            <w:tcW w:w="400" w:type="dxa"/>
            <w:vAlign w:val="bottom"/>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360" w:type="dxa"/>
            <w:vAlign w:val="bottom"/>
          </w:tcPr>
          <w:p>
            <w:pPr>
              <w:spacing w:after="0"/>
              <w:rPr>
                <w:sz w:val="9"/>
                <w:szCs w:val="9"/>
                <w:color w:val="auto"/>
              </w:rPr>
            </w:pPr>
          </w:p>
        </w:tc>
        <w:tc>
          <w:tcPr>
            <w:tcW w:w="170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900" w:type="dxa"/>
            <w:vAlign w:val="bottom"/>
            <w:gridSpan w:val="2"/>
          </w:tcPr>
          <w:p>
            <w:pPr>
              <w:jc w:val="right"/>
              <w:ind w:right="400"/>
              <w:spacing w:after="0" w:line="114"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840" w:type="dxa"/>
            <w:vAlign w:val="bottom"/>
          </w:tcPr>
          <w:p>
            <w:pPr>
              <w:jc w:val="right"/>
              <w:ind w:right="16"/>
              <w:spacing w:after="0" w:line="114"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53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2"/>
        </w:trPr>
        <w:tc>
          <w:tcPr>
            <w:tcW w:w="536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Name</w:t>
            </w:r>
          </w:p>
        </w:tc>
        <w:tc>
          <w:tcPr>
            <w:tcW w:w="8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Vivek Garipalli</w:t>
            </w:r>
          </w:p>
        </w:tc>
        <w:tc>
          <w:tcPr>
            <w:tcW w:w="17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
        </w:trPr>
        <w:tc>
          <w:tcPr>
            <w:tcW w:w="5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Andrew Toy</w:t>
            </w:r>
          </w:p>
        </w:tc>
        <w:tc>
          <w:tcPr>
            <w:tcW w:w="1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07/22/2018</w:t>
            </w:r>
            <w:r>
              <w:rPr>
                <w:rFonts w:ascii="Times New Roman" w:cs="Times New Roman" w:eastAsia="Times New Roman" w:hAnsi="Times New Roman"/>
                <w:sz w:val="14"/>
                <w:szCs w:val="14"/>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631,033</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07/21/2028</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07/22/2018</w:t>
            </w:r>
            <w:r>
              <w:rPr>
                <w:rFonts w:ascii="Times New Roman" w:cs="Times New Roman" w:eastAsia="Times New Roman" w:hAnsi="Times New Roman"/>
                <w:sz w:val="14"/>
                <w:szCs w:val="14"/>
                <w:color w:val="auto"/>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3,155,168</w:t>
            </w:r>
          </w:p>
        </w:tc>
        <w:tc>
          <w:tcPr>
            <w:tcW w:w="3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07/21/2028</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02/04/2020</w:t>
            </w:r>
            <w:r>
              <w:rPr>
                <w:rFonts w:ascii="Times New Roman" w:cs="Times New Roman" w:eastAsia="Times New Roman" w:hAnsi="Times New Roman"/>
                <w:sz w:val="14"/>
                <w:szCs w:val="14"/>
                <w:color w:val="auto"/>
              </w:rPr>
              <w:t>(4)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5,344,515</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02/03/2030</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02/04/2020</w:t>
            </w:r>
            <w:r>
              <w:rPr>
                <w:rFonts w:ascii="Times New Roman" w:cs="Times New Roman" w:eastAsia="Times New Roman" w:hAnsi="Times New Roman"/>
                <w:sz w:val="14"/>
                <w:szCs w:val="14"/>
                <w:color w:val="auto"/>
              </w:rPr>
              <w:t>(5)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3,669,607</w:t>
            </w:r>
          </w:p>
        </w:tc>
        <w:tc>
          <w:tcPr>
            <w:tcW w:w="3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02/03/2030</w:t>
            </w:r>
          </w:p>
        </w:tc>
        <w:tc>
          <w:tcPr>
            <w:tcW w:w="0" w:type="dxa"/>
            <w:vAlign w:val="bottom"/>
          </w:tcPr>
          <w:p>
            <w:pPr>
              <w:spacing w:after="0"/>
              <w:rPr>
                <w:sz w:val="1"/>
                <w:szCs w:val="1"/>
                <w:color w:val="auto"/>
              </w:rPr>
            </w:pPr>
          </w:p>
        </w:tc>
      </w:tr>
      <w:tr>
        <w:trPr>
          <w:trHeight w:val="88"/>
        </w:trPr>
        <w:tc>
          <w:tcPr>
            <w:tcW w:w="5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Gia Lee</w:t>
            </w:r>
          </w:p>
        </w:tc>
        <w:tc>
          <w:tcPr>
            <w:tcW w:w="1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03/26/2019</w:t>
            </w:r>
            <w:r>
              <w:rPr>
                <w:rFonts w:ascii="Times New Roman" w:cs="Times New Roman" w:eastAsia="Times New Roman" w:hAnsi="Times New Roman"/>
                <w:sz w:val="14"/>
                <w:szCs w:val="14"/>
                <w:color w:val="auto"/>
              </w:rPr>
              <w:t>(6)(7)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393,364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175,356</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03/25/2029</w:t>
            </w:r>
          </w:p>
        </w:tc>
        <w:tc>
          <w:tcPr>
            <w:tcW w:w="0" w:type="dxa"/>
            <w:vAlign w:val="bottom"/>
          </w:tcPr>
          <w:p>
            <w:pPr>
              <w:spacing w:after="0"/>
              <w:rPr>
                <w:sz w:val="1"/>
                <w:szCs w:val="1"/>
                <w:color w:val="auto"/>
              </w:rPr>
            </w:pPr>
          </w:p>
        </w:tc>
      </w:tr>
      <w:tr>
        <w:trPr>
          <w:trHeight w:val="193"/>
        </w:trPr>
        <w:tc>
          <w:tcPr>
            <w:tcW w:w="5360" w:type="dxa"/>
            <w:vAlign w:val="bottom"/>
          </w:tcPr>
          <w:p>
            <w:pPr>
              <w:spacing w:after="0"/>
              <w:rPr>
                <w:sz w:val="16"/>
                <w:szCs w:val="16"/>
                <w:color w:val="auto"/>
              </w:rPr>
            </w:pPr>
          </w:p>
        </w:tc>
        <w:tc>
          <w:tcPr>
            <w:tcW w:w="17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8"/>
                <w:szCs w:val="18"/>
                <w:color w:val="auto"/>
              </w:rPr>
              <w:t>02/04/2020</w:t>
            </w:r>
            <w:r>
              <w:rPr>
                <w:rFonts w:ascii="Times New Roman" w:cs="Times New Roman" w:eastAsia="Times New Roman" w:hAnsi="Times New Roman"/>
                <w:sz w:val="14"/>
                <w:szCs w:val="14"/>
                <w:color w:val="auto"/>
              </w:rPr>
              <w:t>(7)(8)</w:t>
            </w:r>
          </w:p>
        </w:tc>
        <w:tc>
          <w:tcPr>
            <w:tcW w:w="76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232,441</w:t>
            </w:r>
          </w:p>
        </w:tc>
        <w:tc>
          <w:tcPr>
            <w:tcW w:w="38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103,261</w:t>
            </w:r>
          </w:p>
        </w:tc>
        <w:tc>
          <w:tcPr>
            <w:tcW w:w="400" w:type="dxa"/>
            <w:vAlign w:val="bottom"/>
          </w:tcPr>
          <w:p>
            <w:pPr>
              <w:spacing w:after="0"/>
              <w:rPr>
                <w:sz w:val="16"/>
                <w:szCs w:val="16"/>
                <w:color w:val="auto"/>
              </w:rPr>
            </w:pPr>
          </w:p>
        </w:tc>
        <w:tc>
          <w:tcPr>
            <w:tcW w:w="900" w:type="dxa"/>
            <w:vAlign w:val="bottom"/>
            <w:gridSpan w:val="2"/>
          </w:tcPr>
          <w:p>
            <w:pPr>
              <w:jc w:val="right"/>
              <w:ind w:right="400"/>
              <w:spacing w:after="0" w:line="193" w:lineRule="exact"/>
              <w:rPr>
                <w:sz w:val="20"/>
                <w:szCs w:val="20"/>
                <w:color w:val="auto"/>
              </w:rPr>
            </w:pPr>
            <w:r>
              <w:rPr>
                <w:rFonts w:ascii="Times New Roman" w:cs="Times New Roman" w:eastAsia="Times New Roman" w:hAnsi="Times New Roman"/>
                <w:sz w:val="18"/>
                <w:szCs w:val="18"/>
                <w:color w:val="auto"/>
              </w:rPr>
              <w:t>2.23</w:t>
            </w:r>
          </w:p>
        </w:tc>
        <w:tc>
          <w:tcPr>
            <w:tcW w:w="900" w:type="dxa"/>
            <w:vAlign w:val="bottom"/>
            <w:gridSpan w:val="2"/>
          </w:tcPr>
          <w:p>
            <w:pPr>
              <w:jc w:val="right"/>
              <w:ind w:right="60"/>
              <w:spacing w:after="0" w:line="193" w:lineRule="exact"/>
              <w:rPr>
                <w:sz w:val="20"/>
                <w:szCs w:val="20"/>
                <w:color w:val="auto"/>
              </w:rPr>
            </w:pPr>
            <w:r>
              <w:rPr>
                <w:rFonts w:ascii="Times New Roman" w:cs="Times New Roman" w:eastAsia="Times New Roman" w:hAnsi="Times New Roman"/>
                <w:sz w:val="18"/>
                <w:szCs w:val="18"/>
                <w:color w:val="auto"/>
                <w:w w:val="99"/>
              </w:rPr>
              <w:t>02/03/2030</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02/04/2020</w:t>
            </w:r>
            <w:r>
              <w:rPr>
                <w:rFonts w:ascii="Times New Roman" w:cs="Times New Roman" w:eastAsia="Times New Roman" w:hAnsi="Times New Roman"/>
                <w:sz w:val="14"/>
                <w:szCs w:val="14"/>
                <w:color w:val="auto"/>
              </w:rPr>
              <w:t>(7)(9)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504,093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504,093</w:t>
            </w:r>
          </w:p>
        </w:tc>
        <w:tc>
          <w:tcPr>
            <w:tcW w:w="40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02/03/2030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hanging="454"/>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equity awards were granted under our 2014 Plan.</w:t>
      </w:r>
    </w:p>
    <w:p>
      <w:pPr>
        <w:spacing w:after="0" w:line="22" w:lineRule="exact"/>
        <w:rPr>
          <w:rFonts w:ascii="Times New Roman" w:cs="Times New Roman" w:eastAsia="Times New Roman" w:hAnsi="Times New Roman"/>
          <w:sz w:val="18"/>
          <w:szCs w:val="18"/>
          <w:color w:val="auto"/>
        </w:rPr>
      </w:pPr>
    </w:p>
    <w:p>
      <w:pPr>
        <w:ind w:left="460" w:right="80" w:hanging="454"/>
        <w:spacing w:after="0" w:line="245"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1/12th of the shares subject to the option vested on February 5, 2018, and on each month thereafter, subject to continued service to us as of each vesting date, except as otherwise provided in the named executive officer’s employment agreement.</w:t>
      </w:r>
    </w:p>
    <w:p>
      <w:pPr>
        <w:ind w:left="460" w:right="120" w:hanging="454"/>
        <w:spacing w:after="0" w:line="245"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1/5th of the shares subject to the option vested on February 5, 2019, and an additional 1/48th of the remaining shares vest monthly thereafter, subject to continued service to us as of each vesting date, except as otherwise provided in the named executive officer’s employment agreement.</w:t>
      </w:r>
    </w:p>
    <w:p>
      <w:pPr>
        <w:ind w:left="460" w:right="420" w:hanging="454"/>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450"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460" w:right="320" w:hanging="454"/>
        <w:spacing w:after="0" w:line="252"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 The shares subject to the option are fully vested as of January 7, 2021.</w:t>
      </w:r>
    </w:p>
    <w:p>
      <w:pPr>
        <w:ind w:left="460" w:right="120" w:hanging="454"/>
        <w:spacing w:after="0" w:line="245"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1/5th of the shares subject to the option vested on January 14, 2020, and an additional 1/48th of the remaining shares vest monthly thereafter, subject to continued service to us as of each vesting date, except as otherwise provided in the named executive officer’s offer letter.</w:t>
      </w:r>
    </w:p>
    <w:p>
      <w:pPr>
        <w:ind w:left="460" w:right="20" w:hanging="454"/>
        <w:spacing w:after="0" w:line="245"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option grant is early exercisable, while the other 50% becomes exercisable once vested, except as otherwise provided in the named executive officer’s offer letter.</w:t>
      </w:r>
    </w:p>
    <w:p>
      <w:pPr>
        <w:ind w:left="460" w:right="160" w:hanging="454"/>
        <w:spacing w:after="0" w:line="245"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1/60th of the shares subject to the option vested on February 14, 2019 and an additional 1/60th of the remaining shares vest monthly thereafter, subject to continued service to us as of each vesting date,</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name executive’s offer letter.</w:t>
      </w:r>
    </w:p>
    <w:p>
      <w:pPr>
        <w:spacing w:after="0" w:line="4" w:lineRule="exact"/>
        <w:rPr>
          <w:rFonts w:ascii="Times New Roman" w:cs="Times New Roman" w:eastAsia="Times New Roman" w:hAnsi="Times New Roman"/>
          <w:sz w:val="18"/>
          <w:szCs w:val="18"/>
          <w:color w:val="auto"/>
        </w:rPr>
      </w:pPr>
    </w:p>
    <w:p>
      <w:pPr>
        <w:ind w:left="460" w:right="240" w:hanging="454"/>
        <w:spacing w:after="0" w:line="250"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24/60th of the shares subject to the option vest on January 1, 2022 and an additional 1/60th of the remaining shares vest monthly thereafter, subject to continued service to us as of each vesting date, except as otherwise provided in the name executive’s offer letter.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Plan</w:t>
      </w:r>
    </w:p>
    <w:p>
      <w:pPr>
        <w:spacing w:after="0" w:line="112"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Clover’s board of directors adopted the 2014 Equity Incentive Plan (the “2014 Plan”) in July 2014, and Clover’s stockholders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Plan in October 2014. The 2014 Plan was last amended in September 2018. Effective as of the Closing Date, the 2014 Plan terminated at which time the outstanding awards previously granted thereunder were assumed by us, and no new awards are available for grant under the 2014 Plan. The 2014 Plan provided for incentive and nonstatutory stock options to purchase shares of Clover common stock, restricted stock awards and restricted stock unit awards. Previously granted awards under the 2014 Plan continue to be subject to the terms and conditions of the 2014 Plan and the stock award agreements pursuant to which such awards were granted.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Under the 2014 Plan Granted in Connection with the Business Combination</w:t>
      </w:r>
    </w:p>
    <w:p>
      <w:pPr>
        <w:spacing w:after="0" w:line="114"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Clover’s board of directors granted the following stock awards under the 2014 Plan effective immediately prior to the Closing to Mr. Garipalli and Mr. Toy (the “Pre-Closing Founder Grants”).</w:t>
      </w:r>
    </w:p>
    <w:p>
      <w:pPr>
        <w:spacing w:after="0" w:line="76" w:lineRule="exact"/>
        <w:rPr>
          <w:sz w:val="20"/>
          <w:szCs w:val="20"/>
          <w:color w:val="auto"/>
        </w:rPr>
      </w:pPr>
    </w:p>
    <w:p>
      <w:pPr>
        <w:ind w:left="1020" w:right="420" w:hanging="565"/>
        <w:spacing w:after="0" w:line="270"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Garipalli Performance-Based Award –Clover granted Mr. Garipalli, a performance-based RSU award covering 7,164,581 shares of Class B common stock, which will vest and become settled by satisfying each of the following two conditions:</w:t>
      </w:r>
    </w:p>
    <w:p>
      <w:pPr>
        <w:spacing w:after="0" w:line="76" w:lineRule="exact"/>
        <w:rPr>
          <w:rFonts w:ascii="Times New Roman" w:cs="Times New Roman" w:eastAsia="Times New Roman" w:hAnsi="Times New Roman"/>
          <w:sz w:val="18"/>
          <w:szCs w:val="18"/>
          <w:color w:val="auto"/>
        </w:rPr>
      </w:pPr>
    </w:p>
    <w:p>
      <w:pPr>
        <w:ind w:left="1460" w:right="360" w:hanging="450"/>
        <w:spacing w:after="0" w:line="270" w:lineRule="auto"/>
        <w:tabs>
          <w:tab w:leader="none" w:pos="14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- 20% will vest on each anniversary of the Closing, subject to Mr. Garipalli’s continued service to us as our CEO, Co-CEO or Executive Chairman through each vesting date; and</w:t>
      </w:r>
    </w:p>
    <w:p>
      <w:pPr>
        <w:spacing w:after="0" w:line="76" w:lineRule="exact"/>
        <w:rPr>
          <w:rFonts w:ascii="Times New Roman" w:cs="Times New Roman" w:eastAsia="Times New Roman" w:hAnsi="Times New Roman"/>
          <w:sz w:val="18"/>
          <w:szCs w:val="18"/>
          <w:color w:val="auto"/>
        </w:rPr>
      </w:pPr>
    </w:p>
    <w:p>
      <w:pPr>
        <w:ind w:left="1460" w:right="220" w:hanging="450"/>
        <w:spacing w:after="0" w:line="280" w:lineRule="auto"/>
        <w:tabs>
          <w:tab w:leader="none" w:pos="14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 Measured beginning after the first anniversary of the Closing, 50% will vest upon our volume-weighted average stock closing price reaching $20 for 90 consecutive calendar days, and the remaining 50% will vest upon our volume-weighted average stock closing price reaching $25 for 90 consecutive calendar days; provided all such vesting occurs within 5 years of the Closing.</w:t>
      </w:r>
    </w:p>
    <w:p>
      <w:pPr>
        <w:spacing w:after="0" w:line="69" w:lineRule="exact"/>
        <w:rPr>
          <w:rFonts w:ascii="Times New Roman" w:cs="Times New Roman" w:eastAsia="Times New Roman" w:hAnsi="Times New Roman"/>
          <w:sz w:val="17"/>
          <w:szCs w:val="17"/>
          <w:color w:val="auto"/>
        </w:rPr>
      </w:pPr>
    </w:p>
    <w:p>
      <w:pPr>
        <w:ind w:left="1020" w:hanging="565"/>
        <w:spacing w:after="0" w:line="270"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Toy Performance-Based Award - Clover granted Mr. Toy, a performance-based RSU award covering 3,582,291 shares of Class B common stock, which will vest and become settled by satisfying each of the following two conditions:</w:t>
      </w:r>
    </w:p>
    <w:p>
      <w:pPr>
        <w:spacing w:after="0" w:line="76" w:lineRule="exact"/>
        <w:rPr>
          <w:rFonts w:ascii="Times New Roman" w:cs="Times New Roman" w:eastAsia="Times New Roman" w:hAnsi="Times New Roman"/>
          <w:sz w:val="18"/>
          <w:szCs w:val="18"/>
          <w:color w:val="auto"/>
        </w:rPr>
      </w:pPr>
    </w:p>
    <w:p>
      <w:pPr>
        <w:ind w:left="1460" w:hanging="450"/>
        <w:spacing w:after="0"/>
        <w:tabs>
          <w:tab w:leader="none" w:pos="14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- 20% will vest on each anniversary of the Closing, subject to Mr. Toy’s continued service to us through each vesting date; and</w:t>
      </w:r>
    </w:p>
    <w:p>
      <w:pPr>
        <w:spacing w:after="0" w:line="123" w:lineRule="exact"/>
        <w:rPr>
          <w:rFonts w:ascii="Times New Roman" w:cs="Times New Roman" w:eastAsia="Times New Roman" w:hAnsi="Times New Roman"/>
          <w:sz w:val="18"/>
          <w:szCs w:val="18"/>
          <w:color w:val="auto"/>
        </w:rPr>
      </w:pPr>
    </w:p>
    <w:p>
      <w:pPr>
        <w:ind w:left="1460" w:right="320" w:hanging="450"/>
        <w:spacing w:after="0" w:line="300" w:lineRule="auto"/>
        <w:tabs>
          <w:tab w:leader="none" w:pos="14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 Measured beginning after the first anniversary of the Closing, 100% will vest upon our volume-weighted average stock closing price reaching $20 for 90 consecutive calendar days; provided such vesting occurs on or within 5 years of the Closing.</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450"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In addition, upon a change in control as defined in the 2014 Plan (which did not include the Business Combination), the Pre-Closing Founder Grants will fully vest as to their service conditions, and if the per share value in the change in control equals or exceeds the required stock closing price under their performance conditions, the awards will also fully vest as to the applicable performance conditions. Any portion of the awards unvested at the consummation of the change in control will be forfeited. The Pre-Closing Founder Grants will also be subject to the terms and conditions of the employment agreements that Mr. Garipalli and Mr. Toy entered into with Clover Health as discussed in the section below entitled “—</w:t>
      </w:r>
      <w:r>
        <w:rPr>
          <w:rFonts w:ascii="Times New Roman" w:cs="Times New Roman" w:eastAsia="Times New Roman" w:hAnsi="Times New Roman"/>
          <w:sz w:val="18"/>
          <w:szCs w:val="18"/>
          <w:i w:val="1"/>
          <w:iCs w:val="1"/>
          <w:color w:val="auto"/>
        </w:rPr>
        <w:t>Executive Compensation Arrangements in Effect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Closing</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 in Effect as of the Closing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Vivek Garipalli</w:t>
      </w:r>
    </w:p>
    <w:p>
      <w:pPr>
        <w:spacing w:after="0" w:line="11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the Closing, on December 31, 2020, Clover entered into an employment agreement with Mr. Garipalli, which was assumed by Clover Health, pursuant to which Mr. Garipalli serves as Clover Health’s Chief Executive Officer and will report directly to Clover Health’s board of directors. Mr. Garipalli’s employment under the employment agreement is at-will.</w:t>
      </w:r>
    </w:p>
    <w:p>
      <w:pPr>
        <w:spacing w:after="0" w:line="17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Under his employment agreement, Mr. Garipalli is not initially entitled to an annual base salary or incentive cash bonus, but such cash compensation may be provided to him in the future at the discretion of the board of directors or compensation committee. Mr. Garipalli is eligible to participate in the health, welfare and fringe benefit plans provided by us to our employees.</w:t>
      </w:r>
    </w:p>
    <w:p>
      <w:pPr>
        <w:spacing w:after="0" w:line="179" w:lineRule="exact"/>
        <w:rPr>
          <w:sz w:val="20"/>
          <w:szCs w:val="20"/>
          <w:color w:val="auto"/>
        </w:rPr>
      </w:pPr>
    </w:p>
    <w:p>
      <w:pPr>
        <w:jc w:val="both"/>
        <w:ind w:right="220" w:firstLine="449"/>
        <w:spacing w:after="0" w:line="273" w:lineRule="auto"/>
        <w:rPr>
          <w:sz w:val="20"/>
          <w:szCs w:val="20"/>
          <w:color w:val="auto"/>
        </w:rPr>
      </w:pPr>
      <w:r>
        <w:rPr>
          <w:rFonts w:ascii="Times New Roman" w:cs="Times New Roman" w:eastAsia="Times New Roman" w:hAnsi="Times New Roman"/>
          <w:sz w:val="17"/>
          <w:szCs w:val="17"/>
          <w:color w:val="auto"/>
        </w:rPr>
        <w:t>Pursuant to his employment agreement, we granted Mr. Garipalli two RSU awards as of the date of the Closing, which collectively covers 22,284,655 shares of our Class B common stock that represent four percent (4%) of the number of shares of all classes of our common stock as of the Closing (together, the “Garipalli Management Plan RSUs”). The vesting schedule and other terms of the Garipalli Management Plan RSUs are described in the below sections entitled “</w:t>
      </w:r>
      <w:r>
        <w:rPr>
          <w:rFonts w:ascii="Times New Roman" w:cs="Times New Roman" w:eastAsia="Times New Roman" w:hAnsi="Times New Roman"/>
          <w:sz w:val="17"/>
          <w:szCs w:val="17"/>
          <w:i w:val="1"/>
          <w:iCs w:val="1"/>
          <w:color w:val="auto"/>
        </w:rPr>
        <w:t>—Management Incentive Plan—Garipalli Time-Based Award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 Incentive Plan—Garipalli Performance-Based Award</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If Mr. Garipalli’s employment is terminated by the company without cause, or by Mr. Garipalli for good reason (each term as defined in his employment agreement) during the period beginning one month prior to and ending 12 months following a change in control (as defined in the 2020 Plan) subject to his execution and non-revocation of a general release of claims in our favor and continued compliance with customary confidentiality and non-solicitation requirements, then, in addition to any accrued amounts, Mr. Garipalli will be entitled to receive full accelerated vesting of all his outstanding and unvested equity awards.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Mr. Garipalli’s employment agreement:</w:t>
      </w:r>
    </w:p>
    <w:p>
      <w:pPr>
        <w:spacing w:after="0" w:line="110" w:lineRule="exact"/>
        <w:rPr>
          <w:sz w:val="20"/>
          <w:szCs w:val="20"/>
          <w:color w:val="auto"/>
        </w:rPr>
      </w:pPr>
    </w:p>
    <w:p>
      <w:pPr>
        <w:ind w:left="1020" w:right="80"/>
        <w:spacing w:after="0" w:line="265" w:lineRule="auto"/>
        <w:rPr>
          <w:sz w:val="20"/>
          <w:szCs w:val="20"/>
          <w:color w:val="auto"/>
        </w:rPr>
      </w:pPr>
      <w:r>
        <w:rPr>
          <w:rFonts w:ascii="Times New Roman" w:cs="Times New Roman" w:eastAsia="Times New Roman" w:hAnsi="Times New Roman"/>
          <w:sz w:val="17"/>
          <w:szCs w:val="17"/>
          <w:color w:val="auto"/>
        </w:rPr>
        <w:t>“Cause” is generally defined to mean, subject to certain notice requirements and cure rights, Mr. Garipalli’s: (i) gross negligence or willful misconduct in the performance of his duties or violation of any written company policy, (ii) commission of any act of fraud, theft, embezzlement, financial dishonesty, misappropriation or other willful misconduct that has caused or is reasonably expected to result in injury to the company, (iii) conviction of, or pleading guilty or nolo contendere to, any felony or a lesser crime involving dishonesty or moral turpitude,</w:t>
      </w:r>
    </w:p>
    <w:p>
      <w:pPr>
        <w:ind w:left="1020" w:right="180" w:hanging="3"/>
        <w:spacing w:after="0" w:line="246" w:lineRule="auto"/>
        <w:tabs>
          <w:tab w:leader="none" w:pos="13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use (including being under the influence) or possession of illegal drugs on the premises of the company or while performing his duties, (v) unauthorized use or disclosure of any proprietary information or trade secrets of the company or any party to whom he owes an obligation of nondisclosure from his relationship with the company, or (vi) his material breach of any obligations under any written agreement with the company.</w:t>
      </w:r>
    </w:p>
    <w:p>
      <w:pPr>
        <w:spacing w:after="0" w:line="86" w:lineRule="exact"/>
        <w:rPr>
          <w:sz w:val="20"/>
          <w:szCs w:val="20"/>
          <w:color w:val="auto"/>
        </w:rPr>
      </w:pPr>
    </w:p>
    <w:p>
      <w:pPr>
        <w:ind w:left="1020" w:right="20"/>
        <w:spacing w:after="0" w:line="253" w:lineRule="auto"/>
        <w:rPr>
          <w:sz w:val="20"/>
          <w:szCs w:val="20"/>
          <w:color w:val="auto"/>
        </w:rPr>
      </w:pPr>
      <w:r>
        <w:rPr>
          <w:rFonts w:ascii="Times New Roman" w:cs="Times New Roman" w:eastAsia="Times New Roman" w:hAnsi="Times New Roman"/>
          <w:sz w:val="18"/>
          <w:szCs w:val="18"/>
          <w:color w:val="auto"/>
        </w:rPr>
        <w:t>“Good reason” is generally defined to mean, subject to certain notice requirements and cure rights: (i) a material reduction of his duties, authority or responsibilities relative to immediately prior to such reduction, provided that a reduction solely by virtue of the company being acquired and made part of a larger entity will not constitute “good reason,” (ii) a material reduction in base salary (except where applicable to all similarly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450"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right="40"/>
        <w:spacing w:after="0" w:line="258" w:lineRule="auto"/>
        <w:rPr>
          <w:sz w:val="20"/>
          <w:szCs w:val="20"/>
          <w:color w:val="auto"/>
        </w:rPr>
      </w:pPr>
      <w:r>
        <w:rPr>
          <w:rFonts w:ascii="Times New Roman" w:cs="Times New Roman" w:eastAsia="Times New Roman" w:hAnsi="Times New Roman"/>
          <w:sz w:val="18"/>
          <w:szCs w:val="18"/>
          <w:color w:val="auto"/>
        </w:rPr>
        <w:t>situated executive officers), provided, that a reduction of less than 10 percent will not be considered material, (iii) a material change in the geographic location of his primary work facility or location, provided, that a relocation of less than 50 miles from his then-present work location will not be considered material, or (v) a material breach by the company of a material provision of his employment agreement.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Andrew Toy</w:t>
      </w:r>
    </w:p>
    <w:p>
      <w:pPr>
        <w:spacing w:after="0" w:line="112" w:lineRule="exact"/>
        <w:rPr>
          <w:sz w:val="20"/>
          <w:szCs w:val="20"/>
          <w:color w:val="auto"/>
        </w:rPr>
      </w:pPr>
    </w:p>
    <w:p>
      <w:pPr>
        <w:ind w:right="380"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the Closing, on December 31, 2020, Clover entered into an employment agreement with Mr. Toy, which was assumed by Clover Health, pursuant to which Mr. Toy serves as Clover Health’s President and Chief Technology Officer and will report directly to Mr. Garipalli. Mr. Toy’s employment under the employment agreement is at-will.</w:t>
      </w:r>
    </w:p>
    <w:p>
      <w:pPr>
        <w:spacing w:after="0" w:line="1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7"/>
          <w:szCs w:val="17"/>
          <w:color w:val="auto"/>
        </w:rPr>
        <w:t>Under his employment agreement, Mr. Toy will receive an initial annual base salary of $450,000 and will be eligible to receive an annual cash incentive bonus targeted at 100 percent (100%) of Mr. Toy’s then-current annual base salary. The actual amount of any such bonus will be determined by reference to the attainment of applicable Clover Health and/or individual performance objectives, as determined by the board of directors or compensation committee.</w:t>
      </w:r>
    </w:p>
    <w:p>
      <w:pPr>
        <w:spacing w:after="0" w:line="2" w:lineRule="exact"/>
        <w:rPr>
          <w:sz w:val="20"/>
          <w:szCs w:val="20"/>
          <w:color w:val="auto"/>
        </w:rPr>
      </w:pPr>
    </w:p>
    <w:p>
      <w:pPr>
        <w:ind w:right="960"/>
        <w:spacing w:after="0" w:line="279" w:lineRule="auto"/>
        <w:rPr>
          <w:sz w:val="20"/>
          <w:szCs w:val="20"/>
          <w:color w:val="auto"/>
        </w:rPr>
      </w:pPr>
      <w:r>
        <w:rPr>
          <w:rFonts w:ascii="Times New Roman" w:cs="Times New Roman" w:eastAsia="Times New Roman" w:hAnsi="Times New Roman"/>
          <w:sz w:val="17"/>
          <w:szCs w:val="17"/>
          <w:color w:val="auto"/>
        </w:rPr>
        <w:t>Mr. Toy’s annual base salary and cash incentive bonus target percentage may be adjusted in the future at the discretion of the board of directors or compensation committee. Mr. Toy is also eligible to participate in the health, welfare and fringe benefit plans provided by us to our employees.</w:t>
      </w:r>
    </w:p>
    <w:p>
      <w:pPr>
        <w:spacing w:after="0" w:line="163" w:lineRule="exact"/>
        <w:rPr>
          <w:sz w:val="20"/>
          <w:szCs w:val="20"/>
          <w:color w:val="auto"/>
        </w:rPr>
      </w:pPr>
    </w:p>
    <w:p>
      <w:pPr>
        <w:ind w:right="260" w:firstLine="449"/>
        <w:spacing w:after="0" w:line="273" w:lineRule="auto"/>
        <w:rPr>
          <w:sz w:val="20"/>
          <w:szCs w:val="20"/>
          <w:color w:val="auto"/>
        </w:rPr>
      </w:pPr>
      <w:r>
        <w:rPr>
          <w:rFonts w:ascii="Times New Roman" w:cs="Times New Roman" w:eastAsia="Times New Roman" w:hAnsi="Times New Roman"/>
          <w:sz w:val="17"/>
          <w:szCs w:val="17"/>
          <w:color w:val="auto"/>
        </w:rPr>
        <w:t>Pursuant to the employment agreement, we granted Mr. Toy, an RSU award under the Management Incentive Plan as of the date of the Closing that covers 11,142,328 shares of our Class B common stock (the “Toy Management Plan RSUs”). The vesting schedule and other terms of the Toy Management Plan RSUs are described in the below section entitled “</w:t>
      </w:r>
      <w:r>
        <w:rPr>
          <w:rFonts w:ascii="Times New Roman" w:cs="Times New Roman" w:eastAsia="Times New Roman" w:hAnsi="Times New Roman"/>
          <w:sz w:val="17"/>
          <w:szCs w:val="17"/>
          <w:i w:val="1"/>
          <w:iCs w:val="1"/>
          <w:color w:val="auto"/>
        </w:rPr>
        <w:t>—Management Incentive Plan—Toy Performance-Based Award</w:t>
      </w:r>
      <w:r>
        <w:rPr>
          <w:rFonts w:ascii="Times New Roman" w:cs="Times New Roman" w:eastAsia="Times New Roman" w:hAnsi="Times New Roman"/>
          <w:sz w:val="17"/>
          <w:szCs w:val="17"/>
          <w:color w:val="auto"/>
        </w:rPr>
        <w:t>.” Mr. Toy will also be eligible for future equity awards from us under the 2020 Plan as determined by the board of directors or the compensation committee in their discretion.</w:t>
      </w:r>
    </w:p>
    <w:p>
      <w:pPr>
        <w:spacing w:after="0" w:line="168"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8"/>
          <w:szCs w:val="18"/>
          <w:color w:val="auto"/>
        </w:rPr>
        <w:t>Effective as of the Closing Date, Mr. Toy also received vesting in full of his option granted on February 4, 2020 for 3,669,607 shares of Clover common stock (on an as-converted basis) under the 2014 Plan.</w:t>
      </w:r>
    </w:p>
    <w:p>
      <w:pPr>
        <w:spacing w:after="0" w:line="169" w:lineRule="exact"/>
        <w:rPr>
          <w:sz w:val="20"/>
          <w:szCs w:val="20"/>
          <w:color w:val="auto"/>
        </w:rPr>
      </w:pPr>
    </w:p>
    <w:p>
      <w:pPr>
        <w:ind w:right="60" w:firstLine="449"/>
        <w:spacing w:after="0" w:line="267" w:lineRule="auto"/>
        <w:rPr>
          <w:sz w:val="20"/>
          <w:szCs w:val="20"/>
          <w:color w:val="auto"/>
        </w:rPr>
      </w:pPr>
      <w:r>
        <w:rPr>
          <w:rFonts w:ascii="Times New Roman" w:cs="Times New Roman" w:eastAsia="Times New Roman" w:hAnsi="Times New Roman"/>
          <w:sz w:val="17"/>
          <w:szCs w:val="17"/>
          <w:color w:val="auto"/>
        </w:rPr>
        <w:t>If Mr. Toy’s employment is terminated by us without cause, or by Mr. Toy for good reason (each term as defined in his employment agreement), subject to his execution and non-revocation of a general release of claims in our favor and continued compliance with customary confidentiality and non-solicitation requirements, then, in addition to any accrued amounts, Mr. Toy will be entitled to receive the following severance payments and benefits: (i) an amount equal to Mr. Toy’s annual base salary then in effect and (ii) continued health care coverage for 12 months after the termination date. In addition, if Mr. Toy terminates his employment due to the failure to promote him to Chief Executive Officer immediately following the resignation or termination of Mr. Garipalli as our Chief Executive Officer, he will receive full accelerated vesting of all outstanding and unvested equity awards of Clover Health.</w:t>
      </w:r>
    </w:p>
    <w:p>
      <w:pPr>
        <w:spacing w:after="0" w:line="176"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7"/>
          <w:szCs w:val="17"/>
          <w:color w:val="auto"/>
        </w:rPr>
        <w:t>However, if either such termination of employment occurs during the period beginning one month prior to and ending 12 months following a change in control (as defined in the 2020 Plan), subject to his execution and non-revocation a general release of claims in our favor and continued compliance with restrictive covenants, then, in addition to any accrued amounts, Mr. Toy instead will be entitled to receive the following severance payments and benefits:</w:t>
      </w:r>
    </w:p>
    <w:p>
      <w:pPr>
        <w:spacing w:after="0" w:line="2" w:lineRule="exact"/>
        <w:rPr>
          <w:sz w:val="20"/>
          <w:szCs w:val="20"/>
          <w:color w:val="auto"/>
        </w:rPr>
      </w:pPr>
    </w:p>
    <w:p>
      <w:pPr>
        <w:ind w:right="800" w:firstLine="6"/>
        <w:spacing w:after="0" w:line="250" w:lineRule="auto"/>
        <w:tabs>
          <w:tab w:leader="none" w:pos="2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and one-half times Mr. Toy’s annual base salary then in effect, (ii) continued health care coverage for 18 months after the termination date and (iii) full accelerated vesting of all outstanding and unvested equity awards of Clover Health.</w:t>
      </w:r>
    </w:p>
    <w:p>
      <w:pPr>
        <w:spacing w:after="0" w:line="186" w:lineRule="exact"/>
        <w:rPr>
          <w:sz w:val="20"/>
          <w:szCs w:val="20"/>
          <w:color w:val="auto"/>
        </w:rPr>
      </w:pPr>
    </w:p>
    <w:p>
      <w:pPr>
        <w:ind w:right="420" w:firstLine="449"/>
        <w:spacing w:after="0" w:line="270" w:lineRule="auto"/>
        <w:rPr>
          <w:sz w:val="20"/>
          <w:szCs w:val="20"/>
          <w:color w:val="auto"/>
        </w:rPr>
      </w:pPr>
      <w:r>
        <w:rPr>
          <w:rFonts w:ascii="Times New Roman" w:cs="Times New Roman" w:eastAsia="Times New Roman" w:hAnsi="Times New Roman"/>
          <w:sz w:val="18"/>
          <w:szCs w:val="18"/>
          <w:color w:val="auto"/>
        </w:rPr>
        <w:t>In Mr. Toy’s employment agreement, “cause” has the same definition as Mr. Garipalli’s described above. “Good reason,” for purposes of Mr. Toy’s employment agreement is defined as follows:</w:t>
      </w:r>
    </w:p>
    <w:p>
      <w:pPr>
        <w:spacing w:after="0" w:line="63" w:lineRule="exact"/>
        <w:rPr>
          <w:sz w:val="20"/>
          <w:szCs w:val="20"/>
          <w:color w:val="auto"/>
        </w:rPr>
      </w:pPr>
    </w:p>
    <w:p>
      <w:pPr>
        <w:ind w:left="1020" w:right="160"/>
        <w:spacing w:after="0" w:line="258" w:lineRule="auto"/>
        <w:rPr>
          <w:sz w:val="20"/>
          <w:szCs w:val="20"/>
          <w:color w:val="auto"/>
        </w:rPr>
      </w:pPr>
      <w:r>
        <w:rPr>
          <w:rFonts w:ascii="Times New Roman" w:cs="Times New Roman" w:eastAsia="Times New Roman" w:hAnsi="Times New Roman"/>
          <w:sz w:val="18"/>
          <w:szCs w:val="18"/>
          <w:color w:val="auto"/>
        </w:rPr>
        <w:t>“Good reason” is generally defined to mean, subject to certain notice requirements and cure rights: (i) the failure to promote or appoint him, in good faith, to Chief Executive Officer, immediately after the resignation or termination of Mr. Garipalli as Chief Executive Officer, (ii) a material reduction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450" w:right="3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right="40"/>
        <w:spacing w:after="0" w:line="251" w:lineRule="auto"/>
        <w:rPr>
          <w:sz w:val="20"/>
          <w:szCs w:val="20"/>
          <w:color w:val="auto"/>
        </w:rPr>
      </w:pPr>
      <w:r>
        <w:rPr>
          <w:rFonts w:ascii="Times New Roman" w:cs="Times New Roman" w:eastAsia="Times New Roman" w:hAnsi="Times New Roman"/>
          <w:sz w:val="18"/>
          <w:szCs w:val="18"/>
          <w:color w:val="auto"/>
        </w:rPr>
        <w:t>his duties, authority or responsibilities relative to immediately prior to such reduction, (iii) any change of title (unless to Chief Executive Officer following the resignation of Mr. Garipalli), including a title change related to an acquisition by a larger entity, (iv) a material reduction in his base salary (except where applicable to all similarly situated executive officers), provided, that a reduction of less than ten percent will not be considered material, (v) any requirement for him to report to a work facility or location other than his home office or required business travel, or (iv) a material breach by the company of a material provision of his employment agreement.</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Mr. Garapalli’s and Mr. Toy’s employment agreements both require customary confidentiality, invention assignment and non-solicitation agreements, and include “best pay” provisions under Section 280G of the Code, pursuant to which any parachute payments that become payable to Mr. Garipalli or Mr. Toy will either be paid in full or reduced such that the payments are not subject to the excise tax under Section 4999 of the Code, whichever results in the better after-tax treatment.</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Gia Lee</w:t>
      </w:r>
    </w:p>
    <w:p>
      <w:pPr>
        <w:spacing w:after="0" w:line="112" w:lineRule="exact"/>
        <w:rPr>
          <w:sz w:val="20"/>
          <w:szCs w:val="20"/>
          <w:color w:val="auto"/>
        </w:rPr>
      </w:pPr>
    </w:p>
    <w:p>
      <w:pPr>
        <w:jc w:val="both"/>
        <w:ind w:right="20" w:firstLine="449"/>
        <w:spacing w:after="0" w:line="253" w:lineRule="auto"/>
        <w:rPr>
          <w:sz w:val="20"/>
          <w:szCs w:val="20"/>
          <w:color w:val="auto"/>
        </w:rPr>
      </w:pPr>
      <w:r>
        <w:rPr>
          <w:rFonts w:ascii="Times New Roman" w:cs="Times New Roman" w:eastAsia="Times New Roman" w:hAnsi="Times New Roman"/>
          <w:sz w:val="18"/>
          <w:szCs w:val="18"/>
          <w:color w:val="auto"/>
        </w:rPr>
        <w:t>We expect to enter into an employment agreement with Ms. Lee, pursuant to which Ms. Lee will serve as our General Counsel and will report directly to our Chief Executive Officer. We anticipate her agreement will establish, among other things, her base salary, target bonus opportunity, and standard employee benefits. Until then, the terms of Ms. Lee’s current offer letter as described above in “—</w:t>
      </w:r>
      <w:r>
        <w:rPr>
          <w:rFonts w:ascii="Times New Roman" w:cs="Times New Roman" w:eastAsia="Times New Roman" w:hAnsi="Times New Roman"/>
          <w:sz w:val="18"/>
          <w:szCs w:val="18"/>
          <w:i w:val="1"/>
          <w:iCs w:val="1"/>
          <w:color w:val="auto"/>
        </w:rPr>
        <w:t>Executive Compensation Arrangements in Effect Prior to the Closing</w:t>
      </w:r>
      <w:r>
        <w:rPr>
          <w:rFonts w:ascii="Times New Roman" w:cs="Times New Roman" w:eastAsia="Times New Roman" w:hAnsi="Times New Roman"/>
          <w:sz w:val="18"/>
          <w:szCs w:val="18"/>
          <w:color w:val="auto"/>
        </w:rPr>
        <w:t>” will continue to apply.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14"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On October 5, 2020, SCH’s board of directors adopted, and on January 6, 2021, our stockholders approved the 2020 Equity Incentive Plan (the “2020 Plan”). The 2020 Plan became effective on January 6, 2021.</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2"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The 2020 Plan is intended to (i) attract and retain the best available personnel to ensure our success and accomplish our goals; (ii) incentivize employees, directors and independent contractors with long-term equity-based compensation to align their interests with our shareholders, and (iii) promote the success of our business. The 2020 Plan is intended to replace the 2014 Plan. Clover board of directors terminated the 2014 Plan, effective as of the Closing Date. No additional stock awards will be granted under the 2014 Plan, although all outstanding stock awards granted under the 2014 Plan immediately prior to the Closing were assumed by us and continue to be subject to the terms and conditions as set forth in the agreements evidencing such stock awards and the terms of the 2014 Plan.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Types of Stock Awards</w:t>
      </w:r>
    </w:p>
    <w:p>
      <w:pPr>
        <w:spacing w:after="0" w:line="112" w:lineRule="exact"/>
        <w:rPr>
          <w:sz w:val="20"/>
          <w:szCs w:val="20"/>
          <w:color w:val="auto"/>
        </w:rPr>
      </w:pPr>
    </w:p>
    <w:p>
      <w:pPr>
        <w:ind w:right="160" w:firstLine="449"/>
        <w:spacing w:after="0" w:line="270" w:lineRule="auto"/>
        <w:rPr>
          <w:sz w:val="20"/>
          <w:szCs w:val="20"/>
          <w:color w:val="auto"/>
        </w:rPr>
      </w:pPr>
      <w:r>
        <w:rPr>
          <w:rFonts w:ascii="Times New Roman" w:cs="Times New Roman" w:eastAsia="Times New Roman" w:hAnsi="Times New Roman"/>
          <w:sz w:val="18"/>
          <w:szCs w:val="18"/>
          <w:color w:val="auto"/>
        </w:rPr>
        <w:t>The 2020 Plan permits the grant of incentive stock options, nonstatutory stock options, stock appreciation rights (“SARs”), restricted stock, RSUs, and stock bonus awards (all such types of awards, collectively, “stock awards”).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Number of Shares</w:t>
      </w:r>
    </w:p>
    <w:p>
      <w:pPr>
        <w:spacing w:after="0" w:line="216"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Subject to adjustments as set forth in the 2020 Plan, the maximum aggregate number of shares of our Class A common stock that may be issued under the 2020 Plan is 30,641,401 shares. The shares may be authorized, but unissued, or reacquired Class A common stock. Furthermore, subject to adjustments as set forth in the 2020 Plan, in no event will the maximum aggregate number of shares that may be issued under the 2020 Plan pursuant to incentive stock options exceed the number set forth above.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450" w:right="3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number of shares available for issuance under the 2020 Plan will be increased on the first day of each fiscal year beginning with the 2022 fiscal year in an amount equal to the lessor of (i) seven percent (7%) of the outstanding shares on the last day of the immediately preceding fiscal year and (ii) such number of shares determined by the board of directors; provided that for each fiscal year beginning with the 2025 fiscal year through the fiscal year that includes the expiration date of the 2020 Plan, each such increase shall be reduced to the lessor of five percent (5%) of the outstanding shares on the last day of the immediately preceding fiscal year or such number of shares determined by our board of directors.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Lapsed Awards</w:t>
      </w:r>
    </w:p>
    <w:p>
      <w:pPr>
        <w:spacing w:after="0" w:line="110" w:lineRule="exact"/>
        <w:rPr>
          <w:sz w:val="20"/>
          <w:szCs w:val="20"/>
          <w:color w:val="auto"/>
        </w:rPr>
      </w:pPr>
    </w:p>
    <w:p>
      <w:pPr>
        <w:ind w:right="40" w:firstLine="449"/>
        <w:spacing w:after="0" w:line="264" w:lineRule="auto"/>
        <w:rPr>
          <w:sz w:val="20"/>
          <w:szCs w:val="20"/>
          <w:color w:val="auto"/>
        </w:rPr>
      </w:pPr>
      <w:r>
        <w:rPr>
          <w:rFonts w:ascii="Times New Roman" w:cs="Times New Roman" w:eastAsia="Times New Roman" w:hAnsi="Times New Roman"/>
          <w:sz w:val="17"/>
          <w:szCs w:val="17"/>
          <w:color w:val="auto"/>
        </w:rPr>
        <w:t>If all or any part of a stock award expires, lapses or is terminated, exchanged for or settled in cash, surrendered, repurchased, or cancelled without having been fully exercised or forfeited, in any case, in a manner that results in us acquiring shares covered by the stock award at a price not greater than the price (as adjusted pursuant to the 2020 Plan) paid by the participant for such shares or not issuing any shares covered by the stock award, the unused shares covered by the stock award will, as applicable, become or again be available for stock award grants under the 2020 Plan. The payment of dividend equivalents in cash in conjunction with any outstanding stock awards shall not count against the share limit set forth in the 2020 Plan. Notwithstanding anything to the contrary contained herein, the following shares shall not be added to the shares authorized for grant under the 2020 Plan and shall not be available for future grants of stock awards: (i) shares subject to a SAR that are not issued in connection with the stock settlement of the SAR on exercise thereof; and (ii) shares purchased on the open market with the cash proceeds from the exercise of stock options; and (iii) shares delivered (either by actual delivery or attestation) to us by a participant to satisfy the applicable exercise or purchase price of a stock award and/or to satisfy any applicable tax withholding obligation with respect to a stock award (including shares retained by us from the stock award being exercised or purchased and/or creating the tax obligation).</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Assumption or Substitution of Awards by the Company</w:t>
      </w:r>
    </w:p>
    <w:p>
      <w:pPr>
        <w:spacing w:after="0" w:line="110"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The Plan Administrator (as defined below), from time to time, may determine to substitute or assume outstanding awards granted by another company, in connection with an acquisition, merger or consolidation of such other company, by either: (a) assuming such award under the 2020 Plan or (b) granting an award under the 2020 Plan in substitution of such other company’s award. Any awards that are assumed or substituted under the 2020 Plan will not reduce the number of shares authorized for grant under the Plan or authorized for grant to a participant in any fiscal year.</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2" w:lineRule="exact"/>
        <w:rPr>
          <w:sz w:val="20"/>
          <w:szCs w:val="20"/>
          <w:color w:val="auto"/>
        </w:rPr>
      </w:pPr>
    </w:p>
    <w:p>
      <w:pPr>
        <w:ind w:right="80" w:firstLine="449"/>
        <w:spacing w:after="0" w:line="270" w:lineRule="auto"/>
        <w:rPr>
          <w:sz w:val="20"/>
          <w:szCs w:val="20"/>
          <w:color w:val="auto"/>
        </w:rPr>
      </w:pPr>
      <w:r>
        <w:rPr>
          <w:rFonts w:ascii="Times New Roman" w:cs="Times New Roman" w:eastAsia="Times New Roman" w:hAnsi="Times New Roman"/>
          <w:sz w:val="18"/>
          <w:szCs w:val="18"/>
          <w:color w:val="auto"/>
        </w:rPr>
        <w:t>Employees, directors and independent contractors of us or our affiliates are all eligible to participate in the 2020 Plan. Incentive stock options may only be granted to employees.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2" w:lineRule="exact"/>
        <w:rPr>
          <w:sz w:val="20"/>
          <w:szCs w:val="20"/>
          <w:color w:val="auto"/>
        </w:rPr>
      </w:pPr>
    </w:p>
    <w:p>
      <w:pPr>
        <w:ind w:right="60" w:firstLine="449"/>
        <w:spacing w:after="0" w:line="273" w:lineRule="auto"/>
        <w:rPr>
          <w:sz w:val="20"/>
          <w:szCs w:val="20"/>
          <w:color w:val="auto"/>
        </w:rPr>
      </w:pPr>
      <w:r>
        <w:rPr>
          <w:rFonts w:ascii="Times New Roman" w:cs="Times New Roman" w:eastAsia="Times New Roman" w:hAnsi="Times New Roman"/>
          <w:sz w:val="17"/>
          <w:szCs w:val="17"/>
          <w:color w:val="auto"/>
        </w:rPr>
        <w:t>The 2020 Plan must be administered by our board of directors or a committee thereof, which committee will be constituted to satisfy applicable laws (the “Plan Administrator”). Awards granted to an officer or director of Clover Health or any other person whose transactions in our Class A common stock are subject to Section 16 of the Exchange Act (each, an “Insider”) must be approved by two or more “non-employee directors” of the board of directors (as defined in the regulations promulgated under Section 16 of the Exchange Act). Currently, our compensation committee serves as the Plan Administrator.</w:t>
      </w:r>
    </w:p>
    <w:p>
      <w:pPr>
        <w:spacing w:after="0" w:line="168"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Subject to the terms of the 2020 Plan, the Plan Administrator has the authority, in its discretion, to (i) determine the fair market value in accordance with the 2020 Plan; (ii) select the service providers to whom stock awards may be granted under the 2020 Plan; (iii) determine the number of shares to be covered by each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450" w:right="3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stock award granted under the 2020 Plan; (iv) approve forms of stock award agreements for use under the 2020 Plan; (v) determine the terms and conditions, not inconsistent with the terms of the 2020 Plan, of any stock award granted thereunder; (vi) institute and determine the terms and conditions of an exchange program under the terms of the 2020 Plan (subject to shareholder approval); (vii) construe and interpret the terms of the 2020 Plan and stock awards granted pursuant to the 2020 Plan; (viii) correct any defect, supply any omission or reconcile any inconsistency in the 2020 Plan, any stock award or any stock award agreement; (ix) prescribe, amend and rescind rules and regulations relating to the 2020 Plan; (x) modify or amend each stock award (subject to the terms of the 2020 Plan); (xi) adjust performance goals applicable to a participant with respect to a stock award to take into account changes in applicable laws or in accounting or tax rules, or such other extraordinary events or circumstances; (xii) allow participants to satisfy tax withholding obligations in such manner as prescribed in the 2020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2020 Plan.</w:t>
      </w:r>
    </w:p>
    <w:p>
      <w:pPr>
        <w:spacing w:after="0" w:line="176"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8"/>
          <w:szCs w:val="18"/>
          <w:color w:val="auto"/>
        </w:rPr>
        <w:t>However, to the extent permitted by applicable law and listing requirements, our board of directors or a committee thereof may delegate to one or more of our officers who may be (but are not required to be) Insiders, the authority to (a) designate employees who are not Insiders to be recipients of stock awards and determine the number of shares subject to stock awards granted to such designated employees, subject to certain restrictions that are set forth in the 2020 Plan and (b) take any and all actions on behalf of our board of directors or a committee thereof other than any actions that affect the amount or form of compensation of Insiders or have material tax, accounting, financial, human resource or legal consequences to us or our affiliates.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2" w:lineRule="exact"/>
        <w:rPr>
          <w:sz w:val="20"/>
          <w:szCs w:val="20"/>
          <w:color w:val="auto"/>
        </w:rPr>
      </w:pPr>
    </w:p>
    <w:p>
      <w:pPr>
        <w:jc w:val="both"/>
        <w:ind w:right="360" w:firstLine="449"/>
        <w:spacing w:after="0" w:line="253" w:lineRule="auto"/>
        <w:rPr>
          <w:sz w:val="20"/>
          <w:szCs w:val="20"/>
          <w:color w:val="auto"/>
        </w:rPr>
      </w:pPr>
      <w:r>
        <w:rPr>
          <w:rFonts w:ascii="Times New Roman" w:cs="Times New Roman" w:eastAsia="Times New Roman" w:hAnsi="Times New Roman"/>
          <w:sz w:val="18"/>
          <w:szCs w:val="18"/>
          <w:color w:val="auto"/>
        </w:rPr>
        <w:t>Each stock option must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must be treated as nonstatutory stock options. Incentive stock options may only be granted to employees.</w:t>
      </w:r>
    </w:p>
    <w:p>
      <w:pPr>
        <w:spacing w:after="0" w:line="185"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term of each stock option must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of our affiliates, the term of the incentive stock option will be 5 years from the date of grant or such shorter term as may be provided in the stock award agreement.</w:t>
      </w:r>
    </w:p>
    <w:p>
      <w:pPr>
        <w:spacing w:after="0" w:line="185"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of our affiliates,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and in a manner consistent with, Section 424(a) of the Code.</w:t>
      </w:r>
    </w:p>
    <w:p>
      <w:pPr>
        <w:spacing w:after="0" w:line="193" w:lineRule="exact"/>
        <w:rPr>
          <w:sz w:val="20"/>
          <w:szCs w:val="20"/>
          <w:color w:val="auto"/>
        </w:rPr>
      </w:pPr>
    </w:p>
    <w:p>
      <w:pPr>
        <w:ind w:right="160" w:firstLine="449"/>
        <w:spacing w:after="0" w:line="270" w:lineRule="auto"/>
        <w:rPr>
          <w:sz w:val="20"/>
          <w:szCs w:val="20"/>
          <w:color w:val="auto"/>
        </w:rPr>
      </w:pPr>
      <w:r>
        <w:rPr>
          <w:rFonts w:ascii="Times New Roman" w:cs="Times New Roman" w:eastAsia="Times New Roman" w:hAnsi="Times New Roman"/>
          <w:sz w:val="18"/>
          <w:szCs w:val="18"/>
          <w:color w:val="auto"/>
        </w:rPr>
        <w:t>At the time a stock option is granted, the Plan Administrator will fix the period within which the stock option may be exercised and will determine any conditions that must be satisfied before the stock option may be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450" w:right="3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exercised. The Plan Administrator will also determine the acceptable form of consideration for exercising a stock option, including the method of payment. In the case of an incentive stock option, the Plan Administrator will determine the acceptable form of consideration at the time of grant.</w:t>
      </w:r>
    </w:p>
    <w:p>
      <w:pPr>
        <w:spacing w:after="0" w:line="169"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If a participant ceases to be a service provider other than for “Cause” (as defined in the 2020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(as defined in the 2020 Plan), and three months following a termination for any other reason. Any outstanding stock option (including any vested portion thereof) held by a participant will immediately terminate in its entirety upon the participant being first notified of his or her termination for Cause and the participant will be prohibited from exercising his or her stock option from and after the date of such termination.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Appreciation Rights (SARs)</w:t>
      </w:r>
    </w:p>
    <w:p>
      <w:pPr>
        <w:spacing w:after="0" w:line="112" w:lineRule="exact"/>
        <w:rPr>
          <w:sz w:val="20"/>
          <w:szCs w:val="20"/>
          <w:color w:val="auto"/>
        </w:rPr>
      </w:pPr>
    </w:p>
    <w:p>
      <w:pPr>
        <w:ind w:right="140" w:firstLine="449"/>
        <w:spacing w:after="0" w:line="251" w:lineRule="auto"/>
        <w:rPr>
          <w:sz w:val="20"/>
          <w:szCs w:val="20"/>
          <w:color w:val="auto"/>
        </w:rPr>
      </w:pPr>
      <w:r>
        <w:rPr>
          <w:rFonts w:ascii="Times New Roman" w:cs="Times New Roman" w:eastAsia="Times New Roman" w:hAnsi="Times New Roman"/>
          <w:sz w:val="18"/>
          <w:szCs w:val="18"/>
          <w:color w:val="auto"/>
        </w:rPr>
        <w:t>The Plan Administrator determines the terms and conditions of each SAR, provided that the exercise price for each SAR must be no less than 100% of the fair market value of the underlying shares of our Class A common stock on the date of grant. Upon exercise of a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in shares of equivalent value, or in some combination thereof, as determined by the Plan Administrator. SARs are exercisable at the times and on the terms established by the Plan Administrator.</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Restricted Stock and RSUs</w:t>
      </w:r>
    </w:p>
    <w:p>
      <w:pPr>
        <w:spacing w:after="0" w:line="112"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Restricted stock awards are grants of shares of our Class A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our Class A common stock. Upon meeting the applicable vesting criteria, the participant will be entitled to receive a payout for his or her earned RSUs as determined by the Plan Administrator in the form of cash, shares, or a combination of both.</w:t>
      </w:r>
    </w:p>
    <w:p>
      <w:pPr>
        <w:spacing w:after="0" w:line="187" w:lineRule="exact"/>
        <w:rPr>
          <w:sz w:val="20"/>
          <w:szCs w:val="20"/>
          <w:color w:val="auto"/>
        </w:rPr>
      </w:pPr>
    </w:p>
    <w:p>
      <w:pPr>
        <w:ind w:right="380" w:firstLine="449"/>
        <w:spacing w:after="0" w:line="270" w:lineRule="auto"/>
        <w:rPr>
          <w:sz w:val="20"/>
          <w:szCs w:val="20"/>
          <w:color w:val="auto"/>
        </w:rPr>
      </w:pPr>
      <w:r>
        <w:rPr>
          <w:rFonts w:ascii="Times New Roman" w:cs="Times New Roman" w:eastAsia="Times New Roman" w:hAnsi="Times New Roman"/>
          <w:sz w:val="18"/>
          <w:szCs w:val="18"/>
          <w:color w:val="auto"/>
        </w:rPr>
        <w:t>In determining whether restricted stock or RSUs should be granted, and/or the vesting schedule for such a stock award, the Plan Administrator may impose whatever conditions on vesting as it determines to be appropriate.</w:t>
      </w:r>
    </w:p>
    <w:p>
      <w:pPr>
        <w:spacing w:after="0" w:line="169"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shares of restricted stock with respect to which they were paid.</w:t>
      </w:r>
    </w:p>
    <w:p>
      <w:pPr>
        <w:spacing w:after="0" w:line="185"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Bonus Awards</w:t>
      </w:r>
    </w:p>
    <w:p>
      <w:pPr>
        <w:spacing w:after="0" w:line="112" w:lineRule="exact"/>
        <w:rPr>
          <w:sz w:val="20"/>
          <w:szCs w:val="20"/>
          <w:color w:val="auto"/>
        </w:rPr>
      </w:pPr>
    </w:p>
    <w:p>
      <w:pPr>
        <w:ind w:right="180" w:firstLine="449"/>
        <w:spacing w:after="0" w:line="270" w:lineRule="auto"/>
        <w:rPr>
          <w:sz w:val="20"/>
          <w:szCs w:val="20"/>
          <w:color w:val="auto"/>
        </w:rPr>
      </w:pPr>
      <w:r>
        <w:rPr>
          <w:rFonts w:ascii="Times New Roman" w:cs="Times New Roman" w:eastAsia="Times New Roman" w:hAnsi="Times New Roman"/>
          <w:sz w:val="18"/>
          <w:szCs w:val="18"/>
          <w:color w:val="auto"/>
        </w:rPr>
        <w:t>A stock bonus award is an award of shares to an eligible person without a purchase price that is not subject to any restrictions. The Plan Administrator will determine the number of shares to be awarded to the participant</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20"/>
          </w:cols>
          <w:pgMar w:left="320" w:top="450" w:right="3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under a stock bonus award. A stock bonus award may be paid in cash, whole shares, or a combination thereof, based on the fair market value of the shares subject to the stock bonus award on the date of payment, as determined in the sole discretion of the Plan Administrator.</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12"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The Plan Administrator may grant stock options, SARs, restricted stock and RSUs that are subject to the satisfaction of specified performance criteria. The Plan Administrator determines the terms surrounding performance awards, including the required levels of performance with respect to specified business criteria (including any adjustment(s) thereto that will be applied in determining the achievement of such performance criteria), the corresponding amounts payable upon achievement of such levels of performance, and the termination and forfeiture provisions; provided that all performance criteria must be determined when the achievement of such criteria remains substantially uncertain.</w:t>
      </w:r>
    </w:p>
    <w:p>
      <w:pPr>
        <w:spacing w:after="0" w:line="187" w:lineRule="exact"/>
        <w:rPr>
          <w:sz w:val="20"/>
          <w:szCs w:val="20"/>
          <w:color w:val="auto"/>
        </w:rPr>
      </w:pPr>
    </w:p>
    <w:p>
      <w:pPr>
        <w:ind w:right="20" w:firstLine="449"/>
        <w:spacing w:after="0" w:line="263" w:lineRule="auto"/>
        <w:rPr>
          <w:sz w:val="20"/>
          <w:szCs w:val="20"/>
          <w:color w:val="auto"/>
        </w:rPr>
      </w:pPr>
      <w:r>
        <w:rPr>
          <w:rFonts w:ascii="Times New Roman" w:cs="Times New Roman" w:eastAsia="Times New Roman" w:hAnsi="Times New Roman"/>
          <w:sz w:val="17"/>
          <w:szCs w:val="17"/>
          <w:color w:val="auto"/>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w:t>
      </w:r>
    </w:p>
    <w:p>
      <w:pPr>
        <w:spacing w:after="0" w:line="4" w:lineRule="exact"/>
        <w:rPr>
          <w:sz w:val="20"/>
          <w:szCs w:val="20"/>
          <w:color w:val="auto"/>
        </w:rPr>
      </w:pPr>
    </w:p>
    <w:p>
      <w:pPr>
        <w:ind w:right="200" w:firstLine="6"/>
        <w:spacing w:after="0" w:line="259" w:lineRule="auto"/>
        <w:tabs>
          <w:tab w:leader="none" w:pos="33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raising of financing or fundraising; (11) project financing; (12) revenue backlog; (13) gross margin; (14) 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w:t>
      </w:r>
    </w:p>
    <w:p>
      <w:pPr>
        <w:spacing w:after="0" w:line="1" w:lineRule="exact"/>
        <w:rPr>
          <w:rFonts w:ascii="Times New Roman" w:cs="Times New Roman" w:eastAsia="Times New Roman" w:hAnsi="Times New Roman"/>
          <w:sz w:val="17"/>
          <w:szCs w:val="17"/>
          <w:color w:val="auto"/>
        </w:rPr>
      </w:pPr>
    </w:p>
    <w:p>
      <w:pPr>
        <w:ind w:right="20" w:firstLine="6"/>
        <w:spacing w:after="0" w:line="246" w:lineRule="auto"/>
        <w:tabs>
          <w:tab w:leader="none" w:pos="3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warranty and/or guarantee claims; (19) stock price or total stockholder return; (20) 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spacing w:after="0" w:line="190" w:lineRule="exact"/>
        <w:rPr>
          <w:sz w:val="20"/>
          <w:szCs w:val="20"/>
          <w:color w:val="auto"/>
        </w:rPr>
      </w:pPr>
    </w:p>
    <w:p>
      <w:pPr>
        <w:ind w:right="280" w:firstLine="449"/>
        <w:spacing w:after="0" w:line="250" w:lineRule="auto"/>
        <w:rPr>
          <w:sz w:val="20"/>
          <w:szCs w:val="20"/>
          <w:color w:val="auto"/>
        </w:rPr>
      </w:pPr>
      <w:r>
        <w:rPr>
          <w:rFonts w:ascii="Times New Roman" w:cs="Times New Roman" w:eastAsia="Times New Roman" w:hAnsi="Times New Roman"/>
          <w:sz w:val="18"/>
          <w:szCs w:val="18"/>
          <w:color w:val="auto"/>
        </w:rPr>
        <w:t>Performance goals may differ from participant to participant, performance period to performance period and from stock award to stock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the performance of us as a whole or against any of our affiliate(s), or a particular segment(s), a business unit(s) or a product(s) of us or individual project company, (v) on a pre-tax or after-tax basis, (vi) on a GAAP or non-GAAP basis, and/or (vii) using an actual foreign exchange rate or on a foreign exchange neutral basis.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Outside Director Limitations</w:t>
      </w:r>
    </w:p>
    <w:p>
      <w:pPr>
        <w:spacing w:after="0" w:line="11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Stock awards granted during a single fiscal year under the 2020 Plan or otherwise, taken together with any cash fees paid during such fiscal year for services on the board of directors, will not exceed $1,000,000 in total value for any outside director serving as the lead director of the board of directors or chair of the board of directors and $750,000 in total value for any other outside director (calculating the value of any such stock awards based on the grant date fair value of such stock awards for financial reporting purposes). Such applicable limit will include the value of any stock awards that are received in lieu of all or a portion of any annual committee cash retainers or other similar cash-based payments. Stock awards granted to an individual while he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450" w:right="3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she was serving in the capacity as an employee or while he or she was an independent contractor but not an outside director will not count for purposes of these limits.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Leaves of Absence / Transfer Between Locations</w:t>
      </w:r>
    </w:p>
    <w:p>
      <w:pPr>
        <w:spacing w:after="0" w:line="112"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The Plan Administrator has the discretion to determine at any time whether and to what extent the vesting of stock awards will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of our affiliates. If an employee holds an incentive stock option and such leave exceeds three months then, for purposes of incentive stock option status only, such employee’s service as an employee will be deemed terminated on the first day following such three month period and the incentive stock option will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Nontransferability of Stock Awards</w:t>
      </w:r>
    </w:p>
    <w:p>
      <w:pPr>
        <w:spacing w:after="0" w:line="112" w:lineRule="exact"/>
        <w:rPr>
          <w:sz w:val="20"/>
          <w:szCs w:val="20"/>
          <w:color w:val="auto"/>
        </w:rPr>
      </w:pPr>
    </w:p>
    <w:p>
      <w:pPr>
        <w:jc w:val="both"/>
        <w:ind w:right="100" w:firstLine="449"/>
        <w:spacing w:after="0" w:line="273" w:lineRule="auto"/>
        <w:rPr>
          <w:sz w:val="20"/>
          <w:szCs w:val="20"/>
          <w:color w:val="auto"/>
        </w:rPr>
      </w:pPr>
      <w:r>
        <w:rPr>
          <w:rFonts w:ascii="Times New Roman" w:cs="Times New Roman" w:eastAsia="Times New Roman" w:hAnsi="Times New Roman"/>
          <w:sz w:val="17"/>
          <w:szCs w:val="17"/>
          <w:color w:val="auto"/>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Clawback/Recovery</w:t>
      </w:r>
    </w:p>
    <w:p>
      <w:pPr>
        <w:spacing w:after="0" w:line="112"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Plan Administrator may specify in a stock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2020 Plan, a stock award granted under the 2020 Plan will be subject to any clawback policy as may be established and/or amended from time to time by us.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Adjustment</w:t>
      </w:r>
    </w:p>
    <w:p>
      <w:pPr>
        <w:spacing w:after="0" w:line="112" w:lineRule="exact"/>
        <w:rPr>
          <w:sz w:val="20"/>
          <w:szCs w:val="20"/>
          <w:color w:val="auto"/>
        </w:rPr>
      </w:pPr>
    </w:p>
    <w:p>
      <w:pPr>
        <w:ind w:right="80" w:firstLine="449"/>
        <w:spacing w:after="0" w:line="249" w:lineRule="auto"/>
        <w:rPr>
          <w:sz w:val="20"/>
          <w:szCs w:val="20"/>
          <w:color w:val="auto"/>
        </w:rPr>
      </w:pPr>
      <w:r>
        <w:rPr>
          <w:rFonts w:ascii="Times New Roman" w:cs="Times New Roman" w:eastAsia="Times New Roman" w:hAnsi="Times New Roman"/>
          <w:sz w:val="18"/>
          <w:szCs w:val="18"/>
          <w:color w:val="auto"/>
        </w:rPr>
        <w:t>In the event of a stock split, reverse stock split, stock dividend, combination, consolidation, recapitalization or reclassification of the shares, subdivision of the shares, a rights offering, a reorganization, merger, spin-off, split-up, repurchase, or exchange of our capital stock or other securities of us or other significant corporate transaction, or other change affecting our capital stock occurs, the Plan Administrator, in order to prevent dilution, diminution or enlargement of the benefits or potential benefits intended to be made available under the 2020 Plan, will, in such manner as it may deem equitable, adjust the number, kind and class of securities that may be delivered under the 2020 Plan and/or the number, class, kind and price of securities covered by each outstanding stock award; provided that all such adjustments will be made in a manner that does not result in taxation under Section 409A of the Internal Revenue Code (“Section 409A”).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450"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12" w:lineRule="exact"/>
        <w:rPr>
          <w:sz w:val="20"/>
          <w:szCs w:val="20"/>
          <w:color w:val="auto"/>
        </w:rPr>
      </w:pPr>
    </w:p>
    <w:p>
      <w:pPr>
        <w:jc w:val="both"/>
        <w:ind w:right="100" w:firstLine="449"/>
        <w:spacing w:after="0" w:line="258" w:lineRule="auto"/>
        <w:rPr>
          <w:sz w:val="20"/>
          <w:szCs w:val="20"/>
          <w:color w:val="auto"/>
        </w:rPr>
      </w:pPr>
      <w:r>
        <w:rPr>
          <w:rFonts w:ascii="Times New Roman" w:cs="Times New Roman" w:eastAsia="Times New Roman" w:hAnsi="Times New Roman"/>
          <w:sz w:val="18"/>
          <w:szCs w:val="18"/>
          <w:color w:val="auto"/>
        </w:rPr>
        <w:t>In the event of the proposed winding up, dissolution or liquidation of us, the Plan Administrator will notify each participant as soon as practicable prior to the effective date of such proposed transaction. To the extent it has not been previously exercised or settled, a stock award will terminate immediately prior to the consummation of such proposed action.</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Corporate Transaction</w:t>
      </w:r>
    </w:p>
    <w:p>
      <w:pPr>
        <w:spacing w:after="0" w:line="112" w:lineRule="exact"/>
        <w:rPr>
          <w:sz w:val="20"/>
          <w:szCs w:val="20"/>
          <w:color w:val="auto"/>
        </w:rPr>
      </w:pPr>
    </w:p>
    <w:p>
      <w:pPr>
        <w:ind w:firstLine="449"/>
        <w:spacing w:after="0" w:line="262" w:lineRule="auto"/>
        <w:rPr>
          <w:sz w:val="20"/>
          <w:szCs w:val="20"/>
          <w:color w:val="auto"/>
        </w:rPr>
      </w:pPr>
      <w:r>
        <w:rPr>
          <w:rFonts w:ascii="Times New Roman" w:cs="Times New Roman" w:eastAsia="Times New Roman" w:hAnsi="Times New Roman"/>
          <w:sz w:val="17"/>
          <w:szCs w:val="17"/>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2020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provided, that, if the exercise price or purchase price for such stock awards equals or exceeds the fair market value of the shares subject to such stock awards, then the stock awards may be terminated without payment (provided further, that such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or (f) the opportunity for participants to exercise their stock options prior to the occurrence of the corporate transaction and the termination (for no consideration) upon the consummation of such corporate transaction of any stock options not exercised prior thereto.</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2" w:lineRule="exact"/>
        <w:rPr>
          <w:sz w:val="20"/>
          <w:szCs w:val="20"/>
          <w:color w:val="auto"/>
        </w:rPr>
      </w:pPr>
    </w:p>
    <w:p>
      <w:pPr>
        <w:jc w:val="both"/>
        <w:ind w:right="160" w:firstLine="449"/>
        <w:spacing w:after="0" w:line="258"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defined in the 2020 Plan) as may be provided in the stock award agreement for such stock award or as may be provided in any other written agreement between us or any of our affiliates and the participant, but in the absence of such provision, no such acceleration will occur.</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Termination and Duration of the 2020 Plan</w:t>
      </w:r>
    </w:p>
    <w:p>
      <w:pPr>
        <w:spacing w:after="0" w:line="11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2020 Plan will continue in effect for a term of 10 years measured from the board approval date, unless terminated earlier under the terms of the 2020 Plan. The Plan Administrator may at any time amend, alter, suspend or terminate the 2020 Plan pursuant to the listing standards of any national securities exchange or association on which our securities are listed or as otherwise required by applicable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Plan</w:t>
      </w:r>
    </w:p>
    <w:p>
      <w:pPr>
        <w:spacing w:after="0" w:line="114"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On October 5, 2021, SCH’s board of directors adopted, and on January 6, 2021, our stockholders approved the 2020 Management Incentive Plan (the “Management Incentive Plan”). The Management Incentive Plan became effective on January 6, 2021.</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20"/>
          </w:cols>
          <w:pgMar w:left="320" w:top="450" w:right="3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2"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The Management Incentive Plan is intended to (i) incentivize the Vivek Garipalli and Andrew Toy (the “MIP Participants”) with long-term equity-based compensation to align their interests with our shareholders and (ii) promote the success of our business.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Type of Stock Award</w:t>
      </w:r>
    </w:p>
    <w:p>
      <w:pPr>
        <w:spacing w:after="0" w:line="112"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Management Incentive Plan only permits the grant of RSUs to MIP Participants in the amounts and pursuant to the terms set forth in the New Plan Benefits section of this prospectus. The 2020 Plan permits the grant of incentive stock options, nonstatutory stock options, restricted stock, restricted stock units, stock appreciation rights (“SARs”), performance units and performance shares (all such types of awards, collectively, “stock awards”).</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Maximum Number of Shares</w:t>
      </w:r>
    </w:p>
    <w:p>
      <w:pPr>
        <w:spacing w:after="0" w:line="110" w:lineRule="exact"/>
        <w:rPr>
          <w:sz w:val="20"/>
          <w:szCs w:val="20"/>
          <w:color w:val="auto"/>
        </w:rPr>
      </w:pPr>
    </w:p>
    <w:p>
      <w:pPr>
        <w:ind w:firstLine="1011"/>
        <w:spacing w:after="0" w:line="258" w:lineRule="auto"/>
        <w:rPr>
          <w:sz w:val="20"/>
          <w:szCs w:val="20"/>
          <w:color w:val="auto"/>
        </w:rPr>
      </w:pPr>
      <w:r>
        <w:rPr>
          <w:rFonts w:ascii="Times New Roman" w:cs="Times New Roman" w:eastAsia="Times New Roman" w:hAnsi="Times New Roman"/>
          <w:sz w:val="18"/>
          <w:szCs w:val="18"/>
          <w:color w:val="auto"/>
        </w:rPr>
        <w:t>Subject to adjustments as set forth in the Management Incentive Plan, the maximum aggregate number of shares of our Class B common stock that may be issued under the Management Incentive Plan is 33,426,983 shares. The shares may be authorized, but unissued, or reacquired our Class B common stock.</w:t>
      </w:r>
    </w:p>
    <w:p>
      <w:pPr>
        <w:spacing w:after="0" w:line="2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Lapsed Awards</w:t>
      </w:r>
    </w:p>
    <w:p>
      <w:pPr>
        <w:spacing w:after="0" w:line="110" w:lineRule="exact"/>
        <w:rPr>
          <w:sz w:val="20"/>
          <w:szCs w:val="20"/>
          <w:color w:val="auto"/>
        </w:rPr>
      </w:pPr>
    </w:p>
    <w:p>
      <w:pPr>
        <w:ind w:right="180" w:firstLine="1011"/>
        <w:spacing w:after="0" w:line="258" w:lineRule="auto"/>
        <w:rPr>
          <w:sz w:val="20"/>
          <w:szCs w:val="20"/>
          <w:color w:val="auto"/>
        </w:rPr>
      </w:pPr>
      <w:r>
        <w:rPr>
          <w:rFonts w:ascii="Times New Roman" w:cs="Times New Roman" w:eastAsia="Times New Roman" w:hAnsi="Times New Roman"/>
          <w:sz w:val="18"/>
          <w:szCs w:val="18"/>
          <w:color w:val="auto"/>
        </w:rPr>
        <w:t>Once an RSU award is granted under the Management Incentive Plan, the shares underlying such award reduce the pool available for issuance under the Management Incentive Plan and, once granted pursuant to a RSU Award, such shares will never be available for future issuance under the Management Incentive Plan under any circumstance.</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Only the MIP Participants are eligible to receive RSUs under the Management Incentive Plan.</w:t>
      </w:r>
    </w:p>
    <w:p>
      <w:pPr>
        <w:spacing w:after="0" w:line="3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2" w:lineRule="exact"/>
        <w:rPr>
          <w:sz w:val="20"/>
          <w:szCs w:val="20"/>
          <w:color w:val="auto"/>
        </w:rPr>
      </w:pPr>
    </w:p>
    <w:p>
      <w:pPr>
        <w:ind w:right="320" w:firstLine="1011"/>
        <w:spacing w:after="0" w:line="270" w:lineRule="auto"/>
        <w:rPr>
          <w:sz w:val="20"/>
          <w:szCs w:val="20"/>
          <w:color w:val="auto"/>
        </w:rPr>
      </w:pPr>
      <w:r>
        <w:rPr>
          <w:rFonts w:ascii="Times New Roman" w:cs="Times New Roman" w:eastAsia="Times New Roman" w:hAnsi="Times New Roman"/>
          <w:sz w:val="18"/>
          <w:szCs w:val="18"/>
          <w:color w:val="auto"/>
        </w:rPr>
        <w:t>The Management Incentive Plan must administered by our board of directors or a committee thereof, which committee will be constituted to satisfy applicable laws (the “MIP Plan Administrator”). Currently, our compensation committee serves as the MIP Plan Administrator.</w:t>
      </w:r>
    </w:p>
    <w:p>
      <w:pPr>
        <w:spacing w:after="0" w:line="169" w:lineRule="exact"/>
        <w:rPr>
          <w:sz w:val="20"/>
          <w:szCs w:val="20"/>
          <w:color w:val="auto"/>
        </w:rPr>
      </w:pPr>
    </w:p>
    <w:p>
      <w:pPr>
        <w:ind w:firstLine="1011"/>
        <w:spacing w:after="0" w:line="247" w:lineRule="auto"/>
        <w:rPr>
          <w:sz w:val="20"/>
          <w:szCs w:val="20"/>
          <w:color w:val="auto"/>
        </w:rPr>
      </w:pPr>
      <w:r>
        <w:rPr>
          <w:rFonts w:ascii="Times New Roman" w:cs="Times New Roman" w:eastAsia="Times New Roman" w:hAnsi="Times New Roman"/>
          <w:sz w:val="18"/>
          <w:szCs w:val="18"/>
          <w:color w:val="auto"/>
        </w:rPr>
        <w:t>Subject to the terms of the Management Incentive Plan, the MIP Plan Administrator has the authority to (i) grant RSUs to MIP Participants in the amounts and pursuant to the terms set forth in the New Plan Benefits section of this prospectus; (ii) approve forms of RSU award agreements for use under the Management Incentive Plan, provided such forms of RSU award agreements are consistent with the terms of the Management Incentive Plan; (iii) construe and interpret the terms of the Management Incentive Plan and RSU awards granted pursuant to the Management Incentive Plan; (iv) correct any defect, supply any omission or reconcile any inconsistency in the Management Incentive Plan, any RSU award or any RSU award agreement; (v) prescribe, amend and rescind rules and regulations relating to the Management Incentive Plan; (vi) modify or amend each RSU award (subject to the terms of the Management Incentive Plan), including but not limited to the discretionary authority to accelerate vesting; (vii) allow participants to satisfy tax withholding obligations in such manner as prescribed in the Management Incentive Plan; (viii) authorize any person to execute on our behalf any instrument required to effect the grant of a RSU award previously granted by the MIP Plan Administrator; (ix) allow a participant to defer the receipt of the delivery of shares that would otherwise be due to such participant under a RSU award; and (x) make all other determinations deemed necessary or advisable for administering the Management Incentive Plan.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450" w:right="3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2" w:lineRule="exact"/>
        <w:rPr>
          <w:sz w:val="20"/>
          <w:szCs w:val="20"/>
          <w:color w:val="auto"/>
        </w:rPr>
      </w:pPr>
    </w:p>
    <w:p>
      <w:pPr>
        <w:ind w:right="200" w:firstLine="1011"/>
        <w:spacing w:after="0" w:line="258" w:lineRule="auto"/>
        <w:rPr>
          <w:sz w:val="20"/>
          <w:szCs w:val="20"/>
          <w:color w:val="auto"/>
        </w:rPr>
      </w:pPr>
      <w:r>
        <w:rPr>
          <w:rFonts w:ascii="Times New Roman" w:cs="Times New Roman" w:eastAsia="Times New Roman" w:hAnsi="Times New Roman"/>
          <w:sz w:val="18"/>
          <w:szCs w:val="18"/>
          <w:color w:val="auto"/>
        </w:rPr>
        <w:t>Each RSU is a bookkeeping entry representing an amount equal to the fair market value of one share of our Class B common stock. Upon meeting the applicable vesting criteria, the MIP Participants will be entitled to receive a payout upon the date(s) determined by the MIP Plan Administrator and set forth in their RSU award agreement for his earned RSUs in the form of shares.</w:t>
      </w:r>
    </w:p>
    <w:p>
      <w:pPr>
        <w:spacing w:after="0" w:line="179" w:lineRule="exact"/>
        <w:rPr>
          <w:sz w:val="20"/>
          <w:szCs w:val="20"/>
          <w:color w:val="auto"/>
        </w:rPr>
      </w:pPr>
    </w:p>
    <w:p>
      <w:pPr>
        <w:ind w:right="220" w:firstLine="1011"/>
        <w:spacing w:after="0" w:line="270" w:lineRule="auto"/>
        <w:rPr>
          <w:sz w:val="20"/>
          <w:szCs w:val="20"/>
          <w:color w:val="auto"/>
        </w:rPr>
      </w:pPr>
      <w:r>
        <w:rPr>
          <w:rFonts w:ascii="Times New Roman" w:cs="Times New Roman" w:eastAsia="Times New Roman" w:hAnsi="Times New Roman"/>
          <w:sz w:val="18"/>
          <w:szCs w:val="18"/>
          <w:color w:val="auto"/>
        </w:rPr>
        <w:t>The RSU awards were granted to the MIP Participants on the Closing Date. Each RSU award will vest pursuant to the criteria set forth in the New Plan Benefits section of this prospectus.</w:t>
      </w:r>
    </w:p>
    <w:p>
      <w:pPr>
        <w:spacing w:after="0" w:line="169" w:lineRule="exact"/>
        <w:rPr>
          <w:sz w:val="20"/>
          <w:szCs w:val="20"/>
          <w:color w:val="auto"/>
        </w:rPr>
      </w:pPr>
    </w:p>
    <w:p>
      <w:pPr>
        <w:ind w:right="100" w:firstLine="1011"/>
        <w:spacing w:after="0" w:line="258" w:lineRule="auto"/>
        <w:rPr>
          <w:sz w:val="20"/>
          <w:szCs w:val="20"/>
          <w:color w:val="auto"/>
        </w:rPr>
      </w:pPr>
      <w:r>
        <w:rPr>
          <w:rFonts w:ascii="Times New Roman" w:cs="Times New Roman" w:eastAsia="Times New Roman" w:hAnsi="Times New Roman"/>
          <w:sz w:val="18"/>
          <w:szCs w:val="18"/>
          <w:color w:val="auto"/>
        </w:rPr>
        <w:t>During the vesting period, each MIP Participant holding RSUs will hold no voting rights by virtue of such RSUs. The MIP Plan Administrator may, in its sole discretion, award dividend equivalents in connection with the grant of RSUs that may be settled in cash, in shares of equivalent value, or in some combination thereof.</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Performance-Based RSUs</w:t>
      </w:r>
    </w:p>
    <w:p>
      <w:pPr>
        <w:spacing w:after="0" w:line="112" w:lineRule="exact"/>
        <w:rPr>
          <w:sz w:val="20"/>
          <w:szCs w:val="20"/>
          <w:color w:val="auto"/>
        </w:rPr>
      </w:pPr>
    </w:p>
    <w:p>
      <w:pPr>
        <w:ind w:right="100" w:firstLine="1011"/>
        <w:spacing w:after="0" w:line="280" w:lineRule="auto"/>
        <w:rPr>
          <w:sz w:val="20"/>
          <w:szCs w:val="20"/>
          <w:color w:val="auto"/>
        </w:rPr>
      </w:pPr>
      <w:r>
        <w:rPr>
          <w:rFonts w:ascii="Times New Roman" w:cs="Times New Roman" w:eastAsia="Times New Roman" w:hAnsi="Times New Roman"/>
          <w:sz w:val="17"/>
          <w:szCs w:val="17"/>
          <w:color w:val="auto"/>
        </w:rPr>
        <w:t>Certain RSU awards granted under the Management Incentive Plan are performance-based awards that will only vest upon the achievement of pre-established stock price goals set forth in the New Plan Benefits section of this prospectus. The MIP Plan Administrator will determine and approve the extent to which such stock price goals have been timely achieved and the extent to which the shares subject to such RSU award have thereby been earned.</w:t>
      </w:r>
    </w:p>
    <w:p>
      <w:pPr>
        <w:spacing w:after="0" w:line="2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Leaves of Absence/Transfer Between Locations</w:t>
      </w:r>
    </w:p>
    <w:p>
      <w:pPr>
        <w:spacing w:after="0" w:line="112" w:lineRule="exact"/>
        <w:rPr>
          <w:sz w:val="20"/>
          <w:szCs w:val="20"/>
          <w:color w:val="auto"/>
        </w:rPr>
      </w:pPr>
    </w:p>
    <w:p>
      <w:pPr>
        <w:ind w:right="60" w:firstLine="1011"/>
        <w:spacing w:after="0" w:line="253" w:lineRule="auto"/>
        <w:rPr>
          <w:sz w:val="20"/>
          <w:szCs w:val="20"/>
          <w:color w:val="auto"/>
        </w:rPr>
      </w:pPr>
      <w:r>
        <w:rPr>
          <w:rFonts w:ascii="Times New Roman" w:cs="Times New Roman" w:eastAsia="Times New Roman" w:hAnsi="Times New Roman"/>
          <w:sz w:val="18"/>
          <w:szCs w:val="18"/>
          <w:color w:val="auto"/>
        </w:rPr>
        <w:t>The MIP Plan Administrator has the discretion to determine at any time whether and to what extent the vesting of RSU awards will be suspended during any leave of absence; provided that in the absence of such determination, vesting of RSU awards will continue during any paid leave and will be suspended during any unpaid leave (unless otherwise required by applicable laws). An RSU award will not cease to vest in the case of (i) any leave of absence approved by the MIP Plan Administrator or (ii) transfers between our locations or between us and any of our affiliates.</w:t>
      </w:r>
    </w:p>
    <w:p>
      <w:pPr>
        <w:spacing w:after="0" w:line="2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Nontransferability of RSU Awards</w:t>
      </w:r>
    </w:p>
    <w:p>
      <w:pPr>
        <w:spacing w:after="0" w:line="112" w:lineRule="exact"/>
        <w:rPr>
          <w:sz w:val="20"/>
          <w:szCs w:val="20"/>
          <w:color w:val="auto"/>
        </w:rPr>
      </w:pPr>
    </w:p>
    <w:p>
      <w:pPr>
        <w:ind w:right="140" w:firstLine="1011"/>
        <w:spacing w:after="0" w:line="270" w:lineRule="auto"/>
        <w:rPr>
          <w:sz w:val="20"/>
          <w:szCs w:val="20"/>
          <w:color w:val="auto"/>
        </w:rPr>
      </w:pPr>
      <w:r>
        <w:rPr>
          <w:rFonts w:ascii="Times New Roman" w:cs="Times New Roman" w:eastAsia="Times New Roman" w:hAnsi="Times New Roman"/>
          <w:sz w:val="18"/>
          <w:szCs w:val="18"/>
          <w:color w:val="auto"/>
        </w:rPr>
        <w:t>Unless determined otherwise by the MIP Plan Administrator, an RSU award may not be sold, pledged, assigned, hypothecated, transferred, or disposed of in any manner.</w:t>
      </w:r>
    </w:p>
    <w:p>
      <w:pPr>
        <w:spacing w:after="0" w:line="2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Clawback/Recovery</w:t>
      </w:r>
    </w:p>
    <w:p>
      <w:pPr>
        <w:spacing w:after="0" w:line="112" w:lineRule="exact"/>
        <w:rPr>
          <w:sz w:val="20"/>
          <w:szCs w:val="20"/>
          <w:color w:val="auto"/>
        </w:rPr>
      </w:pPr>
    </w:p>
    <w:p>
      <w:pPr>
        <w:ind w:firstLine="1011"/>
        <w:spacing w:after="0" w:line="266" w:lineRule="auto"/>
        <w:rPr>
          <w:sz w:val="20"/>
          <w:szCs w:val="20"/>
          <w:color w:val="auto"/>
        </w:rPr>
      </w:pPr>
      <w:r>
        <w:rPr>
          <w:rFonts w:ascii="Times New Roman" w:cs="Times New Roman" w:eastAsia="Times New Roman" w:hAnsi="Times New Roman"/>
          <w:sz w:val="17"/>
          <w:szCs w:val="17"/>
          <w:color w:val="auto"/>
        </w:rPr>
        <w:t>The MIP Plan Administrator may specify in a RSU award agreement that the participant’s rights, payments, and/or benefits with respect to a RSU award will be subject to reduction, cancellation, forfeiture, and/or recoupment upon the occurrence of certain specified events, in addition to any applicable vesting, performance or other conditions and restrictions of a RSU award. Notwithstanding any provisions to the contrary under the Management Incentive Plan, an RSU award granted under the Management Incentive Plan will be subject to any clawback policy as may be established and/or amended from time to time by us. The MIP Plan Administrator may require a participant to forfeit or return to and/or reimburse us for all or a portion of the RSU award and/or shares issued under the RSU award, any amounts paid under the RSU award, and any payments or proceeds paid or provided upon disposition of the shares issued under the RSU award, pursuant to the terms of such company policy or as necessary or appropriate to comply with applicable laws.</w:t>
      </w:r>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2" w:lineRule="exact"/>
        <w:rPr>
          <w:sz w:val="20"/>
          <w:szCs w:val="20"/>
          <w:color w:val="auto"/>
        </w:rPr>
      </w:pPr>
    </w:p>
    <w:p>
      <w:pPr>
        <w:ind w:right="300" w:firstLine="1011"/>
        <w:spacing w:after="0" w:line="270" w:lineRule="auto"/>
        <w:rPr>
          <w:sz w:val="20"/>
          <w:szCs w:val="20"/>
          <w:color w:val="auto"/>
        </w:rPr>
      </w:pPr>
      <w:r>
        <w:rPr>
          <w:rFonts w:ascii="Times New Roman" w:cs="Times New Roman" w:eastAsia="Times New Roman" w:hAnsi="Times New Roman"/>
          <w:sz w:val="18"/>
          <w:szCs w:val="18"/>
          <w:color w:val="auto"/>
        </w:rPr>
        <w:t>In the event of a stock split, reverse stock split, stock dividend, combination, consolidation, recapitalization or reclassification of the shares, subdivision of the shares, a rights offering, a reorganization,</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60"/>
          </w:cols>
          <w:pgMar w:left="320" w:top="450" w:right="41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merger, spin-off, split-up, repurchase, or exchange of our common stock or other securities of us or other significant corporate transaction, or other change affecting our capital stock occurs, the MIP Plan Administrator, in order to prevent dilution, diminution or enlargement of the benefits or potential benefits intended to be made available under the Management Incentive Plan, will, in such manner as it may deem equitable, adjust the number, kind and class of securities that may be delivered under the Management Incentive Plan and/or the number, class, kind and price of securities covered by each outstanding RSU award; provided that all such adjustments will be made in a manner that does not result in taxation under Section 409A of the Internal Revenue Code (“Section 409A”).</w:t>
      </w:r>
    </w:p>
    <w:p>
      <w:pPr>
        <w:spacing w:after="0" w:line="2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12" w:lineRule="exact"/>
        <w:rPr>
          <w:sz w:val="20"/>
          <w:szCs w:val="20"/>
          <w:color w:val="auto"/>
        </w:rPr>
      </w:pPr>
    </w:p>
    <w:p>
      <w:pPr>
        <w:ind w:right="120" w:firstLine="1011"/>
        <w:spacing w:after="0" w:line="258" w:lineRule="auto"/>
        <w:rPr>
          <w:sz w:val="20"/>
          <w:szCs w:val="20"/>
          <w:color w:val="auto"/>
        </w:rPr>
      </w:pPr>
      <w:r>
        <w:rPr>
          <w:rFonts w:ascii="Times New Roman" w:cs="Times New Roman" w:eastAsia="Times New Roman" w:hAnsi="Times New Roman"/>
          <w:sz w:val="18"/>
          <w:szCs w:val="18"/>
          <w:color w:val="auto"/>
        </w:rPr>
        <w:t>In the event of the proposed winding up, dissolution or liquidation of us, the MIP Plan Administrator will notify each participant as soon as practicable prior to the effective date of such proposed transaction. To the extent it has not been previously settled, an RSU award will terminate immediately prior to the consummation of such proposed action.</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Corporate Transaction</w:t>
      </w:r>
    </w:p>
    <w:p>
      <w:pPr>
        <w:spacing w:after="0" w:line="112" w:lineRule="exact"/>
        <w:rPr>
          <w:sz w:val="20"/>
          <w:szCs w:val="20"/>
          <w:color w:val="auto"/>
        </w:rPr>
      </w:pPr>
    </w:p>
    <w:p>
      <w:pPr>
        <w:ind w:firstLine="1011"/>
        <w:spacing w:after="0" w:line="248" w:lineRule="auto"/>
        <w:rPr>
          <w:sz w:val="20"/>
          <w:szCs w:val="20"/>
          <w:color w:val="auto"/>
        </w:rPr>
      </w:pPr>
      <w:r>
        <w:rPr>
          <w:rFonts w:ascii="Times New Roman" w:cs="Times New Roman" w:eastAsia="Times New Roman" w:hAnsi="Times New Roman"/>
          <w:sz w:val="18"/>
          <w:szCs w:val="18"/>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Management Incentive Plan) each outstanding RSU award (vested or unvested) will be treated as the MIP Plan Administrator determines, which determination may provide for one or more of the following: (a) the continuation of such outstanding RSU awards (if we are the surviving corporation); (b) the assumption of such outstanding RSU awards by the surviving corporation or its parent; (c) the substitution by the surviving corporation or its parent of new stock options or other equity awards for such RSU awards; (d) the cancellation of such RSU awards in exchange for a payment to the participants equal to the fair market value of the shares subject to such RSU awards as of the Closing Date of such corporate transaction (provided that such payment may be subject to the same conditions that apply to the consideration that will be paid to holders of shares in connection with the transaction, subject to applicable law); or (e) the full or partial acceleration of vesting and accelerated expiration of an outstanding RSU award.</w:t>
      </w:r>
    </w:p>
    <w:p>
      <w:pPr>
        <w:spacing w:after="0" w:line="2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2" w:lineRule="exact"/>
        <w:rPr>
          <w:sz w:val="20"/>
          <w:szCs w:val="20"/>
          <w:color w:val="auto"/>
        </w:rPr>
      </w:pPr>
    </w:p>
    <w:p>
      <w:pPr>
        <w:ind w:firstLine="1011"/>
        <w:spacing w:after="0" w:line="267" w:lineRule="auto"/>
        <w:rPr>
          <w:sz w:val="20"/>
          <w:szCs w:val="20"/>
          <w:color w:val="auto"/>
        </w:rPr>
      </w:pPr>
      <w:r>
        <w:rPr>
          <w:rFonts w:ascii="Times New Roman" w:cs="Times New Roman" w:eastAsia="Times New Roman" w:hAnsi="Times New Roman"/>
          <w:sz w:val="17"/>
          <w:szCs w:val="17"/>
          <w:color w:val="auto"/>
        </w:rPr>
        <w:t>An RSU award may be subject to additional acceleration of vesting upon or after a change in control (as defined in the Management Incentive Plan) as may be provided in any other written agreement between us or any of our affiliates and the participant, but in the absence of such provision, no such acceleration will occur. In connection with the Business Combination, we entered into an employment agreement with each MIP Participant, effective as of the Closing Date, which provides for among other things, certain severance payments and benefits and the accelerated vesting of equity in connection with each named executive officer’s termination of employment or resignation for good reason under various circumstances, including in connection with a change in control of Clover Health. See the above section entitled “—</w:t>
      </w:r>
      <w:r>
        <w:rPr>
          <w:rFonts w:ascii="Times New Roman" w:cs="Times New Roman" w:eastAsia="Times New Roman" w:hAnsi="Times New Roman"/>
          <w:sz w:val="17"/>
          <w:szCs w:val="17"/>
          <w:i w:val="1"/>
          <w:iCs w:val="1"/>
          <w:color w:val="auto"/>
        </w:rPr>
        <w:t>Executive Compensation Arrangements in Effect as of the Closing</w:t>
      </w:r>
      <w:r>
        <w:rPr>
          <w:rFonts w:ascii="Times New Roman" w:cs="Times New Roman" w:eastAsia="Times New Roman" w:hAnsi="Times New Roman"/>
          <w:sz w:val="17"/>
          <w:szCs w:val="17"/>
          <w:color w:val="auto"/>
        </w:rPr>
        <w:t>” for more information.</w:t>
      </w:r>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Amendment, Termination and Duration of the Management Incentive Plan</w:t>
      </w:r>
    </w:p>
    <w:p>
      <w:pPr>
        <w:spacing w:after="0" w:line="112" w:lineRule="exact"/>
        <w:rPr>
          <w:sz w:val="20"/>
          <w:szCs w:val="20"/>
          <w:color w:val="auto"/>
        </w:rPr>
      </w:pPr>
    </w:p>
    <w:p>
      <w:pPr>
        <w:ind w:right="260" w:firstLine="1011"/>
        <w:spacing w:after="0" w:line="270" w:lineRule="auto"/>
        <w:rPr>
          <w:sz w:val="20"/>
          <w:szCs w:val="20"/>
          <w:color w:val="auto"/>
        </w:rPr>
      </w:pPr>
      <w:r>
        <w:rPr>
          <w:rFonts w:ascii="Times New Roman" w:cs="Times New Roman" w:eastAsia="Times New Roman" w:hAnsi="Times New Roman"/>
          <w:sz w:val="18"/>
          <w:szCs w:val="18"/>
          <w:color w:val="auto"/>
        </w:rPr>
        <w:t>The Management Incentive Plan will continue in effect until all the RSU awards granted thereunder are no longer outstanding. The MIP Plan Administrator may at any time amend, alter, suspend or terminate the Management Incentive Plan.</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20"/>
          </w:cols>
          <w:pgMar w:left="320" w:top="450" w:right="3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made the following grants described below, effective as of the Closing Date, under the Management Incentive Plan:</w:t>
      </w:r>
    </w:p>
    <w:p>
      <w:pPr>
        <w:spacing w:after="0" w:line="3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Garipalli Time-Based Award</w:t>
      </w:r>
    </w:p>
    <w:p>
      <w:pPr>
        <w:spacing w:after="0" w:line="112" w:lineRule="exact"/>
        <w:rPr>
          <w:sz w:val="20"/>
          <w:szCs w:val="20"/>
          <w:color w:val="auto"/>
        </w:rPr>
      </w:pPr>
    </w:p>
    <w:p>
      <w:pPr>
        <w:ind w:firstLine="1011"/>
        <w:spacing w:after="0" w:line="269" w:lineRule="auto"/>
        <w:rPr>
          <w:sz w:val="20"/>
          <w:szCs w:val="20"/>
          <w:color w:val="auto"/>
        </w:rPr>
      </w:pPr>
      <w:r>
        <w:rPr>
          <w:rFonts w:ascii="Times New Roman" w:cs="Times New Roman" w:eastAsia="Times New Roman" w:hAnsi="Times New Roman"/>
          <w:sz w:val="17"/>
          <w:szCs w:val="17"/>
          <w:color w:val="auto"/>
        </w:rPr>
        <w:t>Vivek Garipalli received an RSU award under the MIP (the “Garipalli Time-Based Award”) covering 16,713,491 shares of Class B common stock. The Garipalli Time-Based Award shall become vested as to twenty percent (20%) of the RSUs subject to the Garipalli Time-Based Award on each of the first five (5) anniversaries of the Closing Date, subject to Mr. Garipalli’s continuous service as Clover Health’s CEO, Co-CEO or Executive Chairman through each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2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Garipalli Performance-Based Award</w:t>
      </w:r>
    </w:p>
    <w:p>
      <w:pPr>
        <w:spacing w:after="0" w:line="112" w:lineRule="exact"/>
        <w:rPr>
          <w:sz w:val="20"/>
          <w:szCs w:val="20"/>
          <w:color w:val="auto"/>
        </w:rPr>
      </w:pPr>
    </w:p>
    <w:p>
      <w:pPr>
        <w:ind w:right="240" w:firstLine="1011"/>
        <w:spacing w:after="0" w:line="270" w:lineRule="auto"/>
        <w:rPr>
          <w:sz w:val="20"/>
          <w:szCs w:val="20"/>
          <w:color w:val="auto"/>
        </w:rPr>
      </w:pPr>
      <w:r>
        <w:rPr>
          <w:rFonts w:ascii="Times New Roman" w:cs="Times New Roman" w:eastAsia="Times New Roman" w:hAnsi="Times New Roman"/>
          <w:sz w:val="18"/>
          <w:szCs w:val="18"/>
          <w:color w:val="auto"/>
        </w:rPr>
        <w:t>Mr. Garipalli received an RSU award under the Management Incentive Plan (the, “Garipalli Performance-Based Award”) covering 5,571,164 shares of Class B common stock, which will vest and become settled by satisfying two conditions, as set forth below:</w:t>
      </w:r>
    </w:p>
    <w:p>
      <w:pPr>
        <w:spacing w:after="0" w:line="76" w:lineRule="exact"/>
        <w:rPr>
          <w:sz w:val="20"/>
          <w:szCs w:val="20"/>
          <w:color w:val="auto"/>
        </w:rPr>
      </w:pPr>
    </w:p>
    <w:p>
      <w:pPr>
        <w:ind w:left="2140" w:right="20" w:hanging="680"/>
        <w:spacing w:after="0" w:line="250" w:lineRule="auto"/>
        <w:tabs>
          <w:tab w:leader="none" w:pos="2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requirement</w:t>
      </w:r>
      <w:r>
        <w:rPr>
          <w:rFonts w:ascii="Times New Roman" w:cs="Times New Roman" w:eastAsia="Times New Roman" w:hAnsi="Times New Roman"/>
          <w:sz w:val="18"/>
          <w:szCs w:val="18"/>
          <w:color w:val="auto"/>
        </w:rPr>
        <w:t>—the service requirement will be satisfied at a rate of twenty percent (20%) of the RSUs subject to the Garipalli Performance-Based Award on each of the first five anniversaries of the Closing Date, subject to Mr. Garipalli’s continuous service as Clover Health’s CEO, Co-CEO or Executive Chairman through each service-based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94" w:lineRule="exact"/>
        <w:rPr>
          <w:rFonts w:ascii="Times New Roman" w:cs="Times New Roman" w:eastAsia="Times New Roman" w:hAnsi="Times New Roman"/>
          <w:sz w:val="18"/>
          <w:szCs w:val="18"/>
          <w:color w:val="auto"/>
        </w:rPr>
      </w:pPr>
    </w:p>
    <w:p>
      <w:pPr>
        <w:jc w:val="both"/>
        <w:ind w:left="2140" w:right="120" w:hanging="680"/>
        <w:spacing w:after="0" w:line="258" w:lineRule="auto"/>
        <w:tabs>
          <w:tab w:leader="none" w:pos="2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requirement</w:t>
      </w:r>
      <w:r>
        <w:rPr>
          <w:rFonts w:ascii="Times New Roman" w:cs="Times New Roman" w:eastAsia="Times New Roman" w:hAnsi="Times New Roman"/>
          <w:sz w:val="18"/>
          <w:szCs w:val="18"/>
          <w:color w:val="auto"/>
        </w:rPr>
        <w:t>—the performance requirement will be satisfied if we achieve a volume-weighted average stock price above a threshold of $30, for a period of ninety (90) consecutive calendar days; provided that the performance metrics will not be measured nor may be satisfied prior to the one year anniversary of the Closing Date.</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Toy Performance-Based Award</w:t>
      </w:r>
    </w:p>
    <w:p>
      <w:pPr>
        <w:spacing w:after="0" w:line="112" w:lineRule="exact"/>
        <w:rPr>
          <w:sz w:val="20"/>
          <w:szCs w:val="20"/>
          <w:color w:val="auto"/>
        </w:rPr>
      </w:pPr>
    </w:p>
    <w:p>
      <w:pPr>
        <w:ind w:right="120" w:firstLine="1011"/>
        <w:spacing w:after="0" w:line="270" w:lineRule="auto"/>
        <w:rPr>
          <w:sz w:val="20"/>
          <w:szCs w:val="20"/>
          <w:color w:val="auto"/>
        </w:rPr>
      </w:pPr>
      <w:r>
        <w:rPr>
          <w:rFonts w:ascii="Times New Roman" w:cs="Times New Roman" w:eastAsia="Times New Roman" w:hAnsi="Times New Roman"/>
          <w:sz w:val="18"/>
          <w:szCs w:val="18"/>
          <w:color w:val="auto"/>
        </w:rPr>
        <w:t>Andrew Toy received an RSU award under the Management Incentive Plan (the “Toy Performance-Based Award”) covering 11,142,328 shares of Class B common stock, which will vest and become settled by satisfying two conditions, as set forth below:</w:t>
      </w:r>
    </w:p>
    <w:p>
      <w:pPr>
        <w:spacing w:after="0" w:line="76" w:lineRule="exact"/>
        <w:rPr>
          <w:sz w:val="20"/>
          <w:szCs w:val="20"/>
          <w:color w:val="auto"/>
        </w:rPr>
      </w:pPr>
    </w:p>
    <w:p>
      <w:pPr>
        <w:ind w:left="2140" w:right="80" w:hanging="680"/>
        <w:spacing w:after="0" w:line="251" w:lineRule="auto"/>
        <w:tabs>
          <w:tab w:leader="none" w:pos="2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requirement</w:t>
      </w:r>
      <w:r>
        <w:rPr>
          <w:rFonts w:ascii="Times New Roman" w:cs="Times New Roman" w:eastAsia="Times New Roman" w:hAnsi="Times New Roman"/>
          <w:sz w:val="18"/>
          <w:szCs w:val="18"/>
          <w:color w:val="auto"/>
        </w:rPr>
        <w:t>—the service requirement will be satisfied at a rate of twenty percent (20%) of the RSUs subject to the Toy Performance-Based Award on each of the first five anniversaries of the Closing Date, subject to Mr. Toy’s continuous service as a service provider to Clover Health through each service-based vesting date. Except as set forth in Mr. Toy’s employment agreement with us, if Mr. Toy is terminated for any reason prior to any applicable vesting date, any then unvested RSUs will be forfeited for no consideration. The RSUs shall settle as set forth in the RSU award agreement.</w:t>
      </w:r>
    </w:p>
    <w:p>
      <w:pPr>
        <w:spacing w:after="0" w:line="94" w:lineRule="exact"/>
        <w:rPr>
          <w:rFonts w:ascii="Times New Roman" w:cs="Times New Roman" w:eastAsia="Times New Roman" w:hAnsi="Times New Roman"/>
          <w:sz w:val="18"/>
          <w:szCs w:val="18"/>
          <w:color w:val="auto"/>
        </w:rPr>
      </w:pPr>
    </w:p>
    <w:p>
      <w:pPr>
        <w:ind w:left="2140" w:right="20" w:hanging="680"/>
        <w:spacing w:after="0" w:line="253" w:lineRule="auto"/>
        <w:tabs>
          <w:tab w:leader="none" w:pos="2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requirement</w:t>
      </w:r>
      <w:r>
        <w:rPr>
          <w:rFonts w:ascii="Times New Roman" w:cs="Times New Roman" w:eastAsia="Times New Roman" w:hAnsi="Times New Roman"/>
          <w:sz w:val="18"/>
          <w:szCs w:val="18"/>
          <w:color w:val="auto"/>
        </w:rPr>
        <w:t>—the performance requirement will be satisfied if we achieve a volume-weighted average stock price above a threshold broken out into two equal tranches as set forth in the below table, for a period of ninety (90) consecutive calendar days; provided that the performance metrics will not be measured nor may be satisfied prior to the one year anniversary of the Closing Date.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20"/>
          </w:cols>
          <w:pgMar w:left="320" w:top="450" w:right="3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75"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288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w w:val="99"/>
              </w:rPr>
              <w:t>Number of Shares of Class B</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0" w:type="dxa"/>
            <w:vAlign w:val="bottom"/>
          </w:tcPr>
          <w:p>
            <w:pPr>
              <w:spacing w:after="0"/>
              <w:rPr>
                <w:sz w:val="1"/>
                <w:szCs w:val="1"/>
                <w:color w:val="auto"/>
              </w:rPr>
            </w:pPr>
          </w:p>
        </w:tc>
      </w:tr>
      <w:tr>
        <w:trPr>
          <w:trHeight w:val="170"/>
        </w:trPr>
        <w:tc>
          <w:tcPr>
            <w:tcW w:w="4920" w:type="dxa"/>
            <w:vAlign w:val="bottom"/>
            <w:vMerge w:val="continue"/>
          </w:tcPr>
          <w:p>
            <w:pPr>
              <w:spacing w:after="0"/>
              <w:rPr>
                <w:sz w:val="14"/>
                <w:szCs w:val="14"/>
                <w:color w:val="auto"/>
              </w:rPr>
            </w:pPr>
          </w:p>
        </w:tc>
        <w:tc>
          <w:tcPr>
            <w:tcW w:w="28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Hurdle</w:t>
            </w:r>
          </w:p>
        </w:tc>
        <w:tc>
          <w:tcPr>
            <w:tcW w:w="0" w:type="dxa"/>
            <w:vAlign w:val="bottom"/>
          </w:tcPr>
          <w:p>
            <w:pPr>
              <w:spacing w:after="0"/>
              <w:rPr>
                <w:sz w:val="1"/>
                <w:szCs w:val="1"/>
                <w:color w:val="auto"/>
              </w:rPr>
            </w:pPr>
          </w:p>
        </w:tc>
      </w:tr>
      <w:tr>
        <w:trPr>
          <w:trHeight w:val="205"/>
        </w:trPr>
        <w:tc>
          <w:tcPr>
            <w:tcW w:w="49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1</w:t>
            </w:r>
          </w:p>
        </w:tc>
        <w:tc>
          <w:tcPr>
            <w:tcW w:w="1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5,571,164</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88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5,571,164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Terms</w:t>
      </w:r>
    </w:p>
    <w:p>
      <w:pPr>
        <w:spacing w:after="0" w:line="112" w:lineRule="exact"/>
        <w:rPr>
          <w:sz w:val="20"/>
          <w:szCs w:val="20"/>
          <w:color w:val="auto"/>
        </w:rPr>
      </w:pPr>
    </w:p>
    <w:p>
      <w:pPr>
        <w:ind w:right="240" w:firstLine="1011"/>
        <w:spacing w:after="0" w:line="270" w:lineRule="auto"/>
        <w:rPr>
          <w:sz w:val="20"/>
          <w:szCs w:val="20"/>
          <w:color w:val="auto"/>
        </w:rPr>
      </w:pPr>
      <w:r>
        <w:rPr>
          <w:rFonts w:ascii="Times New Roman" w:cs="Times New Roman" w:eastAsia="Times New Roman" w:hAnsi="Times New Roman"/>
          <w:sz w:val="18"/>
          <w:szCs w:val="18"/>
          <w:color w:val="auto"/>
        </w:rPr>
        <w:t>Each of the Garipalli Performance-Based Award and the Toy Performance-Based Award (collectively, the “Performance-Based Awards”) will include the following general terms:</w:t>
      </w:r>
    </w:p>
    <w:p>
      <w:pPr>
        <w:spacing w:after="0" w:line="76" w:lineRule="exact"/>
        <w:rPr>
          <w:sz w:val="20"/>
          <w:szCs w:val="20"/>
          <w:color w:val="auto"/>
        </w:rPr>
      </w:pPr>
    </w:p>
    <w:p>
      <w:pPr>
        <w:ind w:left="2140" w:right="260" w:hanging="680"/>
        <w:spacing w:after="0" w:line="300" w:lineRule="auto"/>
        <w:tabs>
          <w:tab w:leader="none" w:pos="21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requirement must be satisfied within five (5) years of the Closing Date (the “Performance Deadline”). Any portion of a Performance-Based Award that is unvested as of the Performance Deadline will be forfeited for no consideration.</w:t>
      </w:r>
    </w:p>
    <w:p>
      <w:pPr>
        <w:spacing w:after="0" w:line="53" w:lineRule="exact"/>
        <w:rPr>
          <w:rFonts w:ascii="Times New Roman" w:cs="Times New Roman" w:eastAsia="Times New Roman" w:hAnsi="Times New Roman"/>
          <w:sz w:val="17"/>
          <w:szCs w:val="17"/>
          <w:color w:val="auto"/>
        </w:rPr>
      </w:pPr>
    </w:p>
    <w:p>
      <w:pPr>
        <w:ind w:left="2140" w:hanging="680"/>
        <w:spacing w:after="0" w:line="250" w:lineRule="auto"/>
        <w:tabs>
          <w:tab w:leader="none" w:pos="2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(as defined in the Management Incentive Plan), if the per share value in the change in control is above the stock price hurdle set forth in the above table or, if the stock price hurdle was satisfied at any time prior to a change in control, then that tranche will vest in connection with the change in control. Any portion of a Performance-Based Award that is unvested as of the consummation of such change in control will be forfeited for no consideration. For the avoidance of doubt, the transaction contemplated by the Merger Agreement, shall not constitute a change in control for purposes of these Performance-Based Awards.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14"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On October 5, 2020, SCH’s board of directors adopted, and on January 6, 2021, our stockholders approved the 2020 Employee Stock Purchase Plan (the “ESPP”). The ESPP became effective on January 6, 2021.</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2"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The ESPP provides a means by which eligible employees and/or eligible service providers of either our company or designated related corporations and affiliates (“Designated Companies”) may be given an opportunity to purchase shares of our Class A common stock. The ESPP permits us to grant a series of purchase rights to eligible employees and eligible service providers. By means of the ESPP, we seek to (i) retain and assist our related corporations and affiliates in retaining the services of such eligible employees and eligible service providers, (ii) secure and retain the services of new eligible employees and eligible service providers and (iii) provide incentives for such persons to exert maximum efforts for our success and that of our related corporations and affiliates.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Qualified and Non-Qualified Offerings Permitted</w:t>
      </w:r>
    </w:p>
    <w:p>
      <w:pPr>
        <w:spacing w:after="0" w:line="112"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The ESPP includes two components: a “423 Component” and a “Non-423 Component.” We intend for the 423 Component to qualify as an Employee Stock Purchase Plan pursuant to Section 423 of the Code. The 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ESPP Administrator (as defined below), the Non-423 Component will be operated and administered in the same manner as the 423 Component. Eligible employees will be able to participate in the 423 Component or Non-423 Component of the ESPP. Eligible service providers (who may or may not be eligible employees) will only be able to participate in the Non-423 Component of the ESPP.</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450"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2"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Our board of directors has the power to delegate administration of the ESPP to a committee composed of not fewer than one member of our board of directors. The ESPP is administered by our board of directors or a committee thereof (the “ESPP Administrator”). The ESPP Administrator has the final power to construe and interpret both the ESPP and the rights granted under it. The ESPP Administrator has the power, subject to the provisions of the ESPP, to determine when and how rights to purchase our Class A common stock will be granted, the provisions of each offering of such rights (which need not be identical), and whether any employee or other service provider will be eligible to participate in the 423 Component or Non-423 Component of the ESPP. Whether or not our board of directors has delegated administration of the ESPP to a committee, the board of directors will have the final power to determine all questions of policy and expediency that may arise in the administration of the ESPP. Currently, our compensation committee serves as the ESPP Plan Administrator.</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Subject to ESPP</w:t>
      </w:r>
    </w:p>
    <w:p>
      <w:pPr>
        <w:spacing w:after="0" w:line="112" w:lineRule="exact"/>
        <w:rPr>
          <w:sz w:val="20"/>
          <w:szCs w:val="20"/>
          <w:color w:val="auto"/>
        </w:rPr>
      </w:pPr>
    </w:p>
    <w:p>
      <w:pPr>
        <w:ind w:right="20" w:firstLine="449"/>
        <w:spacing w:after="0" w:line="247" w:lineRule="auto"/>
        <w:rPr>
          <w:sz w:val="20"/>
          <w:szCs w:val="20"/>
          <w:color w:val="auto"/>
        </w:rPr>
      </w:pPr>
      <w:r>
        <w:rPr>
          <w:rFonts w:ascii="Times New Roman" w:cs="Times New Roman" w:eastAsia="Times New Roman" w:hAnsi="Times New Roman"/>
          <w:sz w:val="18"/>
          <w:szCs w:val="18"/>
          <w:color w:val="auto"/>
        </w:rPr>
        <w:t>Subject to adjustments as provided in the ESPP, the maximum number of shares of our Class A common stock that may be issued under the ESPP will not exceed 2,785,582, plus the number of shares of our Class A common stock that are automatically added on the first day of each fiscal year beginning with the 2022 fiscal year and ending on (and including) the first day of the 2030 fiscal year in an amount equal to the lesser of (i) one percent (1%) of the total number of shares of our Class A common stock outstanding on the last day of the calendar month prior to the date of such automatic increase, and (ii) such number of shares of our Class A common stock as determined by the ESPP Administrator; provided that the maximum number of shares of our Class A common stock reserved under the ESPP shall not exceed 10% of the total outstanding capital stock of the combined company (inclusive of the shares reserved under the ESPP) as of the Closing Date on an as-converted basis. Notwithstanding the foregoing, the ESPP Administrator may act prior to the first day of any fiscal year to provide that there will be no increase in the share reserve for such fiscal year or that the increase in the share reserve for such fiscal year will be a lesser number of shares of our Class A common stock than would otherwise occur pursuant to the preceding sentence. If any purchase right granted under the ESPP terminates without having been exercised in full, the shares of our Class A common stock not purchased under such purchase right will again become available for issuance under the ESPP.</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Offerings</w:t>
      </w:r>
    </w:p>
    <w:p>
      <w:pPr>
        <w:spacing w:after="0" w:line="218" w:lineRule="exact"/>
        <w:rPr>
          <w:sz w:val="20"/>
          <w:szCs w:val="20"/>
          <w:color w:val="auto"/>
        </w:rPr>
      </w:pPr>
    </w:p>
    <w:p>
      <w:pPr>
        <w:ind w:firstLine="449"/>
        <w:spacing w:after="0" w:line="269" w:lineRule="auto"/>
        <w:rPr>
          <w:sz w:val="20"/>
          <w:szCs w:val="20"/>
          <w:color w:val="auto"/>
        </w:rPr>
      </w:pPr>
      <w:r>
        <w:rPr>
          <w:rFonts w:ascii="Times New Roman" w:cs="Times New Roman" w:eastAsia="Times New Roman" w:hAnsi="Times New Roman"/>
          <w:sz w:val="17"/>
          <w:szCs w:val="17"/>
          <w:color w:val="auto"/>
        </w:rPr>
        <w:t>The ESPP is implemented by offerings of rights to all eligible employees and eligible service providers from time to time. Offerings may be comprised of one or more purchase periods. The maximum length for an offering under the ESPP is 27 months. The provisions of separate offerings need not be identical. When a participant elects to join an offering, he or she is granted a purchase right to acquire shares of our Class A common stock on each purchase date within the offering, each corresponding to the end of a purchase period within such offering. On each purchase date, all payroll deductions collected from the participant during such purchase period are automatically applied to the purchase of our Class A common stock, subject to certain limitations.</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2"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Purchase rights may be granted only to our employees, employees of designated related corporations or, solely with respect to the Non-423 Component, employees of an affiliate (other than a designated related corporation) or eligible service providers. The ESPP Administrator may provide that employees will not be eligible to be granted purchase rights under the ESPP if, on the offering date, the employee (i) has not completed at least 2 years of service since the employee’s last hire date (or such lesser period as the ESPP Administrator may determine), (ii) customarily works not more than 20 hours per week (or such lesser period as the ESPP Administrator may determine), (iii) customarily works not more than 5 months per calendar year (or such lesser period as the ESPP Administrator may determine), (iv) is a highly compensated employee within the meaning of the Code, or (v) has not satisfied such other criteria as the ESPP Administrator may determine consistent with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20"/>
          </w:cols>
          <w:pgMar w:left="320" w:top="450" w:right="3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Section 423 of the Code. Unless otherwise determined by the ESPP Administrator for any offering, an employee will not be eligible to be granted purchase rights unless, on the offering date, the employee customarily works more than 20 hours per week and more than 5 months per calendar year.</w:t>
      </w:r>
    </w:p>
    <w:p>
      <w:pPr>
        <w:spacing w:after="0" w:line="169"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Plans, do not permit such eligible employee’s rights to purchase stock to accrue in excess of $25,000 worth of stock in any calendar year.</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Participation in the ESPP</w:t>
      </w:r>
    </w:p>
    <w:p>
      <w:pPr>
        <w:spacing w:after="0" w:line="112" w:lineRule="exact"/>
        <w:rPr>
          <w:sz w:val="20"/>
          <w:szCs w:val="20"/>
          <w:color w:val="auto"/>
        </w:rPr>
      </w:pPr>
    </w:p>
    <w:p>
      <w:pPr>
        <w:ind w:firstLine="449"/>
        <w:spacing w:after="0" w:line="269" w:lineRule="auto"/>
        <w:rPr>
          <w:sz w:val="20"/>
          <w:szCs w:val="20"/>
          <w:color w:val="auto"/>
        </w:rPr>
      </w:pPr>
      <w:r>
        <w:rPr>
          <w:rFonts w:ascii="Times New Roman" w:cs="Times New Roman" w:eastAsia="Times New Roman" w:hAnsi="Times New Roman"/>
          <w:sz w:val="17"/>
          <w:szCs w:val="17"/>
          <w:color w:val="auto"/>
        </w:rPr>
        <w:t>On each offering date, each eligible employee or eligible service provider, pursuant to an offering made under the ESPP, will be granted a purchase right to purchase up to that number of shares of our Class A common stock purchasable either with a percentage or with a maximum dollar amount, as designated by the ESPP Administrator; provided however, that in the case of eligible employees, such percentage or maximum dollar amount will in either case not exceed 15% of such employee’s earnings during the period that begins on the offering date (or such later date as the ESPP Administrator determines for a particular offering) and ends on the date stated in the offering, which date will be no later than the end of the offering, unless otherwise provided for in an offering.</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The purchase price of shares of our Class A common stock acquired pursuant to purchase rights will be not less than the lesser of (i) 85% of the fair market value of the shares of our Class A common stock on the offering date; or (ii) 85% of the fair market value of the shares of our Class A common stock on the applicable purchase date (i.e., the last day of the applicable purchase period).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Payment of Purchase Price; Payroll Deductions</w:t>
      </w:r>
    </w:p>
    <w:p>
      <w:pPr>
        <w:spacing w:after="0" w:line="112" w:lineRule="exact"/>
        <w:rPr>
          <w:sz w:val="20"/>
          <w:szCs w:val="20"/>
          <w:color w:val="auto"/>
        </w:rPr>
      </w:pPr>
    </w:p>
    <w:p>
      <w:pPr>
        <w:ind w:right="80" w:firstLine="449"/>
        <w:spacing w:after="0" w:line="269" w:lineRule="auto"/>
        <w:rPr>
          <w:sz w:val="20"/>
          <w:szCs w:val="20"/>
          <w:color w:val="auto"/>
        </w:rPr>
      </w:pPr>
      <w:r>
        <w:rPr>
          <w:rFonts w:ascii="Times New Roman" w:cs="Times New Roman" w:eastAsia="Times New Roman" w:hAnsi="Times New Roman"/>
          <w:sz w:val="17"/>
          <w:szCs w:val="17"/>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of Stock</w:t>
      </w:r>
    </w:p>
    <w:p>
      <w:pPr>
        <w:spacing w:after="0" w:line="112" w:lineRule="exact"/>
        <w:rPr>
          <w:sz w:val="20"/>
          <w:szCs w:val="20"/>
          <w:color w:val="auto"/>
        </w:rPr>
      </w:pPr>
    </w:p>
    <w:p>
      <w:pPr>
        <w:ind w:right="80" w:firstLine="449"/>
        <w:spacing w:after="0" w:line="267" w:lineRule="auto"/>
        <w:rPr>
          <w:sz w:val="20"/>
          <w:szCs w:val="20"/>
          <w:color w:val="auto"/>
        </w:rPr>
      </w:pPr>
      <w:r>
        <w:rPr>
          <w:rFonts w:ascii="Times New Roman" w:cs="Times New Roman" w:eastAsia="Times New Roman" w:hAnsi="Times New Roman"/>
          <w:sz w:val="17"/>
          <w:szCs w:val="17"/>
          <w:color w:val="auto"/>
        </w:rPr>
        <w:t>The ESPP Administrator will establish one or more purchase dates during an offering on which purchase rights granted for that offering will be exercised and shares of our Class A common stock will be purchased in accordance with such offering. In connection with each offering, the ESPP Administrator may specify a maximum number of shares of our Class A common stock that may be purchased by any participant or all participants. If the aggregate purchase of shares of our Class A common stock issuable on exercise of purchase rights granted under the offering would exceed any such maximum aggregate number, then, in the absence of any ESPP Administrator action otherwise, a pro rata (based on each participant’s accumulated contributions) allocation of the shares of our Class A common stock available will be made in as nearly a uniform manner as will be practicable and equitable.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450" w:right="3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Withdrawal</w:t>
      </w:r>
    </w:p>
    <w:p>
      <w:pPr>
        <w:spacing w:after="0" w:line="112"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us or any third party designated by us a company provided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Termination of Eligibility</w:t>
      </w:r>
    </w:p>
    <w:p>
      <w:pPr>
        <w:spacing w:after="0" w:line="11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will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Leave of Absence</w:t>
      </w:r>
    </w:p>
    <w:p>
      <w:pPr>
        <w:spacing w:after="0" w:line="112"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A participant will not be deemed to have terminated employment or failed to remain continuously employed by us or a Designated Company in the case of sick leave, military leave, or any other leave of absence approved by us; provided that such leave is for a period of not more than three months or reemployment upon the expiration of such leave is guaranteed by contract or statute. We will have sole discretion to determine whether a participant has terminated employment and the effective date on which the participant terminated employment, regardless of any notice period or garden leave required under local law.</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Employment Transfers</w:t>
      </w:r>
    </w:p>
    <w:p>
      <w:pPr>
        <w:spacing w:after="0" w:line="112"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7"/>
          <w:szCs w:val="17"/>
          <w:color w:val="auto"/>
        </w:rPr>
        <w:t>Unless otherwise determined by the ESPP Administrator, a participant whose employment transfers or whose employment terminates with an immediate rehire (with no break in service) by or between us and a Designated Company or between Designated Companies will not be treated as having terminated employment for purposes of participating in the ESPP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ESPP, we will distribute as soon as practicable to such individual all of his or her accumulated but unused contributions.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Restrictions on Transfer</w:t>
      </w:r>
    </w:p>
    <w:p>
      <w:pPr>
        <w:spacing w:after="0" w:line="112" w:lineRule="exact"/>
        <w:rPr>
          <w:sz w:val="20"/>
          <w:szCs w:val="20"/>
          <w:color w:val="auto"/>
        </w:rPr>
      </w:pPr>
    </w:p>
    <w:p>
      <w:pPr>
        <w:ind w:right="100" w:firstLine="449"/>
        <w:spacing w:after="0" w:line="270" w:lineRule="auto"/>
        <w:rPr>
          <w:sz w:val="20"/>
          <w:szCs w:val="20"/>
          <w:color w:val="auto"/>
        </w:rPr>
      </w:pPr>
      <w:r>
        <w:rPr>
          <w:rFonts w:ascii="Times New Roman" w:cs="Times New Roman" w:eastAsia="Times New Roman" w:hAnsi="Times New Roman"/>
          <w:sz w:val="18"/>
          <w:szCs w:val="18"/>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of Purchase Rights</w:t>
      </w:r>
    </w:p>
    <w:p>
      <w:pPr>
        <w:spacing w:after="0" w:line="112" w:lineRule="exact"/>
        <w:rPr>
          <w:sz w:val="20"/>
          <w:szCs w:val="20"/>
          <w:color w:val="auto"/>
        </w:rPr>
      </w:pPr>
    </w:p>
    <w:p>
      <w:pPr>
        <w:ind w:right="220" w:firstLine="449"/>
        <w:spacing w:after="0" w:line="270" w:lineRule="auto"/>
        <w:rPr>
          <w:sz w:val="20"/>
          <w:szCs w:val="20"/>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our Class A common stock, up to the maximum number of shares of our Class A common stock</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20"/>
          </w:cols>
          <w:pgMar w:left="320" w:top="450" w:right="3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permitted by the ESPP and the applicable offering, at the purchase price specified in the offering. Unless otherwise specified in the offering, no fractional shares will be issued and, if any amount of accumulated contributions remains in a participant’s account after the purchase of shares of our Class A common stock on the final purchase date in an offering, such remaining amount will roll over to the next offering.</w:t>
      </w:r>
    </w:p>
    <w:p>
      <w:pPr>
        <w:spacing w:after="0" w:line="179"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No purchase rights may be exercised to any extent unless and until the shares of our Class A common stock to be issued on such exercise under the ESPP are covered by an effective registration statement pursuant to the U.S. Securities Act of 1933, as amended, and the ESPP is in material compliance with all applicable U.S. federal and state, foreign and other securities, exchange control, and other laws applicable to the ESPP. If, on the purchase date, as delayed to the maximum extent permissible, the shares of our Class A common stock are not registered and the ESPP is not in material compliance with all applicable laws or regulations, as determined by us in our sole discretion, no purchase rights will be exercised and all accumulated but unused contributions will be distributed as soon as practicable to the participants without interest.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Capitalization Adjustments</w:t>
      </w:r>
    </w:p>
    <w:p>
      <w:pPr>
        <w:spacing w:after="0" w:line="11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In the event of a capitalization adjustment, the ESPP Administrator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12" w:lineRule="exact"/>
        <w:rPr>
          <w:sz w:val="20"/>
          <w:szCs w:val="20"/>
          <w:color w:val="auto"/>
        </w:rPr>
      </w:pPr>
    </w:p>
    <w:p>
      <w:pPr>
        <w:ind w:right="200" w:firstLine="449"/>
        <w:spacing w:after="0" w:line="253" w:lineRule="auto"/>
        <w:rPr>
          <w:sz w:val="20"/>
          <w:szCs w:val="20"/>
          <w:color w:val="auto"/>
        </w:rPr>
      </w:pPr>
      <w:r>
        <w:rPr>
          <w:rFonts w:ascii="Times New Roman" w:cs="Times New Roman" w:eastAsia="Times New Roman" w:hAnsi="Times New Roman"/>
          <w:sz w:val="18"/>
          <w:szCs w:val="18"/>
          <w:color w:val="auto"/>
        </w:rPr>
        <w:t>In the event of our company’s dissolution or liquidation, the ESPP Administrator will shorten any offering then in progress by setting a new purchase date prior to the consummation of such proposed dissolution or liquidation.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Effect of Certain Corporate Transactions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event of:</w:t>
      </w:r>
    </w:p>
    <w:p>
      <w:pPr>
        <w:spacing w:after="0" w:line="124" w:lineRule="exact"/>
        <w:rPr>
          <w:sz w:val="20"/>
          <w:szCs w:val="20"/>
          <w:color w:val="auto"/>
        </w:rPr>
      </w:pPr>
    </w:p>
    <w:p>
      <w:pPr>
        <w:ind w:left="1020" w:hanging="565"/>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all or substantially all of our company’s assets;</w:t>
      </w:r>
    </w:p>
    <w:p>
      <w:pPr>
        <w:spacing w:after="0" w:line="123" w:lineRule="exact"/>
        <w:rPr>
          <w:rFonts w:ascii="Times New Roman" w:cs="Times New Roman" w:eastAsia="Times New Roman" w:hAnsi="Times New Roman"/>
          <w:sz w:val="18"/>
          <w:szCs w:val="18"/>
          <w:color w:val="auto"/>
        </w:rPr>
      </w:pPr>
    </w:p>
    <w:p>
      <w:pPr>
        <w:ind w:left="1020" w:right="300" w:hanging="565"/>
        <w:spacing w:after="0" w:line="270"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other capital reorganization or business combination transaction of our company with or into another corporation, entity or person; or</w:t>
      </w:r>
    </w:p>
    <w:p>
      <w:pPr>
        <w:spacing w:after="0" w:line="76" w:lineRule="exact"/>
        <w:rPr>
          <w:rFonts w:ascii="Times New Roman" w:cs="Times New Roman" w:eastAsia="Times New Roman" w:hAnsi="Times New Roman"/>
          <w:sz w:val="18"/>
          <w:szCs w:val="18"/>
          <w:color w:val="auto"/>
        </w:rPr>
      </w:pPr>
    </w:p>
    <w:p>
      <w:pPr>
        <w:ind w:left="1020" w:right="80" w:hanging="565"/>
        <w:spacing w:after="0" w:line="270"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or series of related transactions, in which any person becomes the beneficial owner, directly or indirectly, of more than 50% of our then outstanding capital stock;</w:t>
      </w:r>
    </w:p>
    <w:p>
      <w:pPr>
        <w:spacing w:after="0" w:line="16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then: (i) any surviving corporation or acquiring corporation (or the surviving or acquiring corporation’s parent company) may assume or continue outstanding purchase rights or may substitute similar rights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our Class A common stock prior to the corporate transaction under the outstanding purchase rights, and the purchase rights will terminate immediately after such purchase.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00"/>
          </w:cols>
          <w:pgMar w:left="320" w:top="450" w:right="3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Spin-Off</w:t>
      </w:r>
    </w:p>
    <w:p>
      <w:pPr>
        <w:spacing w:after="0" w:line="112"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In the event of a spin-off or similar transaction involving us, the ESPP Administrator may take actions deemed necessary or appropriate in connection with an ongoing offering and subject to compliance with applicable laws (including the assumption of purchase rights under an ongoing offering by the spun-off company, or shortening an offering and scheduling a new purchase date prior to the closing of such transaction). In the absence of any such action by the ESPP Administrator, a participant in an ongoing offering whose employer ceases to qualify as a related corporation as of the closing of a spin-off or similar transaction will be treated in the same manner as if the participant had terminated employment.</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Termination or Suspension of the ESPP</w:t>
      </w:r>
    </w:p>
    <w:p>
      <w:pPr>
        <w:spacing w:after="0" w:line="112" w:lineRule="exact"/>
        <w:rPr>
          <w:sz w:val="20"/>
          <w:szCs w:val="20"/>
          <w:color w:val="auto"/>
        </w:rPr>
      </w:pPr>
    </w:p>
    <w:p>
      <w:pPr>
        <w:ind w:right="40" w:firstLine="449"/>
        <w:spacing w:after="0" w:line="265" w:lineRule="auto"/>
        <w:rPr>
          <w:sz w:val="20"/>
          <w:szCs w:val="20"/>
          <w:color w:val="auto"/>
        </w:rPr>
      </w:pPr>
      <w:r>
        <w:rPr>
          <w:rFonts w:ascii="Times New Roman" w:cs="Times New Roman" w:eastAsia="Times New Roman" w:hAnsi="Times New Roman"/>
          <w:sz w:val="17"/>
          <w:szCs w:val="17"/>
          <w:color w:val="auto"/>
        </w:rPr>
        <w:t>The ESPP Administrator may amend the ESPP at any time in any respect the ESPP Administrator deems necessary or advisable. However, except with respect to capitalization adjustments described above, shareholder approval will be required for any amendment of the ESPP for which shareholder approval is required by applicable laws, regulations or listing requirements, including any amendment that either (i) increases the number of shares of our Class A common stock available for issuance under the ESPP, (ii) expands the class of individuals eligible to become participants and receive purchase rights,</w:t>
      </w:r>
    </w:p>
    <w:p>
      <w:pPr>
        <w:ind w:firstLine="6"/>
        <w:spacing w:after="0" w:line="247" w:lineRule="auto"/>
        <w:tabs>
          <w:tab w:leader="none" w:pos="3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increases the benefits accruing to participants under the ESPP or reduces the price at which shares of our Class A common stock may be purchased under the ESPP, (iv) extends the term of the ESPP, or (v) expands the types of awards available for issuance under the ESPP, but in each case only to the extent shareholder approval is required by applicable laws.</w:t>
      </w:r>
    </w:p>
    <w:p>
      <w:pPr>
        <w:spacing w:after="0" w:line="189" w:lineRule="exact"/>
        <w:rPr>
          <w:sz w:val="20"/>
          <w:szCs w:val="20"/>
          <w:color w:val="auto"/>
        </w:rPr>
      </w:pPr>
    </w:p>
    <w:p>
      <w:pPr>
        <w:ind w:right="660" w:firstLine="449"/>
        <w:spacing w:after="0" w:line="270" w:lineRule="auto"/>
        <w:rPr>
          <w:sz w:val="20"/>
          <w:szCs w:val="20"/>
          <w:color w:val="auto"/>
        </w:rPr>
      </w:pPr>
      <w:r>
        <w:rPr>
          <w:rFonts w:ascii="Times New Roman" w:cs="Times New Roman" w:eastAsia="Times New Roman" w:hAnsi="Times New Roman"/>
          <w:sz w:val="18"/>
          <w:szCs w:val="18"/>
          <w:color w:val="auto"/>
        </w:rPr>
        <w:t>The ESPP Administrator may suspend or terminate the ESPP at any time. No purchase rights may be granted under the ESPP while the ESPP is suspended or after it is terminated.</w:t>
      </w:r>
    </w:p>
    <w:p>
      <w:pPr>
        <w:spacing w:after="0" w:line="169"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Bonus Plan</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7, 2021, our board of directors approved the Executive Incentive Bonus Plan (the “Bonus Plan”).</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2"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 purpose of the Bonus Plan is to motivate and reward eligible officers and employees of Clover Health, including the named executive officers, for their contributions toward the achievement of certain performance goals. The Bonus Plan is administered by the compensation committee of Clover Health’s board of directors, which shall have the discretionary authority to interpret the provisions of the Bonus Plan, including all decisions on eligibility to participate, the establishment of performance goals, the number of awards payable under the plan, and the payment of awards. The compensation committee, in its sole discretion and on such terms and conditions as it may provide, may delegate all or part of its authority and powers under the Bonus Plan to one or more directors and/or officers of Clover Health. The compensation committee may terminate the Bonus Plan at any time, provided such termination shall not affect the payment of any awards accrued under the Bonus Plan prior to the date of the termination. The compensation committee may, at any time, or from time to time, amend or suspend and, if suspended, reinstate, the Bonus Plan in whole or in part.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450"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Targets and Performance Criteria</w:t>
      </w:r>
    </w:p>
    <w:p>
      <w:pPr>
        <w:spacing w:after="0" w:line="11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compensation committee may establish cash bonus targets and corporate performance metrics for a specific performance period or fiscal year pursuant to the Bonus Plan. Corporate performance goals may be based on wide-ranging criteria and metrics described in the plan. However, awards issued to participants may also take into account other factors, including subjective factors. Performance goals may differ from participant to participant, performance period to performance period, and from award to award.</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Eligibility and Clawback</w:t>
      </w:r>
    </w:p>
    <w:p>
      <w:pPr>
        <w:spacing w:after="0" w:line="11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Unless otherwise determined by the compensation committee, a participant must be actively employed and in good standing with Clover Health on the date the award is paid. The compensation committee may make exceptions to this requirement in the case of retirement, death or disability, an unqualified leave of absence or under other circumstances, as determined by the compensation committee in its sole discretion.</w:t>
      </w:r>
    </w:p>
    <w:p>
      <w:pPr>
        <w:spacing w:after="0" w:line="17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Awards granted under the Bonus Plan are subject to applicable laws and clawback policies requiring forfeiture or repayment of amounts paid under the plan. The compensation committee may require a participant to forfeit or return to and/or reimburse Clover Health for any amounts paid with respect to an award, pursuant to the terms of any Clover Health clawback policy or as necessary or appropriate to comply with applicable laws.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40"/>
          </w:cols>
          <w:pgMar w:left="320" w:top="450" w:right="4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18" w:lineRule="exact"/>
        <w:rPr>
          <w:sz w:val="20"/>
          <w:szCs w:val="20"/>
          <w:color w:val="auto"/>
        </w:rPr>
      </w:pPr>
    </w:p>
    <w:p>
      <w:pPr>
        <w:ind w:right="680" w:firstLine="449"/>
        <w:spacing w:after="0" w:line="270"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the following describes transactions since January 1, 2018, and each currently proposed transaction in which:</w:t>
      </w:r>
    </w:p>
    <w:p>
      <w:pPr>
        <w:spacing w:after="0" w:line="76" w:lineRule="exact"/>
        <w:rPr>
          <w:sz w:val="20"/>
          <w:szCs w:val="20"/>
          <w:color w:val="auto"/>
        </w:rPr>
      </w:pPr>
    </w:p>
    <w:p>
      <w:pPr>
        <w:ind w:left="1000" w:hanging="439"/>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SCH or Clover have been or are to be a participant;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3" w:lineRule="exact"/>
        <w:rPr>
          <w:rFonts w:ascii="Times New Roman" w:cs="Times New Roman" w:eastAsia="Times New Roman" w:hAnsi="Times New Roman"/>
          <w:sz w:val="18"/>
          <w:szCs w:val="18"/>
          <w:color w:val="auto"/>
        </w:rPr>
      </w:pPr>
    </w:p>
    <w:p>
      <w:pPr>
        <w:ind w:left="1000" w:right="360" w:hanging="439"/>
        <w:spacing w:after="0" w:line="270"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Closing, we, the Sponsor, SCH’s independent directors, certain stockholders of Clover, including entities affiliated with</w:t>
      </w:r>
    </w:p>
    <w:p>
      <w:pPr>
        <w:spacing w:after="0" w:line="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Mr. Garipalli, our Chief Executive Officer, entities affiliated with Greenoaks Capital, a holder of more than 5% of our outstanding capital stock, and entities affiliated with our director, Nathaniel Turner, and the other parties thereto entered into an Amended and Restated Registration Rights Agreement dated as of January 7, 2021 (the “Registration Rights Agreement”). Under the Registration Rights Agreement, we are obligated to file a registration statement to register the resale of shares of our Class A common stock held by the parties thereto and the private placement warrants held by the Sponsor and shares of our Class A common stock issuable upon the exercise of the private placement warrants. In addition, pursuant to the terms of the Registration Rights Agreement and subject to certain requirements and customary conditions, including with respect to the shares of our common stock held by the Sponsor and certain stockholders of Clover immediately following the Closing (not including the PIPE shares issued in the PIPE Investment pursuant to the terms of the subscription agreements) (the “Lock-up Shares”), including a lock-up of such shares in each case ending on the earlier of (i) the date that is 180 days after the Closing Date and (ii) (a) for 33.33% of the Lock-up Shares held by each of the parties thereto (and their respective permitted transferees), the date which the last reported sale price of our common stock equals or exceeds $12.50 per share (subject to adjustment) for any 20 trading days within any 30-trading day period commencing at least 31 days after the Closing Date and (b) for an additional 50% of the Lock-up Shares held by each of the parties thereto (and their respective permitted transferees), the date which the last reported sale price of our common stock equals or exceeds $15.00 per share (subject to adjustment) for any 20 trading days within any 30-trading day period commencing at least 31 days after the Closing Date. The lock-up set forth in the Registration Rights Agreement supersedes the lock-up provisions set forth in Section 7 of that certain letter agreement, dated as of April 21, 2020, by and among SCH, the Sponsor and each of the other parties thereto (the “Insider Letter”) which provisions in Section 7 of the Insider Letter shall be of no further force or effect as of the date of the Registration Rights Agreement. The Registration Rights Agreement will terminate on the earlier of (i) the tenth anniversary of the date of the Registration Rights Agreement or (ii) with respect to any party thereto, on the date that such party no longer holds any registrable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Pre-Business Combination Related Party Transactions of Clover</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Stock Financing</w:t>
      </w:r>
    </w:p>
    <w:p>
      <w:pPr>
        <w:spacing w:after="0" w:line="220"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 multiple closings between May 2017 and December 2018, Clover sold an aggregate of 25,547,782 shares of its Series D preferred stock at a purchase price of $9.3778 per share for an aggregate purchase price of approximately $239.6 million. The following table summarizes the Series D preferred stock purchased by beneficial owners of more than 5% of our capital stock. The terms of these purchases were the same for all purchasers of Clover’s Series D preferred stock.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6860" w:type="dxa"/>
            <w:vAlign w:val="bottom"/>
          </w:tcPr>
          <w:p>
            <w:pPr>
              <w:spacing w:after="0"/>
              <w:rPr>
                <w:sz w:val="16"/>
                <w:szCs w:val="16"/>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9"/>
              </w:rPr>
              <w:t>Shares of Series D</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198"/>
        </w:trPr>
        <w:tc>
          <w:tcPr>
            <w:tcW w:w="812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Greenoaks Capital</w:t>
            </w:r>
            <w:r>
              <w:rPr>
                <w:rFonts w:ascii="Times New Roman" w:cs="Times New Roman" w:eastAsia="Times New Roman" w:hAnsi="Times New Roman"/>
                <w:sz w:val="14"/>
                <w:szCs w:val="14"/>
                <w:color w:val="auto"/>
              </w:rPr>
              <w:t>(1)</w:t>
            </w:r>
          </w:p>
        </w:tc>
        <w:tc>
          <w:tcPr>
            <w:tcW w:w="1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3,199,044</w:t>
            </w: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29,999,994</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893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47" w:lineRule="exact"/>
        <w:rPr>
          <w:sz w:val="20"/>
          <w:szCs w:val="20"/>
          <w:color w:val="auto"/>
        </w:rPr>
      </w:pPr>
    </w:p>
    <w:p>
      <w:pPr>
        <w:ind w:left="5500" w:right="4560" w:hanging="5494"/>
        <w:spacing w:after="0" w:line="479" w:lineRule="auto"/>
        <w:tabs>
          <w:tab w:leader="none" w:pos="46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affiliated with Greenoaks Capital are collectively a greater than 5% stockholder. 169</w:t>
      </w:r>
    </w:p>
    <w:p>
      <w:pPr>
        <w:sectPr>
          <w:pgSz w:w="11900" w:h="16838" w:orient="portrait"/>
          <w:cols w:equalWidth="0" w:num="1">
            <w:col w:w="11240"/>
          </w:cols>
          <w:pgMar w:left="320" w:top="450"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Bridge Loan Financing</w:t>
      </w:r>
    </w:p>
    <w:p>
      <w:pPr>
        <w:spacing w:after="0" w:line="114"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In December 2018, Clover issued non-convertible promissory notes in an aggregate principal amount of $30.0 million to accredited investors. The non-convertible promissory notes accrued interest at a rate of 10%. All outstanding principal amount and accrued interest under the non-convertible promissory notes were cancelled in consideration for convertible securities upon the closing of Clover’s convertible securities financing in February 2019. The following table summarizes the non-convertible promissory notes purchased by our directors, executive officers and beneficial owners of more than 5% of our capital stock. The terms of these purchases were the same for all purchasers of non-convertible promissory notes.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Name of holder</w:t>
            </w:r>
          </w:p>
        </w:tc>
        <w:tc>
          <w:tcPr>
            <w:tcW w:w="5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r>
      <w:tr>
        <w:trPr>
          <w:trHeight w:val="198"/>
        </w:trPr>
        <w:tc>
          <w:tcPr>
            <w:tcW w:w="628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Greenoaks Capital</w:t>
            </w:r>
            <w:r>
              <w:rPr>
                <w:rFonts w:ascii="Times New Roman" w:cs="Times New Roman" w:eastAsia="Times New Roman" w:hAnsi="Times New Roman"/>
                <w:sz w:val="14"/>
                <w:szCs w:val="14"/>
                <w:color w:val="auto"/>
              </w:rPr>
              <w:t>(1)</w:t>
            </w:r>
          </w:p>
        </w:tc>
        <w:tc>
          <w:tcPr>
            <w:tcW w:w="3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w w:val="93"/>
              </w:rPr>
              <w:t>10,000,000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2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Caesar Clover, LLC</w:t>
            </w:r>
            <w:r>
              <w:rPr>
                <w:rFonts w:ascii="Times New Roman" w:cs="Times New Roman" w:eastAsia="Times New Roman" w:hAnsi="Times New Roman"/>
                <w:sz w:val="14"/>
                <w:szCs w:val="14"/>
                <w:color w:val="auto"/>
              </w:rPr>
              <w:t>(2)</w:t>
            </w:r>
          </w:p>
        </w:tc>
        <w:tc>
          <w:tcPr>
            <w:tcW w:w="370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893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29" w:lineRule="exact"/>
        <w:rPr>
          <w:sz w:val="20"/>
          <w:szCs w:val="20"/>
          <w:color w:val="auto"/>
        </w:rPr>
      </w:pPr>
    </w:p>
    <w:p>
      <w:pPr>
        <w:ind w:left="460" w:hanging="454"/>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Greenoaks Capital are collectively a greater than 5% stockholder.</w:t>
      </w:r>
    </w:p>
    <w:p>
      <w:pPr>
        <w:spacing w:after="0" w:line="22" w:lineRule="exact"/>
        <w:rPr>
          <w:rFonts w:ascii="Times New Roman" w:cs="Times New Roman" w:eastAsia="Times New Roman" w:hAnsi="Times New Roman"/>
          <w:sz w:val="18"/>
          <w:szCs w:val="18"/>
          <w:color w:val="auto"/>
        </w:rPr>
      </w:pPr>
    </w:p>
    <w:p>
      <w:pPr>
        <w:ind w:left="460" w:right="200" w:hanging="454"/>
        <w:spacing w:after="0" w:line="279" w:lineRule="auto"/>
        <w:tabs>
          <w:tab w:leader="none" w:pos="4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Caesar Clover, LLC, together with other entities affiliated with NJ Healthcare Investments, LLC, are a greater than 5% stockholder, and Mr. Garipalli, our Chief Executive Officer, is the sole manager of Caesar Clover, LLC and the other entities affiliated with NJ Healthcare Investments, LLC.</w:t>
      </w:r>
    </w:p>
    <w:p>
      <w:pPr>
        <w:spacing w:after="0" w:line="264"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Convertible Securities Financing</w:t>
      </w:r>
    </w:p>
    <w:p>
      <w:pPr>
        <w:spacing w:after="0" w:line="114" w:lineRule="exact"/>
        <w:rPr>
          <w:sz w:val="20"/>
          <w:szCs w:val="20"/>
          <w:color w:val="auto"/>
        </w:rPr>
      </w:pPr>
    </w:p>
    <w:p>
      <w:pPr>
        <w:ind w:firstLine="449"/>
        <w:spacing w:after="0" w:line="246" w:lineRule="auto"/>
        <w:rPr>
          <w:sz w:val="20"/>
          <w:szCs w:val="20"/>
          <w:color w:val="auto"/>
        </w:rPr>
      </w:pPr>
      <w:r>
        <w:rPr>
          <w:rFonts w:ascii="Times New Roman" w:cs="Times New Roman" w:eastAsia="Times New Roman" w:hAnsi="Times New Roman"/>
          <w:sz w:val="18"/>
          <w:szCs w:val="18"/>
          <w:color w:val="auto"/>
        </w:rPr>
        <w:t>In February, May and August 2019, Clover issued and sold convertible securities, in an aggregate principal amount of $373.8 million to accredited investors. Until the first anniversary of the issue date, interest on the convertible securities accrued at a rate of 6.5% per annum and is compounded semi-annually in kind. Thereafter, for each successive six-month period after the first anniversary and until the third anniversary of issue date, the per annum interest rate on the convertible securities increases by 1.5%. From the third anniversary to the maturity date, interest accrues at 13.5% per annum and is compounded semi-annually in kind. The convertible securities initially mature on April 1, 2023, which may be extended under certain circumstances by Clover. At any time prior to maturity, Clover may repurchase or redeem up to 40% of the initial principal amount under the convertible securities prior to the maturity date at the redemption prices set forth in the convertible securities purchase agreement, provided that Clover also issue their holders warrants to purchase shares of Clover capital stock on the amount and on the terms set forth in the agreement. At maturity, Clover may not repay principal and accrued interest under the convertible securities in cash without providing their holders the opportunity to convert such amount into shares of Clover capital stock. Pursuant to the convertible security amendment and conversion agreement entered in to in connection with the Business Combination, the convertible securities were mandatorily converted into a number of shares of Clover Class Z common stock immediately prior to the First Merger equal to the product of (i) the outstanding principal and accrued interest balance thereunder on the date of that is at most five days prior to the date of conversion of the convertible security at a discount to the price (the “Merger Price”) obtained by multiplying the Per Share Merger Consideration (as defined in the Merger Agreement) by a fraction, the numerator of which is the Aggregate Fully Diluted Company Common Shares (as defined in the Merger Agreement) and the denominator of which is the number of shares of common stock outstanding as of immediately prior to the First Merger on an as-converted, as-exercised basis and (ii) 1.0935, which represents a factor that is intended to result in the convertible securities converting into a number of shares of Clover Class Z common stock with a relative fully diluted ownership percentage that is equivalent to the relative fully diluted ownership percentage that such convertible securities would represent upon the consummation of an initial public offering. The conversion price was calculated as the lesser of (i) the Merger Price multiplied by 28.5% for the convertible promissory securities issued in May and August of 2019 or 32% for the convertible promissory securities issued in February and March 2019 (assuming the Mergers had occurred on September 30, 2020), and (ii) a price per share equal to (x) $2.5 billion, divided by (y) the number of shares of common stock outstanding or reserved for issuance under our equity plans as of the closing of this offering on an as-converted, as-exercised basis as defined in the convertible securities purchase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450"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260" w:firstLine="449"/>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aggregate principal amounts and amounts outstanding as of September 30, 2020, for the contingently convertible securities purchased by our directors, executive officers and beneficial owners of more than 5% of our capital stock. The terms of these purchases were the same for all purchasers of the contingently promissory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Principal Aggregate</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5"/>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42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77"/>
        </w:trPr>
        <w:tc>
          <w:tcPr>
            <w:tcW w:w="126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80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the Closing Date</w:t>
            </w:r>
          </w:p>
        </w:tc>
        <w:tc>
          <w:tcPr>
            <w:tcW w:w="0" w:type="dxa"/>
            <w:vAlign w:val="bottom"/>
          </w:tcPr>
          <w:p>
            <w:pPr>
              <w:spacing w:after="0"/>
              <w:rPr>
                <w:sz w:val="1"/>
                <w:szCs w:val="1"/>
                <w:color w:val="auto"/>
              </w:rPr>
            </w:pPr>
          </w:p>
        </w:tc>
      </w:tr>
      <w:tr>
        <w:trPr>
          <w:trHeight w:val="198"/>
        </w:trPr>
        <w:tc>
          <w:tcPr>
            <w:tcW w:w="548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Greenoaks Capital</w:t>
            </w:r>
            <w:r>
              <w:rPr>
                <w:rFonts w:ascii="Times New Roman" w:cs="Times New Roman" w:eastAsia="Times New Roman" w:hAnsi="Times New Roman"/>
                <w:sz w:val="14"/>
                <w:szCs w:val="14"/>
                <w:color w:val="auto"/>
              </w:rPr>
              <w:t>(1)</w:t>
            </w:r>
          </w:p>
        </w:tc>
        <w:tc>
          <w:tcPr>
            <w:tcW w:w="2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338,898,889.89</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383,353,794.41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Caesar Clover, LLC</w:t>
            </w:r>
            <w:r>
              <w:rPr>
                <w:rFonts w:ascii="Times New Roman" w:cs="Times New Roman" w:eastAsia="Times New Roman" w:hAnsi="Times New Roman"/>
                <w:sz w:val="14"/>
                <w:szCs w:val="14"/>
                <w:color w:val="auto"/>
              </w:rPr>
              <w:t>(2)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10,138,888.89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11,650,329.59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893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29" w:lineRule="exact"/>
        <w:rPr>
          <w:sz w:val="20"/>
          <w:szCs w:val="20"/>
          <w:color w:val="auto"/>
        </w:rPr>
      </w:pPr>
    </w:p>
    <w:p>
      <w:pPr>
        <w:ind w:left="460" w:hanging="454"/>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Greenoaks Capital are collectively a greater than 5% stockholder.</w:t>
      </w:r>
    </w:p>
    <w:p>
      <w:pPr>
        <w:spacing w:after="0" w:line="22" w:lineRule="exact"/>
        <w:rPr>
          <w:rFonts w:ascii="Times New Roman" w:cs="Times New Roman" w:eastAsia="Times New Roman" w:hAnsi="Times New Roman"/>
          <w:sz w:val="18"/>
          <w:szCs w:val="18"/>
          <w:color w:val="auto"/>
        </w:rPr>
      </w:pPr>
    </w:p>
    <w:p>
      <w:pPr>
        <w:ind w:left="460" w:right="200" w:hanging="454"/>
        <w:spacing w:after="0" w:line="279" w:lineRule="auto"/>
        <w:tabs>
          <w:tab w:leader="none" w:pos="4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Caesar Clover, LLC, together with other entities affiliated with NJ Healthcare Investments, LLC, are a greater than 5% stockholder, and Mr. Garipalli, our Chief Executive Officer, is the sole manager of Caesar Clover, LLC and the other entities affiliated with NJ Healthcare Investments, LLC.</w:t>
      </w:r>
    </w:p>
    <w:p>
      <w:pPr>
        <w:spacing w:after="0" w:line="162"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of the Closing Date, the amount outstanding under these securities have converted into 69,921,040 shares of our Class B common stock.</w:t>
      </w:r>
    </w:p>
    <w:p>
      <w:pPr>
        <w:spacing w:after="0" w:line="317"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Stock Transfers</w:t>
      </w:r>
    </w:p>
    <w:p>
      <w:pPr>
        <w:spacing w:after="0" w:line="114" w:lineRule="exact"/>
        <w:rPr>
          <w:sz w:val="20"/>
          <w:szCs w:val="20"/>
          <w:color w:val="auto"/>
        </w:rPr>
      </w:pPr>
    </w:p>
    <w:p>
      <w:pPr>
        <w:ind w:right="640" w:firstLine="449"/>
        <w:spacing w:after="0" w:line="300" w:lineRule="auto"/>
        <w:rPr>
          <w:sz w:val="20"/>
          <w:szCs w:val="20"/>
          <w:color w:val="auto"/>
        </w:rPr>
      </w:pPr>
      <w:r>
        <w:rPr>
          <w:rFonts w:ascii="Times New Roman" w:cs="Times New Roman" w:eastAsia="Times New Roman" w:hAnsi="Times New Roman"/>
          <w:sz w:val="17"/>
          <w:szCs w:val="17"/>
          <w:color w:val="auto"/>
        </w:rPr>
        <w:t>In July 2018, entities affiliated with Nathaniel S. Turner, a member of our board of directors, purchased an aggregate of 38,835 shares of Clover outstanding common stock from a stockholder, at a purchase price of $6.00 per share, for an aggregate purchase price of approximately $0.2 million.</w:t>
      </w:r>
    </w:p>
    <w:p>
      <w:pPr>
        <w:spacing w:after="0" w:line="146" w:lineRule="exact"/>
        <w:rPr>
          <w:sz w:val="20"/>
          <w:szCs w:val="20"/>
          <w:color w:val="auto"/>
        </w:rPr>
      </w:pPr>
    </w:p>
    <w:p>
      <w:pPr>
        <w:ind w:right="580" w:firstLine="449"/>
        <w:spacing w:after="0" w:line="258" w:lineRule="auto"/>
        <w:rPr>
          <w:sz w:val="20"/>
          <w:szCs w:val="20"/>
          <w:color w:val="auto"/>
        </w:rPr>
      </w:pPr>
      <w:r>
        <w:rPr>
          <w:rFonts w:ascii="Times New Roman" w:cs="Times New Roman" w:eastAsia="Times New Roman" w:hAnsi="Times New Roman"/>
          <w:sz w:val="18"/>
          <w:szCs w:val="18"/>
          <w:color w:val="auto"/>
        </w:rPr>
        <w:t>In November 2018, entities affiliated with Mr. Garipalli and NJ Healthcare Investments, LLC purchased an aggregate of 88,102 shares of Clover outstanding common stock from three different stockholders, at a purchase price of $6.00 per share, for an aggregate purchase price of approximately $0.5 million.</w:t>
      </w:r>
    </w:p>
    <w:p>
      <w:pPr>
        <w:spacing w:after="0" w:line="179"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In August 2020, entities affiliated with Mr. Garipalli purchased an aggregate of 81,612 shares of Clover outstanding common stock from a stockholder, at a purchase price of $5.70 per share, for an aggregate purchase price of approximately $0.5 million.</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Hospital Contracts</w:t>
      </w:r>
    </w:p>
    <w:p>
      <w:pPr>
        <w:spacing w:after="0" w:line="114" w:lineRule="exact"/>
        <w:rPr>
          <w:sz w:val="20"/>
          <w:szCs w:val="20"/>
          <w:color w:val="auto"/>
        </w:rPr>
      </w:pPr>
    </w:p>
    <w:p>
      <w:pPr>
        <w:ind w:right="160" w:firstLine="449"/>
        <w:spacing w:after="0" w:line="249" w:lineRule="auto"/>
        <w:rPr>
          <w:sz w:val="20"/>
          <w:szCs w:val="20"/>
          <w:color w:val="auto"/>
        </w:rPr>
      </w:pPr>
      <w:r>
        <w:rPr>
          <w:rFonts w:ascii="Times New Roman" w:cs="Times New Roman" w:eastAsia="Times New Roman" w:hAnsi="Times New Roman"/>
          <w:sz w:val="18"/>
          <w:szCs w:val="18"/>
          <w:color w:val="auto"/>
        </w:rPr>
        <w:t>We have various contracts with IJKG Opco LLC (d/b/a CarePoint Health—Bayonne Medical Center), Hudson Hospital Opco LLC (d/b/a CarePoint Health—Christ Hospital) and Hoboken University Medical Center Opco LLC (d/b/a CarePoint Health—Hoboken University Medical Center), which collectively do business as CarePoint Health System and are in-network Clover providers in New Jersey. CarePoint Health System is 80% owned and controlled by entities affiliated with Mr. Garipalli, our Chief Executive Officer, and who, through his affiliated entities, owns greater than 5% of our capital stock. We have entered into contracts, similar to those with many of our other in-network hospitals, with CarePoint Health System for the provision of inpatient and hospital-based outpatient services. Expenses and fees incurred related to these contracts, recorded in net medical claims incurred, in 2018, 2019 and 2020 were $12.6 million, $9.7 million, and $11.1 million, respectively.</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contracts</w:t>
      </w:r>
    </w:p>
    <w:p>
      <w:pPr>
        <w:spacing w:after="0" w:line="114" w:lineRule="exact"/>
        <w:rPr>
          <w:sz w:val="20"/>
          <w:szCs w:val="20"/>
          <w:color w:val="auto"/>
        </w:rPr>
      </w:pPr>
    </w:p>
    <w:p>
      <w:pPr>
        <w:ind w:right="80" w:firstLine="449"/>
        <w:spacing w:after="0" w:line="273" w:lineRule="auto"/>
        <w:rPr>
          <w:sz w:val="20"/>
          <w:szCs w:val="20"/>
          <w:color w:val="auto"/>
        </w:rPr>
      </w:pPr>
      <w:r>
        <w:rPr>
          <w:rFonts w:ascii="Times New Roman" w:cs="Times New Roman" w:eastAsia="Times New Roman" w:hAnsi="Times New Roman"/>
          <w:sz w:val="17"/>
          <w:szCs w:val="17"/>
          <w:color w:val="auto"/>
        </w:rPr>
        <w:t>We have a contract with Medical Records Exchange, LLC (d/b/a ChartFast) pursuant to which we receive administrative services related to medical records via ChartFast’s electronic applications and web portal platform. ChartFast is 76% owned and controlled by entities affiliated with Mr. Garipalli, our Chief Executive Officer, and who, through his affiliated entities, owns at least 5% of the capital stock. Expenses and fees incurred related to this agreement, in 2018 and 2020, were $0.5 million and $0.1 million, respectively. The expenses and fees incurred under this agreement in 2019 were insignificant.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450"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We have various contracts with Rogue Trading, LLC pursuant to which Rogue Trading provides marketing and consulting services to us. Rogue Trading is ultimately held and controlled by Chris Toy, the brother of Andrew Toy, our President and Chief Technology Officer. Expenses and fees incurred related to this contract in 2018 and 2019 were $0.325 million and $0.1 million. There were no expenses or fees paid in 2020.</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14" w:lineRule="exact"/>
        <w:rPr>
          <w:sz w:val="20"/>
          <w:szCs w:val="20"/>
          <w:color w:val="auto"/>
        </w:rPr>
      </w:pPr>
    </w:p>
    <w:p>
      <w:pPr>
        <w:ind w:right="340" w:firstLine="449"/>
        <w:spacing w:after="0" w:line="253" w:lineRule="auto"/>
        <w:rPr>
          <w:sz w:val="20"/>
          <w:szCs w:val="20"/>
          <w:color w:val="auto"/>
        </w:rPr>
      </w:pPr>
      <w:r>
        <w:rPr>
          <w:rFonts w:ascii="Times New Roman" w:cs="Times New Roman" w:eastAsia="Times New Roman" w:hAnsi="Times New Roman"/>
          <w:sz w:val="18"/>
          <w:szCs w:val="18"/>
          <w:color w:val="auto"/>
        </w:rPr>
        <w:t>Clover is party to the Fifth Amended and Restated Investors’ Rights Agreement, dated as of February 21, 2019, which grants registration rights and information rights, among other things, to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All of these rights terminated upon the Closing.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14" w:lineRule="exact"/>
        <w:rPr>
          <w:sz w:val="20"/>
          <w:szCs w:val="20"/>
          <w:color w:val="auto"/>
        </w:rPr>
      </w:pPr>
    </w:p>
    <w:p>
      <w:pPr>
        <w:ind w:right="20" w:firstLine="449"/>
        <w:spacing w:after="0" w:line="265" w:lineRule="auto"/>
        <w:rPr>
          <w:sz w:val="20"/>
          <w:szCs w:val="20"/>
          <w:color w:val="auto"/>
        </w:rPr>
      </w:pPr>
      <w:r>
        <w:rPr>
          <w:rFonts w:ascii="Times New Roman" w:cs="Times New Roman" w:eastAsia="Times New Roman" w:hAnsi="Times New Roman"/>
          <w:sz w:val="17"/>
          <w:szCs w:val="17"/>
          <w:color w:val="auto"/>
        </w:rPr>
        <w:t>Pursuant to certain agreements with its stockholders, including the Fifth Amended and Restated Right of First Refusal and Co-Sale Agreement, dated as of February 21, 2019 (the “ROFR Agreement”), Clover or its assignees have the right to purchase shares of Clover capital stock which certain stockholders propose to sell to other parties. Certain holders of Clover capital stock, including (i) entities affiliated with Greenoaks Capital, who collectively own more than 5% our capital stock, (ii) entities affiliated with NJ Healthcare Investments, LLC, which is affiliated with our Chief Executive Officer, Vivek Garipalli, and</w:t>
      </w:r>
    </w:p>
    <w:p>
      <w:pPr>
        <w:ind w:right="520" w:firstLine="6"/>
        <w:spacing w:after="0" w:line="250" w:lineRule="auto"/>
        <w:tabs>
          <w:tab w:leader="none" w:pos="3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our director, Nathaniel Turner have rights of first refusal and co-sale under the ROFR Agreement. All of these rights and this agreement terminated upon the Closing.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14"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Clover is a party to the Fourth Amended and Restated Voting Agreement, dated as of February 21, 2019, pursuant to which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agreed to vote their shares of our capital stock on certain matters, including with respect to the election of directors. This agreement terminated upon the Closing.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and Employment Arrangements</w:t>
      </w:r>
    </w:p>
    <w:p>
      <w:pPr>
        <w:spacing w:after="0" w:line="112" w:lineRule="exact"/>
        <w:rPr>
          <w:sz w:val="20"/>
          <w:szCs w:val="20"/>
          <w:color w:val="auto"/>
        </w:rPr>
      </w:pPr>
    </w:p>
    <w:p>
      <w:pPr>
        <w:ind w:right="20" w:firstLine="449"/>
        <w:spacing w:after="0" w:line="259"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Clover’s Executive Compensation</w:t>
      </w:r>
      <w:r>
        <w:rPr>
          <w:rFonts w:ascii="Times New Roman" w:cs="Times New Roman" w:eastAsia="Times New Roman" w:hAnsi="Times New Roman"/>
          <w:sz w:val="18"/>
          <w:szCs w:val="18"/>
          <w:color w:val="auto"/>
        </w:rPr>
        <w:t>” for information on compensation arrangements with our executive officers and directors, which include, among other things, stock awards, agreements with executive officers and certain other benefits, and for information on termination arrangements with executive officers.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w:t>
      </w:r>
    </w:p>
    <w:p>
      <w:pPr>
        <w:spacing w:after="0" w:line="112" w:lineRule="exact"/>
        <w:rPr>
          <w:sz w:val="20"/>
          <w:szCs w:val="20"/>
          <w:color w:val="auto"/>
        </w:rPr>
      </w:pPr>
    </w:p>
    <w:p>
      <w:pPr>
        <w:ind w:right="240" w:firstLine="449"/>
        <w:spacing w:after="0" w:line="273"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Management—Limitation of Liability and Indemnification of Directors and Officers</w:t>
      </w:r>
      <w:r>
        <w:rPr>
          <w:rFonts w:ascii="Times New Roman" w:cs="Times New Roman" w:eastAsia="Times New Roman" w:hAnsi="Times New Roman"/>
          <w:sz w:val="18"/>
          <w:szCs w:val="18"/>
          <w:color w:val="auto"/>
        </w:rPr>
        <w:t>” for information on our indemnification arrangements with our directors and executive officers.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Pre-Business Combination Related Party Transactions of SCH</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14" w:lineRule="exact"/>
        <w:rPr>
          <w:sz w:val="20"/>
          <w:szCs w:val="20"/>
          <w:color w:val="auto"/>
        </w:rPr>
      </w:pPr>
    </w:p>
    <w:p>
      <w:pPr>
        <w:jc w:val="both"/>
        <w:ind w:right="80" w:firstLine="449"/>
        <w:spacing w:after="0" w:line="258" w:lineRule="auto"/>
        <w:rPr>
          <w:sz w:val="20"/>
          <w:szCs w:val="20"/>
          <w:color w:val="auto"/>
        </w:rPr>
      </w:pPr>
      <w:r>
        <w:rPr>
          <w:rFonts w:ascii="Times New Roman" w:cs="Times New Roman" w:eastAsia="Times New Roman" w:hAnsi="Times New Roman"/>
          <w:sz w:val="18"/>
          <w:szCs w:val="18"/>
          <w:color w:val="auto"/>
        </w:rPr>
        <w:t>In January 2020, the Sponsor purchased 17,250,000 SCH Class B ordinary shares for an aggregate purchase price of $25,000, or approximately $0.001 per share (after a subsequent share capitalization on April 21, 2020) (the “founder shares”). In March 2020, the Sponsor transferred 100,000 founder shares to each of Dr. James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20"/>
          </w:cols>
          <w:pgMar w:left="320" w:top="450" w:right="3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18"/>
          <w:szCs w:val="18"/>
          <w:color w:val="auto"/>
        </w:rPr>
        <w:t>Ryans and Jacqueline D. Reses (two of SCH’s independent directors) at their original per-share purchase price. On April 21, 2020, SCH effected a pro rata share capitalization resulting in an increase in the total number of founder shares outstanding from 17,250,000 to 20,700,000 in order to maintain the ownership of founder shares at 20% of the issued and outstanding ordinary shares of SCH upon consummation of its initial public offering. The Sponsor received 3,450,000 founder shares in the share capitalization as a result of SCH’s independent directors waiving their right to receive shares in the share capitalization.</w:t>
      </w:r>
    </w:p>
    <w:p>
      <w:pPr>
        <w:spacing w:after="0" w:line="187" w:lineRule="exact"/>
        <w:rPr>
          <w:sz w:val="20"/>
          <w:szCs w:val="20"/>
          <w:color w:val="auto"/>
        </w:rPr>
      </w:pPr>
    </w:p>
    <w:p>
      <w:pPr>
        <w:ind w:right="40" w:firstLine="449"/>
        <w:spacing w:after="0" w:line="264" w:lineRule="auto"/>
        <w:rPr>
          <w:sz w:val="20"/>
          <w:szCs w:val="20"/>
          <w:color w:val="auto"/>
        </w:rPr>
      </w:pPr>
      <w:r>
        <w:rPr>
          <w:rFonts w:ascii="Times New Roman" w:cs="Times New Roman" w:eastAsia="Times New Roman" w:hAnsi="Times New Roman"/>
          <w:sz w:val="17"/>
          <w:szCs w:val="17"/>
          <w:color w:val="auto"/>
        </w:rPr>
        <w:t>These founder shares are identical to the SCH Class A ordinary shares included in the units sold in SCH’s initial public offering, except that (i) only the holders of the founder shares have the right to vote on the election of directors prior to the initial business combination (as defined in SCH’s organizational documents), (ii) the founder shares are subject to certain transfer restrictions, (iii) the holders of the founder shares have agreed pursuant to a letter agreement to waive (x) their redemption rights with respect to the founder shares and public shares held by them in connection with the completion of a business combination, (y) their redemption rights with respect to any founder shares and public shares held by them in connection with a shareholder vote to amend the SCH’s organizational documents (A) to modify the substance or timing of our obligation to allow redemption in connection with our initial business combination or to redeem 100% of our public shares if we do not complete our initial business combination by April 24, 2022 or (B) with respect to any other provision relating to shareholders’ rights or pre-initial business combination activity and (z) their rights to liquidating distributions from the trust account with respect to the founder shares if SCH fails to complete a business combination by April 24, 2022, (iv) the founder shares are automatically convertible into SCH Class A ordinary shares at the time of the initial business combination and (v) the founder shares are entitled to registration rights.</w:t>
      </w:r>
    </w:p>
    <w:p>
      <w:pPr>
        <w:spacing w:after="0" w:line="176"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8"/>
          <w:szCs w:val="18"/>
          <w:color w:val="auto"/>
        </w:rPr>
        <w:t>In connection with the Business Combination, upon the Domestication, 20,700,000 founder shares automatically converted, on a one-for-one basis, into a share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14" w:lineRule="exact"/>
        <w:rPr>
          <w:sz w:val="20"/>
          <w:szCs w:val="20"/>
          <w:color w:val="auto"/>
        </w:rPr>
      </w:pPr>
    </w:p>
    <w:p>
      <w:pPr>
        <w:ind w:right="80" w:firstLine="449"/>
        <w:spacing w:after="0" w:line="269" w:lineRule="auto"/>
        <w:rPr>
          <w:sz w:val="20"/>
          <w:szCs w:val="20"/>
          <w:color w:val="auto"/>
        </w:rPr>
      </w:pPr>
      <w:r>
        <w:rPr>
          <w:rFonts w:ascii="Times New Roman" w:cs="Times New Roman" w:eastAsia="Times New Roman" w:hAnsi="Times New Roman"/>
          <w:sz w:val="17"/>
          <w:szCs w:val="17"/>
          <w:color w:val="auto"/>
        </w:rPr>
        <w:t>Simultaneously with the consummation of the initial public offering of SCH, the Sponsor purchased 10,933,333 private placement warrants to purchase one SCH Class A ordinary share at an exercise price of $11.50 at a price of $1.50 per warrant, or $16.4 million in the aggregate, in a private placement. Each private placement warrant entitled the holder to purchase one SCH Class A ordinary share for $11.50 per share. A portion of the proceeds from the sale of the private placement warrants was placed in the trust account of SCH. In connection with the Business Combination, upon the Domestication, each of the 10,933,333 private placement warrants automatically converted into a warrant to acquire one share of our Class A common stock.</w:t>
      </w:r>
    </w:p>
    <w:p>
      <w:pPr>
        <w:spacing w:after="0" w:line="174" w:lineRule="exact"/>
        <w:rPr>
          <w:sz w:val="20"/>
          <w:szCs w:val="20"/>
          <w:color w:val="auto"/>
        </w:rPr>
      </w:pPr>
    </w:p>
    <w:p>
      <w:pPr>
        <w:ind w:right="100" w:firstLine="449"/>
        <w:spacing w:after="0" w:line="251"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included in the units sold in the initial public offering of SCH except that so long as the private placement warrants are held by the Sponsor or its permitted transferees: (i) they are not redeemable by us, (ii) (2) they (including the shares issuable upon exercise of these warrants) may not, subject to certain limited exceptions, be transferred, assigned or sold by the Sponsor until 30 days after the Closing; (3) they may be exercised by the holders on a cashless basis; and (4) they (including the shares issuable upon exercise of these warrants) are entitled to registration rights.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1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if any (and any SCH Class A ordinary shares issuable upon the exercise of the private placement warrants or warrants issued upon conversion of the working capital loans and upon conversion of the founder shares) are entitled to registration rights pursuant to a registration rights agreement signed April 21, 2020 requiring SCH to register such securities for resale (in the case of the founder shares, only after conversion to SCH Class A ordinary shares). The holders of these securities are entitled to make up to three demands, excluding short form demands, that SCH register such securities. In addition, the holders have certain “piggy-back” registration rights with respect to registration statements filed subsequent to the completion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450" w:right="3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SCH’s initial business combination and rights to require SCH to register for resale such securities pursuant to Rule 415 under the Securities Act. SCH will bear the expenses incurred in connection with the filing of any such registration statements.</w:t>
      </w:r>
    </w:p>
    <w:p>
      <w:pPr>
        <w:spacing w:after="0" w:line="169"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In connection with the Business Combination, the registration rights agreement was amended and restated. For additional information, see the section above entitled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14"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Concurrently with the execution of the Merger Agreement, we entered into subscription agreements with the PIPE investors that are existing directors, officers or equityholders of the Sponsor and its affiliates (together with their permitted transferees) (collectively, the “Sponsor Related PIPE Investors”), pursuant to which the Sponsor Related PIPE Investors have subscribed for shares of our Class A common stock in connection with the PIPE Investment. Certain of the Sponsor Related PIPE Investors are expected to fund $152,000,000 of the PIPE Investment, for which they will receive 15,200,000 shares of our Class A common stock. Specifically, (i) CHACHACHA SPAC C LLC, an entity affiliated with Chamath Palihapitiya (SCH’s Chairman and Chief Executive Officer), subscribed for 10,000,000 shares of our Class A common stock, (ii) Hedosophia Group Limited, an entity affiliated with Ian Osborne (SCH’s President and director), subscribed for 5,000,000 shares of our Class A common stock and (iii) Jacqueline D. Reses subscribed for 200,000 shares of our Class A common stock.</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PIPE Investment was consummated concurrently with the Closing.</w:t>
      </w:r>
    </w:p>
    <w:p>
      <w:pPr>
        <w:spacing w:after="0" w:line="3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and Advances</w:t>
      </w:r>
    </w:p>
    <w:p>
      <w:pPr>
        <w:spacing w:after="0" w:line="114" w:lineRule="exact"/>
        <w:rPr>
          <w:sz w:val="20"/>
          <w:szCs w:val="20"/>
          <w:color w:val="auto"/>
        </w:rPr>
      </w:pPr>
    </w:p>
    <w:p>
      <w:pPr>
        <w:ind w:right="100" w:firstLine="449"/>
        <w:spacing w:after="0" w:line="270" w:lineRule="auto"/>
        <w:rPr>
          <w:sz w:val="20"/>
          <w:szCs w:val="20"/>
          <w:color w:val="auto"/>
        </w:rPr>
      </w:pPr>
      <w:r>
        <w:rPr>
          <w:rFonts w:ascii="Times New Roman" w:cs="Times New Roman" w:eastAsia="Times New Roman" w:hAnsi="Times New Roman"/>
          <w:sz w:val="18"/>
          <w:szCs w:val="18"/>
          <w:color w:val="auto"/>
        </w:rPr>
        <w:t>The Sponsor advanced SCH an aggregate of $17,631 to cover expenses related to the initial public offering. The advances were noninterest bearing and due on demand. Advances in the aggregate amount of $17,631 were repaid in February 2020.</w:t>
      </w:r>
    </w:p>
    <w:p>
      <w:pPr>
        <w:spacing w:after="0" w:line="169" w:lineRule="exact"/>
        <w:rPr>
          <w:sz w:val="20"/>
          <w:szCs w:val="20"/>
          <w:color w:val="auto"/>
        </w:rPr>
      </w:pPr>
    </w:p>
    <w:p>
      <w:pPr>
        <w:ind w:right="360" w:firstLine="449"/>
        <w:spacing w:after="0" w:line="280" w:lineRule="auto"/>
        <w:rPr>
          <w:sz w:val="20"/>
          <w:szCs w:val="20"/>
          <w:color w:val="auto"/>
        </w:rPr>
      </w:pPr>
      <w:r>
        <w:rPr>
          <w:rFonts w:ascii="Times New Roman" w:cs="Times New Roman" w:eastAsia="Times New Roman" w:hAnsi="Times New Roman"/>
          <w:sz w:val="17"/>
          <w:szCs w:val="17"/>
          <w:color w:val="auto"/>
        </w:rPr>
        <w:t>On January 21, 2020, SCH issued an unsecured promissory note to the Sponsor, pursuant to which SCH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24, 2020.</w:t>
      </w:r>
    </w:p>
    <w:p>
      <w:pPr>
        <w:spacing w:after="0" w:line="162" w:lineRule="exact"/>
        <w:rPr>
          <w:sz w:val="20"/>
          <w:szCs w:val="20"/>
          <w:color w:val="auto"/>
        </w:rPr>
      </w:pPr>
    </w:p>
    <w:p>
      <w:pPr>
        <w:jc w:val="both"/>
        <w:ind w:right="80" w:firstLine="449"/>
        <w:spacing w:after="0" w:line="258" w:lineRule="auto"/>
        <w:rPr>
          <w:sz w:val="20"/>
          <w:szCs w:val="20"/>
          <w:color w:val="auto"/>
        </w:rPr>
      </w:pPr>
      <w:r>
        <w:rPr>
          <w:rFonts w:ascii="Times New Roman" w:cs="Times New Roman" w:eastAsia="Times New Roman" w:hAnsi="Times New Roman"/>
          <w:sz w:val="18"/>
          <w:szCs w:val="18"/>
          <w:color w:val="auto"/>
        </w:rPr>
        <w:t>On October 19, 2020, SCH issued an unsecured promissory note to the Sponsor (the “Promissory Note”), pursuant to which SCH may borrow up to an aggregate principal amount of $2,500,000. The Promissory Note is non-interest bearing and payable on the earlier of (i) April 24, 2022 and (ii) the completion of the Business Combination. On October 19, 2020, SCH borrowed $806,208 under the Promissory Note.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14"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SCH entered into an agreement whereby, commencing on April 21, 2020 through the earlier of the consummation of a business combination or SCH’s liquidation, SCH will pay an affiliate of the Sponsor a monthly fee of $10,000 for office space, administrative and support services. For the three and nine months ended September 30, 2020, SCH incurred $30,000 and $50,000 of such fees. As of September 30, 2020, $50,000 is included in accrued expenses in the accompanying condensed balance sheets.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 Fees Related to Public Offering</w:t>
      </w:r>
    </w:p>
    <w:p>
      <w:pPr>
        <w:spacing w:after="0" w:line="114" w:lineRule="exact"/>
        <w:rPr>
          <w:sz w:val="20"/>
          <w:szCs w:val="20"/>
          <w:color w:val="auto"/>
        </w:rPr>
      </w:pPr>
    </w:p>
    <w:p>
      <w:pPr>
        <w:ind w:right="80" w:firstLine="449"/>
        <w:spacing w:after="0" w:line="270" w:lineRule="auto"/>
        <w:rPr>
          <w:sz w:val="20"/>
          <w:szCs w:val="20"/>
          <w:color w:val="auto"/>
        </w:rPr>
      </w:pPr>
      <w:r>
        <w:rPr>
          <w:rFonts w:ascii="Times New Roman" w:cs="Times New Roman" w:eastAsia="Times New Roman" w:hAnsi="Times New Roman"/>
          <w:sz w:val="18"/>
          <w:szCs w:val="18"/>
          <w:color w:val="auto"/>
        </w:rPr>
        <w:t>In connection with SCH’s initial public offering, the underwriters of SCH’s initial public offering agreed to reimburse SCH for amounts paid by SCH to Connaught (UK) Limited for financial advisory services in an</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450" w:right="3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amount equal to 10% of the discount paid to the underwriters, of which $1,440,000 was paid at the closing of SCH’s initial public offering and up to $2,898,000 was paid at the time of the closing of SCH’s initial business combination. Connaught (UK) Limited is an affiliate of SCH, the Sponsor and certain of SCH’s directors and officers.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12"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In connection with the Closing, our board of directors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88"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Although we have not had a written policy for the review and approval of transactions with related persons,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our company and in the best interest of all of our stockholders.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80"/>
          </w:cols>
          <w:pgMar w:left="320" w:top="450" w:right="39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AND SELLING SECURITYHOLDERS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w:t>
      </w:r>
    </w:p>
    <w:p>
      <w:pPr>
        <w:spacing w:after="0" w:line="124" w:lineRule="exact"/>
        <w:rPr>
          <w:sz w:val="20"/>
          <w:szCs w:val="20"/>
          <w:color w:val="auto"/>
        </w:rPr>
      </w:pPr>
    </w:p>
    <w:p>
      <w:pPr>
        <w:ind w:left="1000" w:right="80" w:hanging="439"/>
        <w:spacing w:after="0" w:line="258"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with respect to the beneficial ownership of our common stock as of January 7, 2021, for: (i) each person who is known to be the beneficial owner of more than 5% of the outstanding shares of our Class A common stock; (ii) each of our current named executive officers and directors; and (iii) all of our current executive officers and directors, as a group.</w:t>
      </w:r>
    </w:p>
    <w:p>
      <w:pPr>
        <w:spacing w:after="0" w:line="85" w:lineRule="exact"/>
        <w:rPr>
          <w:rFonts w:ascii="Times New Roman" w:cs="Times New Roman" w:eastAsia="Times New Roman" w:hAnsi="Times New Roman"/>
          <w:sz w:val="18"/>
          <w:szCs w:val="18"/>
          <w:color w:val="auto"/>
        </w:rPr>
      </w:pPr>
    </w:p>
    <w:p>
      <w:pPr>
        <w:ind w:left="1000" w:right="300" w:hanging="439"/>
        <w:spacing w:after="0" w:line="270"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concerning the shares of Class A common stock and private placement warrants that may be offered from time to time by each Selling Stockholder under this prospectus.</w:t>
      </w:r>
    </w:p>
    <w:p>
      <w:pPr>
        <w:spacing w:after="0" w:line="169"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This prospectus relates to the resale of (A) up to 314,837,535 shares of Class A common stock, consisting of (i) up to 40,000,000 PIPE shares; (ii) up to 20,700,000 founder shares; (iii) up to 182,481,835 shares of Class A common stock reserved for issuance by us upon conversion of Class B common stock held by certain of our affiliates, including our officers, directors and greater than 10% stockholders, and their affiliated entities; (iv) up to 16,548,512 shares of Class A common stock reserved for issuance by us upon conversion of Class B common stock issuable upon exercise of options to purchase Class B common stock; (v) up to 44,173,855 shares of Class A common stock reserved for issuance by us upon conversion of Class B common stock issuable upon settlement of restricted stock units; and (vi) up to 10,933,333 shares of Class A common stock upon exercise of the private placement warrants, and (B) up to 10,933,333 private placement warrants.</w:t>
      </w:r>
    </w:p>
    <w:p>
      <w:pPr>
        <w:spacing w:after="0" w:line="189"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Class A common stock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Class A common stock or warrants other than through a public sale.</w:t>
      </w:r>
    </w:p>
    <w:p>
      <w:pPr>
        <w:spacing w:after="0" w:line="185" w:lineRule="exact"/>
        <w:rPr>
          <w:sz w:val="20"/>
          <w:szCs w:val="20"/>
          <w:color w:val="auto"/>
        </w:rPr>
      </w:pPr>
    </w:p>
    <w:p>
      <w:pPr>
        <w:ind w:right="20" w:firstLine="449"/>
        <w:spacing w:after="0" w:line="273" w:lineRule="auto"/>
        <w:rPr>
          <w:sz w:val="20"/>
          <w:szCs w:val="20"/>
          <w:color w:val="auto"/>
        </w:rPr>
      </w:pPr>
      <w:r>
        <w:rPr>
          <w:rFonts w:ascii="Times New Roman" w:cs="Times New Roman" w:eastAsia="Times New Roman" w:hAnsi="Times New Roman"/>
          <w:sz w:val="17"/>
          <w:szCs w:val="17"/>
          <w:color w:val="auto"/>
        </w:rPr>
        <w:t>The following table sets forth, as of the date of this prospectus, the names of the Selling Securityholders, and the aggregate number of shares of common stock and private placement warrants that the Selling Securityholders may offer pursuant to this prospectus. The table does not include the issuance by us of up to 27,599,938 shares of common stock upon the exercise of the public warrants, each of which is also covered by this prospectus. For purposes of this table, we have assumed that the Selling Securityholders will have sold all of the securities covered by this prospectus upon the completion of the offering.</w:t>
      </w:r>
    </w:p>
    <w:p>
      <w:pPr>
        <w:spacing w:after="0" w:line="168"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particular,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185" w:lineRule="exact"/>
        <w:rPr>
          <w:sz w:val="20"/>
          <w:szCs w:val="20"/>
          <w:color w:val="auto"/>
        </w:rPr>
      </w:pPr>
    </w:p>
    <w:p>
      <w:pPr>
        <w:ind w:right="660" w:firstLine="449"/>
        <w:spacing w:after="0" w:line="273"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securities.</w:t>
      </w:r>
    </w:p>
    <w:p>
      <w:pPr>
        <w:spacing w:after="0" w:line="166"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450"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20" w:firstLine="449"/>
        <w:spacing w:after="0" w:line="250"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143,475,108 shares of our Class A common stock and 260,965,701 shares of our Class B common stock issued and outstanding as of January 7, 2021. In computing the number of shares beneficially owned by a person and the percentage ownership of such person, we deemed all shares subject to options or warrants that are currently exercisable, or exercisable within 60 days of January 7, 2021 and all shares of our common stock issuable pursuant to RSUs that will vest within 60 days of January 7, 2021 to be outstanding and to be beneficially owned by the person holding the options, warrants or RSUs for the purpose of computing the percentage ownership of that person. However, except as described above, we did not deem such shares outstanding for the purpose of computing the percentage ownership of any other person.</w:t>
      </w:r>
    </w:p>
    <w:p>
      <w:pPr>
        <w:spacing w:after="0" w:line="187" w:lineRule="exact"/>
        <w:rPr>
          <w:sz w:val="20"/>
          <w:szCs w:val="20"/>
          <w:color w:val="auto"/>
        </w:rPr>
      </w:pPr>
    </w:p>
    <w:p>
      <w:pPr>
        <w:ind w:right="440" w:firstLine="449"/>
        <w:spacing w:after="0" w:line="270"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Clover Health Investments, Corp., 725 Cool Springs Boulevard, Suite 320, Franklin, Tennessee 37067.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8"/>
          </w:tcPr>
          <w:p>
            <w:pPr>
              <w:jc w:val="center"/>
              <w:ind w:left="192"/>
              <w:spacing w:after="0"/>
              <w:rPr>
                <w:sz w:val="20"/>
                <w:szCs w:val="20"/>
                <w:color w:val="auto"/>
              </w:rPr>
            </w:pPr>
            <w:r>
              <w:rPr>
                <w:rFonts w:ascii="Times New Roman" w:cs="Times New Roman" w:eastAsia="Times New Roman" w:hAnsi="Times New Roman"/>
                <w:sz w:val="12"/>
                <w:szCs w:val="12"/>
                <w:b w:val="1"/>
                <w:bCs w:val="1"/>
                <w:color w:val="auto"/>
              </w:rPr>
              <w:t>Common Stock Beneficially Owned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500" w:type="dxa"/>
            <w:vAlign w:val="bottom"/>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Common Stock Beneficially</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jc w:val="center"/>
              <w:ind w:right="460"/>
              <w:spacing w:after="0" w:line="132" w:lineRule="exact"/>
              <w:rPr>
                <w:sz w:val="20"/>
                <w:szCs w:val="20"/>
                <w:color w:val="auto"/>
              </w:rPr>
            </w:pPr>
            <w:r>
              <w:rPr>
                <w:rFonts w:ascii="Times New Roman" w:cs="Times New Roman" w:eastAsia="Times New Roman" w:hAnsi="Times New Roman"/>
                <w:sz w:val="12"/>
                <w:szCs w:val="12"/>
                <w:b w:val="1"/>
                <w:bCs w:val="1"/>
                <w:color w:val="auto"/>
              </w:rPr>
              <w:t>Prior to Offering</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1500" w:type="dxa"/>
            <w:vAlign w:val="bottom"/>
            <w:gridSpan w:val="7"/>
          </w:tcPr>
          <w:p>
            <w:pPr>
              <w:ind w:left="160"/>
              <w:spacing w:after="0" w:line="132" w:lineRule="exact"/>
              <w:rPr>
                <w:sz w:val="20"/>
                <w:szCs w:val="20"/>
                <w:color w:val="auto"/>
              </w:rPr>
            </w:pPr>
            <w:r>
              <w:rPr>
                <w:rFonts w:ascii="Times New Roman" w:cs="Times New Roman" w:eastAsia="Times New Roman" w:hAnsi="Times New Roman"/>
                <w:sz w:val="12"/>
                <w:szCs w:val="12"/>
                <w:b w:val="1"/>
                <w:bCs w:val="1"/>
                <w:color w:val="auto"/>
              </w:rPr>
              <w:t>Owned After Offering</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6"/>
          </w:tcPr>
          <w:p>
            <w:pPr>
              <w:ind w:left="320"/>
              <w:spacing w:after="0" w:line="132" w:lineRule="exact"/>
              <w:rPr>
                <w:sz w:val="20"/>
                <w:szCs w:val="20"/>
                <w:color w:val="auto"/>
              </w:rPr>
            </w:pPr>
            <w:r>
              <w:rPr>
                <w:rFonts w:ascii="Times New Roman" w:cs="Times New Roman" w:eastAsia="Times New Roman" w:hAnsi="Times New Roman"/>
                <w:sz w:val="12"/>
                <w:szCs w:val="12"/>
                <w:b w:val="1"/>
                <w:bCs w:val="1"/>
                <w:color w:val="auto"/>
              </w:rPr>
              <w:t>Private Placement Warrants</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restart"/>
          </w:tcPr>
          <w:p>
            <w:pPr>
              <w:jc w:val="center"/>
              <w:ind w:right="80"/>
              <w:spacing w:after="0" w:line="112" w:lineRule="exact"/>
              <w:rPr>
                <w:sz w:val="20"/>
                <w:szCs w:val="20"/>
                <w:color w:val="auto"/>
              </w:rPr>
            </w:pPr>
            <w:r>
              <w:rPr>
                <w:rFonts w:ascii="Times New Roman" w:cs="Times New Roman" w:eastAsia="Times New Roman" w:hAnsi="Times New Roman"/>
                <w:sz w:val="12"/>
                <w:szCs w:val="12"/>
                <w:b w:val="1"/>
                <w:bCs w:val="1"/>
                <w:color w:val="auto"/>
              </w:rPr>
              <w:t>Class A</w:t>
            </w: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8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76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Number</w:t>
            </w: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00" w:type="dxa"/>
            <w:vAlign w:val="bottom"/>
          </w:tcPr>
          <w:p>
            <w:pPr>
              <w:spacing w:after="0"/>
              <w:rPr>
                <w:sz w:val="11"/>
                <w:szCs w:val="11"/>
                <w:color w:val="auto"/>
              </w:rPr>
            </w:pPr>
          </w:p>
        </w:tc>
        <w:tc>
          <w:tcPr>
            <w:tcW w:w="7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Number</w:t>
            </w: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left="252"/>
              <w:spacing w:after="0" w:line="132" w:lineRule="exact"/>
              <w:rPr>
                <w:sz w:val="20"/>
                <w:szCs w:val="20"/>
                <w:color w:val="auto"/>
              </w:rPr>
            </w:pPr>
            <w:r>
              <w:rPr>
                <w:rFonts w:ascii="Times New Roman" w:cs="Times New Roman" w:eastAsia="Times New Roman" w:hAnsi="Times New Roman"/>
                <w:sz w:val="12"/>
                <w:szCs w:val="12"/>
                <w:b w:val="1"/>
                <w:bCs w:val="1"/>
                <w:color w:val="auto"/>
              </w:rPr>
              <w:t>Class A</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360"/>
              <w:spacing w:after="0" w:line="132" w:lineRule="exact"/>
              <w:rPr>
                <w:sz w:val="20"/>
                <w:szCs w:val="20"/>
                <w:color w:val="auto"/>
              </w:rPr>
            </w:pPr>
            <w:r>
              <w:rPr>
                <w:rFonts w:ascii="Times New Roman" w:cs="Times New Roman" w:eastAsia="Times New Roman" w:hAnsi="Times New Roman"/>
                <w:sz w:val="12"/>
                <w:szCs w:val="12"/>
                <w:b w:val="1"/>
                <w:bCs w:val="1"/>
                <w:color w:val="auto"/>
              </w:rPr>
              <w:t>Class B</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Voting</w:t>
            </w:r>
          </w:p>
        </w:tc>
        <w:tc>
          <w:tcPr>
            <w:tcW w:w="84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Stock</w:t>
            </w:r>
          </w:p>
        </w:tc>
        <w:tc>
          <w:tcPr>
            <w:tcW w:w="800" w:type="dxa"/>
            <w:vAlign w:val="bottom"/>
            <w:gridSpan w:val="4"/>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00" w:type="dxa"/>
            <w:vAlign w:val="bottom"/>
            <w:gridSpan w:val="3"/>
          </w:tcPr>
          <w:p>
            <w:pPr>
              <w:ind w:left="160"/>
              <w:spacing w:after="0" w:line="132" w:lineRule="exact"/>
              <w:rPr>
                <w:sz w:val="20"/>
                <w:szCs w:val="20"/>
                <w:color w:val="auto"/>
              </w:rPr>
            </w:pPr>
            <w:r>
              <w:rPr>
                <w:rFonts w:ascii="Times New Roman" w:cs="Times New Roman" w:eastAsia="Times New Roman" w:hAnsi="Times New Roman"/>
                <w:sz w:val="12"/>
                <w:szCs w:val="12"/>
                <w:b w:val="1"/>
                <w:bCs w:val="1"/>
                <w:color w:val="auto"/>
              </w:rPr>
              <w:t>Class B</w:t>
            </w: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Voting</w:t>
            </w:r>
          </w:p>
        </w:tc>
        <w:tc>
          <w:tcPr>
            <w:tcW w:w="7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Beneficially</w:t>
            </w:r>
          </w:p>
        </w:tc>
        <w:tc>
          <w:tcPr>
            <w:tcW w:w="8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rPr>
              <w:t>Beneficially</w:t>
            </w:r>
          </w:p>
        </w:tc>
        <w:tc>
          <w:tcPr>
            <w:tcW w:w="7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w w:val="99"/>
              </w:rPr>
              <w:t>Warrants</w:t>
            </w:r>
          </w:p>
        </w:tc>
        <w:tc>
          <w:tcPr>
            <w:tcW w:w="136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Beneficially Beneficially</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w:t>
            </w: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vMerge w:val="restart"/>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Power</w:t>
            </w:r>
          </w:p>
        </w:tc>
        <w:tc>
          <w:tcPr>
            <w:tcW w:w="840" w:type="dxa"/>
            <w:vAlign w:val="bottom"/>
            <w:gridSpan w:val="2"/>
            <w:vMerge w:val="restart"/>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Registered</w:t>
            </w: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20" w:type="dxa"/>
            <w:vAlign w:val="bottom"/>
            <w:gridSpan w:val="2"/>
            <w:vMerge w:val="restart"/>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rPr>
              <w:t>Power</w:t>
            </w:r>
          </w:p>
        </w:tc>
        <w:tc>
          <w:tcPr>
            <w:tcW w:w="760" w:type="dxa"/>
            <w:vAlign w:val="bottom"/>
            <w:gridSpan w:val="2"/>
            <w:vMerge w:val="restart"/>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Owned</w:t>
            </w:r>
          </w:p>
        </w:tc>
        <w:tc>
          <w:tcPr>
            <w:tcW w:w="820" w:type="dxa"/>
            <w:vAlign w:val="bottom"/>
            <w:gridSpan w:val="2"/>
            <w:vMerge w:val="restart"/>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rPr>
              <w:t>Owned</w:t>
            </w:r>
          </w:p>
        </w:tc>
        <w:tc>
          <w:tcPr>
            <w:tcW w:w="740" w:type="dxa"/>
            <w:vAlign w:val="bottom"/>
            <w:gridSpan w:val="2"/>
            <w:vMerge w:val="restart"/>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w w:val="98"/>
              </w:rPr>
              <w:t>Registered</w:t>
            </w:r>
          </w:p>
        </w:tc>
        <w:tc>
          <w:tcPr>
            <w:tcW w:w="700" w:type="dxa"/>
            <w:vAlign w:val="bottom"/>
            <w:gridSpan w:val="2"/>
            <w:vMerge w:val="restart"/>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Owned</w:t>
            </w:r>
          </w:p>
        </w:tc>
        <w:tc>
          <w:tcPr>
            <w:tcW w:w="660" w:type="dxa"/>
            <w:vAlign w:val="bottom"/>
            <w:gridSpan w:val="2"/>
            <w:vMerge w:val="restart"/>
          </w:tcPr>
          <w:p>
            <w:pPr>
              <w:jc w:val="center"/>
              <w:ind w:right="40"/>
              <w:spacing w:after="0" w:line="132" w:lineRule="exact"/>
              <w:rPr>
                <w:sz w:val="20"/>
                <w:szCs w:val="20"/>
                <w:color w:val="auto"/>
              </w:rPr>
            </w:pPr>
            <w:r>
              <w:rPr>
                <w:rFonts w:ascii="Times New Roman" w:cs="Times New Roman" w:eastAsia="Times New Roman" w:hAnsi="Times New Roman"/>
                <w:sz w:val="12"/>
                <w:szCs w:val="12"/>
                <w:b w:val="1"/>
                <w:bCs w:val="1"/>
                <w:color w:val="auto"/>
              </w:rPr>
              <w:t>Owned</w:t>
            </w:r>
          </w:p>
        </w:tc>
        <w:tc>
          <w:tcPr>
            <w:tcW w:w="0" w:type="dxa"/>
            <w:vAlign w:val="bottom"/>
          </w:tcPr>
          <w:p>
            <w:pPr>
              <w:spacing w:after="0"/>
              <w:rPr>
                <w:sz w:val="1"/>
                <w:szCs w:val="1"/>
                <w:color w:val="auto"/>
              </w:rPr>
            </w:pPr>
          </w:p>
        </w:tc>
      </w:tr>
      <w:tr>
        <w:trPr>
          <w:trHeight w:val="92"/>
        </w:trPr>
        <w:tc>
          <w:tcPr>
            <w:tcW w:w="1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Prior to</w:t>
            </w:r>
          </w:p>
        </w:tc>
        <w:tc>
          <w:tcPr>
            <w:tcW w:w="84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for Sale</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7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Prior to</w:t>
            </w:r>
          </w:p>
        </w:tc>
        <w:tc>
          <w:tcPr>
            <w:tcW w:w="82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Prior to</w:t>
            </w:r>
          </w:p>
        </w:tc>
        <w:tc>
          <w:tcPr>
            <w:tcW w:w="74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for Sale</w:t>
            </w:r>
          </w:p>
        </w:tc>
        <w:tc>
          <w:tcPr>
            <w:tcW w:w="70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6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0" w:type="dxa"/>
            <w:vAlign w:val="bottom"/>
          </w:tcPr>
          <w:p>
            <w:pPr>
              <w:spacing w:after="0"/>
              <w:rPr>
                <w:sz w:val="1"/>
                <w:szCs w:val="1"/>
                <w:color w:val="auto"/>
              </w:rPr>
            </w:pPr>
          </w:p>
        </w:tc>
      </w:tr>
      <w:tr>
        <w:trPr>
          <w:trHeight w:val="16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Beneficial Owner</w:t>
            </w:r>
          </w:p>
        </w:tc>
        <w:tc>
          <w:tcPr>
            <w:tcW w:w="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0"/>
                <w:szCs w:val="10"/>
                <w:b w:val="1"/>
                <w:bCs w:val="1"/>
                <w:color w:val="auto"/>
              </w:rPr>
              <w:t>(2)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88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Hereby</w:t>
            </w: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Hereby</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0" w:type="dxa"/>
            <w:vAlign w:val="bottom"/>
          </w:tcPr>
          <w:p>
            <w:pPr>
              <w:spacing w:after="0"/>
              <w:rPr>
                <w:sz w:val="1"/>
                <w:szCs w:val="1"/>
                <w:color w:val="auto"/>
              </w:rPr>
            </w:pPr>
          </w:p>
        </w:tc>
      </w:tr>
      <w:tr>
        <w:trPr>
          <w:trHeight w:val="119"/>
        </w:trPr>
        <w:tc>
          <w:tcPr>
            <w:tcW w:w="114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5% Holders</w:t>
            </w:r>
          </w:p>
        </w:tc>
        <w:tc>
          <w:tcPr>
            <w:tcW w:w="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1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SCH Sponsor III</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20,500,000</w:t>
            </w:r>
          </w:p>
        </w:tc>
        <w:tc>
          <w:tcPr>
            <w:tcW w:w="40" w:type="dxa"/>
            <w:vAlign w:val="bottom"/>
          </w:tcPr>
          <w:p>
            <w:pPr>
              <w:spacing w:after="0"/>
              <w:rPr>
                <w:sz w:val="10"/>
                <w:szCs w:val="10"/>
                <w:color w:val="auto"/>
              </w:rPr>
            </w:pPr>
          </w:p>
        </w:tc>
        <w:tc>
          <w:tcPr>
            <w:tcW w:w="5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14.3%</w:t>
            </w:r>
          </w:p>
        </w:tc>
        <w:tc>
          <w:tcPr>
            <w:tcW w:w="8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20,500,000</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10,933,333</w:t>
            </w:r>
          </w:p>
        </w:tc>
        <w:tc>
          <w:tcPr>
            <w:tcW w:w="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100%</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8"/>
              </w:rPr>
              <w:t>10,933,333</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1"/>
                <w:szCs w:val="11"/>
                <w:color w:val="auto"/>
              </w:rPr>
              <w:t>(1)</w:t>
            </w: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ChaChaCha SPAC</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4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w:t>
            </w:r>
          </w:p>
        </w:tc>
        <w:tc>
          <w:tcPr>
            <w:tcW w:w="88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10,000,000</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 LLC</w:t>
            </w:r>
            <w:r>
              <w:rPr>
                <w:rFonts w:ascii="Times New Roman" w:cs="Times New Roman" w:eastAsia="Times New Roman" w:hAnsi="Times New Roman"/>
                <w:sz w:val="11"/>
                <w:szCs w:val="11"/>
                <w:color w:val="auto"/>
              </w:rPr>
              <w:t>(2)</w:t>
            </w: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Greenoaks Capital</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and affiliated</w:t>
            </w:r>
          </w:p>
        </w:tc>
        <w:tc>
          <w:tcPr>
            <w:tcW w:w="40" w:type="dxa"/>
            <w:vAlign w:val="bottom"/>
          </w:tcPr>
          <w:p>
            <w:pPr>
              <w:spacing w:after="0"/>
              <w:rPr>
                <w:sz w:val="12"/>
                <w:szCs w:val="12"/>
                <w:color w:val="auto"/>
              </w:rPr>
            </w:pPr>
          </w:p>
        </w:tc>
        <w:tc>
          <w:tcPr>
            <w:tcW w:w="72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96,331,338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3"/>
              </w:rPr>
              <w:t>36.9%</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35.0%</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96,331,338</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entities</w:t>
            </w:r>
            <w:r>
              <w:rPr>
                <w:rFonts w:ascii="Times New Roman" w:cs="Times New Roman" w:eastAsia="Times New Roman" w:hAnsi="Times New Roman"/>
                <w:sz w:val="11"/>
                <w:szCs w:val="11"/>
                <w:color w:val="auto"/>
              </w:rPr>
              <w:t>(3)</w:t>
            </w: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Entities affiliated</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with Vivek</w:t>
            </w:r>
          </w:p>
        </w:tc>
        <w:tc>
          <w:tcPr>
            <w:tcW w:w="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left="272"/>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83,584,543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3"/>
              </w:rPr>
              <w:t>32.0%</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30.4%</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83,584,543</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Garipalli</w:t>
            </w: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Executive Officers</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and Directors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Vivek Garipalli</w:t>
            </w: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83,584,543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w w:val="93"/>
              </w:rPr>
              <w:t>32.0%</w:t>
            </w:r>
          </w:p>
        </w:tc>
        <w:tc>
          <w:tcPr>
            <w:tcW w:w="78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30.4%</w:t>
            </w:r>
          </w:p>
        </w:tc>
        <w:tc>
          <w:tcPr>
            <w:tcW w:w="8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83,584,543</w:t>
            </w:r>
          </w:p>
        </w:tc>
        <w:tc>
          <w:tcPr>
            <w:tcW w:w="4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Andrew Toy</w:t>
            </w:r>
            <w:r>
              <w:rPr>
                <w:rFonts w:ascii="Times New Roman" w:cs="Times New Roman" w:eastAsia="Times New Roman" w:hAnsi="Times New Roman"/>
                <w:sz w:val="11"/>
                <w:szCs w:val="11"/>
                <w:color w:val="auto"/>
              </w:rPr>
              <w:t>(5)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12,790,323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4.7%</w:t>
            </w:r>
          </w:p>
        </w:tc>
        <w:tc>
          <w:tcPr>
            <w:tcW w:w="78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4.4%</w:t>
            </w:r>
          </w:p>
        </w:tc>
        <w:tc>
          <w:tcPr>
            <w:tcW w:w="8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12,790,323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Gia Lee</w:t>
            </w:r>
            <w:r>
              <w:rPr>
                <w:rFonts w:ascii="Times New Roman" w:cs="Times New Roman" w:eastAsia="Times New Roman" w:hAnsi="Times New Roman"/>
                <w:sz w:val="11"/>
                <w:szCs w:val="11"/>
                <w:color w:val="auto"/>
              </w:rPr>
              <w:t>(5)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272"/>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1,144,978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1,144,978</w:t>
            </w:r>
          </w:p>
        </w:tc>
        <w:tc>
          <w:tcPr>
            <w:tcW w:w="4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Joe Wagner</w:t>
            </w:r>
            <w:r>
              <w:rPr>
                <w:rFonts w:ascii="Times New Roman" w:cs="Times New Roman" w:eastAsia="Times New Roman" w:hAnsi="Times New Roman"/>
                <w:sz w:val="11"/>
                <w:szCs w:val="11"/>
                <w:color w:val="auto"/>
              </w:rPr>
              <w:t>(5)</w:t>
            </w:r>
          </w:p>
        </w:tc>
        <w:tc>
          <w:tcPr>
            <w:tcW w:w="40" w:type="dxa"/>
            <w:vAlign w:val="bottom"/>
          </w:tcPr>
          <w:p>
            <w:pPr>
              <w:spacing w:after="0"/>
              <w:rPr>
                <w:sz w:val="12"/>
                <w:szCs w:val="12"/>
                <w:color w:val="auto"/>
              </w:rPr>
            </w:pPr>
          </w:p>
        </w:tc>
        <w:tc>
          <w:tcPr>
            <w:tcW w:w="720" w:type="dxa"/>
            <w:vAlign w:val="bottom"/>
            <w:gridSpan w:val="2"/>
          </w:tcPr>
          <w:p>
            <w:pPr>
              <w:jc w:val="center"/>
              <w:ind w:left="272"/>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48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642,514</w:t>
            </w:r>
          </w:p>
        </w:tc>
        <w:tc>
          <w:tcPr>
            <w:tcW w:w="40" w:type="dxa"/>
            <w:vAlign w:val="bottom"/>
          </w:tcPr>
          <w:p>
            <w:pPr>
              <w:spacing w:after="0"/>
              <w:rPr>
                <w:sz w:val="12"/>
                <w:szCs w:val="12"/>
                <w:color w:val="auto"/>
              </w:rPr>
            </w:pPr>
          </w:p>
        </w:tc>
        <w:tc>
          <w:tcPr>
            <w:tcW w:w="4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642,514</w:t>
            </w:r>
          </w:p>
        </w:tc>
        <w:tc>
          <w:tcPr>
            <w:tcW w:w="4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Jamie Reynoso</w:t>
            </w:r>
            <w:r>
              <w:rPr>
                <w:rFonts w:ascii="Times New Roman" w:cs="Times New Roman" w:eastAsia="Times New Roman" w:hAnsi="Times New Roman"/>
                <w:sz w:val="11"/>
                <w:szCs w:val="11"/>
                <w:color w:val="auto"/>
              </w:rPr>
              <w:t>(5)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272"/>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517,017</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517,017</w:t>
            </w:r>
          </w:p>
        </w:tc>
        <w:tc>
          <w:tcPr>
            <w:tcW w:w="4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Chelsea Clinton</w:t>
            </w:r>
            <w:r>
              <w:rPr>
                <w:rFonts w:ascii="Times New Roman" w:cs="Times New Roman" w:eastAsia="Times New Roman" w:hAnsi="Times New Roman"/>
                <w:sz w:val="11"/>
                <w:szCs w:val="11"/>
                <w:color w:val="auto"/>
              </w:rPr>
              <w:t>(5)</w:t>
            </w:r>
          </w:p>
        </w:tc>
        <w:tc>
          <w:tcPr>
            <w:tcW w:w="40" w:type="dxa"/>
            <w:vAlign w:val="bottom"/>
          </w:tcPr>
          <w:p>
            <w:pPr>
              <w:spacing w:after="0"/>
              <w:rPr>
                <w:sz w:val="12"/>
                <w:szCs w:val="12"/>
                <w:color w:val="auto"/>
              </w:rPr>
            </w:pPr>
          </w:p>
        </w:tc>
        <w:tc>
          <w:tcPr>
            <w:tcW w:w="720" w:type="dxa"/>
            <w:vAlign w:val="bottom"/>
            <w:gridSpan w:val="2"/>
          </w:tcPr>
          <w:p>
            <w:pPr>
              <w:jc w:val="center"/>
              <w:ind w:left="272"/>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48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685,690</w:t>
            </w:r>
          </w:p>
        </w:tc>
        <w:tc>
          <w:tcPr>
            <w:tcW w:w="40" w:type="dxa"/>
            <w:vAlign w:val="bottom"/>
          </w:tcPr>
          <w:p>
            <w:pPr>
              <w:spacing w:after="0"/>
              <w:rPr>
                <w:sz w:val="12"/>
                <w:szCs w:val="12"/>
                <w:color w:val="auto"/>
              </w:rPr>
            </w:pPr>
          </w:p>
        </w:tc>
        <w:tc>
          <w:tcPr>
            <w:tcW w:w="44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685,690</w:t>
            </w:r>
          </w:p>
        </w:tc>
        <w:tc>
          <w:tcPr>
            <w:tcW w:w="4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Lee Shapiro</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272"/>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ind w:left="5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Nat Turner</w:t>
            </w:r>
            <w:r>
              <w:rPr>
                <w:rFonts w:ascii="Times New Roman" w:cs="Times New Roman" w:eastAsia="Times New Roman" w:hAnsi="Times New Roman"/>
                <w:sz w:val="11"/>
                <w:szCs w:val="11"/>
                <w:color w:val="auto"/>
              </w:rPr>
              <w:t>(6)</w:t>
            </w:r>
          </w:p>
        </w:tc>
        <w:tc>
          <w:tcPr>
            <w:tcW w:w="40" w:type="dxa"/>
            <w:vAlign w:val="bottom"/>
          </w:tcPr>
          <w:p>
            <w:pPr>
              <w:spacing w:after="0"/>
              <w:rPr>
                <w:sz w:val="12"/>
                <w:szCs w:val="12"/>
                <w:color w:val="auto"/>
              </w:rPr>
            </w:pPr>
          </w:p>
        </w:tc>
        <w:tc>
          <w:tcPr>
            <w:tcW w:w="720" w:type="dxa"/>
            <w:vAlign w:val="bottom"/>
            <w:gridSpan w:val="2"/>
          </w:tcPr>
          <w:p>
            <w:pPr>
              <w:jc w:val="center"/>
              <w:ind w:left="272"/>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48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2,565,954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2,565,954</w:t>
            </w:r>
          </w:p>
        </w:tc>
        <w:tc>
          <w:tcPr>
            <w:tcW w:w="4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11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i w:val="1"/>
                <w:iCs w:val="1"/>
                <w:color w:val="auto"/>
              </w:rPr>
              <w:t>All directors and</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i w:val="1"/>
                <w:iCs w:val="1"/>
                <w:color w:val="auto"/>
              </w:rPr>
              <w:t>executive officers</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i w:val="1"/>
                <w:iCs w:val="1"/>
                <w:color w:val="auto"/>
              </w:rPr>
              <w:t>as a group (8</w:t>
            </w:r>
          </w:p>
        </w:tc>
        <w:tc>
          <w:tcPr>
            <w:tcW w:w="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center"/>
              <w:ind w:left="272"/>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101,931,019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3"/>
              </w:rPr>
              <w:t>36.8%</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35.0%</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101,931,019</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individuals)</w:t>
            </w:r>
            <w:r>
              <w:rPr>
                <w:rFonts w:ascii="Times New Roman" w:cs="Times New Roman" w:eastAsia="Times New Roman" w:hAnsi="Times New Roman"/>
                <w:sz w:val="11"/>
                <w:szCs w:val="11"/>
                <w:i w:val="1"/>
                <w:iCs w:val="1"/>
                <w:color w:val="auto"/>
              </w:rPr>
              <w:t>(7)</w:t>
            </w: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Other Selling</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Securityholders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Alberta Investment</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Management</w:t>
            </w:r>
          </w:p>
        </w:tc>
        <w:tc>
          <w:tcPr>
            <w:tcW w:w="7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400,000</w:t>
            </w:r>
          </w:p>
        </w:tc>
        <w:tc>
          <w:tcPr>
            <w:tcW w:w="5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400,000</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Corporation</w:t>
            </w:r>
            <w:r>
              <w:rPr>
                <w:rFonts w:ascii="Times New Roman" w:cs="Times New Roman" w:eastAsia="Times New Roman" w:hAnsi="Times New Roman"/>
                <w:sz w:val="11"/>
                <w:szCs w:val="11"/>
                <w:color w:val="auto"/>
              </w:rPr>
              <w:t>(8)</w:t>
            </w:r>
          </w:p>
        </w:tc>
        <w:tc>
          <w:tcPr>
            <w:tcW w:w="760" w:type="dxa"/>
            <w:vAlign w:val="bottom"/>
            <w:gridSpan w:val="3"/>
            <w:vMerge w:val="continue"/>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Alfred DeCarolis,</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Trustee of The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DeCarolis 2017</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Trust, dated</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50,000</w:t>
            </w:r>
          </w:p>
        </w:tc>
        <w:tc>
          <w:tcPr>
            <w:tcW w:w="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50,000</w:t>
            </w: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12/6/2017</w:t>
            </w:r>
          </w:p>
        </w:tc>
        <w:tc>
          <w:tcPr>
            <w:tcW w:w="760" w:type="dxa"/>
            <w:vAlign w:val="bottom"/>
            <w:gridSpan w:val="3"/>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50"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80" w:type="dxa"/>
            <w:vAlign w:val="bottom"/>
          </w:tcPr>
          <w:p>
            <w:pPr>
              <w:spacing w:after="0"/>
              <w:rPr>
                <w:sz w:val="12"/>
                <w:szCs w:val="12"/>
                <w:color w:val="auto"/>
              </w:rPr>
            </w:pPr>
          </w:p>
        </w:tc>
        <w:tc>
          <w:tcPr>
            <w:tcW w:w="2240" w:type="dxa"/>
            <w:vAlign w:val="bottom"/>
            <w:gridSpan w:val="7"/>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Common Stock Beneficially Owned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760" w:type="dxa"/>
            <w:vAlign w:val="bottom"/>
            <w:gridSpan w:val="6"/>
          </w:tcPr>
          <w:p>
            <w:pPr>
              <w:jc w:val="center"/>
              <w:ind w:left="191"/>
              <w:spacing w:after="0"/>
              <w:rPr>
                <w:sz w:val="20"/>
                <w:szCs w:val="20"/>
                <w:color w:val="auto"/>
              </w:rPr>
            </w:pPr>
            <w:r>
              <w:rPr>
                <w:rFonts w:ascii="Times New Roman" w:cs="Times New Roman" w:eastAsia="Times New Roman" w:hAnsi="Times New Roman"/>
                <w:sz w:val="12"/>
                <w:szCs w:val="12"/>
                <w:b w:val="1"/>
                <w:bCs w:val="1"/>
                <w:color w:val="auto"/>
              </w:rPr>
              <w:t>Common Stock Beneficially</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800" w:type="dxa"/>
            <w:vAlign w:val="bottom"/>
            <w:tcBorders>
              <w:bottom w:val="single" w:sz="8" w:color="auto"/>
            </w:tcBorders>
            <w:gridSpan w:val="5"/>
          </w:tcPr>
          <w:p>
            <w:pPr>
              <w:jc w:val="center"/>
              <w:ind w:left="191"/>
              <w:spacing w:after="0"/>
              <w:rPr>
                <w:sz w:val="20"/>
                <w:szCs w:val="20"/>
                <w:color w:val="auto"/>
              </w:rPr>
            </w:pPr>
            <w:r>
              <w:rPr>
                <w:rFonts w:ascii="Times New Roman" w:cs="Times New Roman" w:eastAsia="Times New Roman" w:hAnsi="Times New Roman"/>
                <w:sz w:val="12"/>
                <w:szCs w:val="12"/>
                <w:b w:val="1"/>
                <w:bCs w:val="1"/>
                <w:color w:val="auto"/>
              </w:rPr>
              <w:t>Prior to Offering</w:t>
            </w:r>
          </w:p>
        </w:tc>
        <w:tc>
          <w:tcPr>
            <w:tcW w:w="2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1760" w:type="dxa"/>
            <w:vAlign w:val="bottom"/>
            <w:tcBorders>
              <w:bottom w:val="single" w:sz="8" w:color="auto"/>
            </w:tcBorders>
            <w:gridSpan w:val="6"/>
          </w:tcPr>
          <w:p>
            <w:pPr>
              <w:jc w:val="center"/>
              <w:ind w:left="191"/>
              <w:spacing w:after="0"/>
              <w:rPr>
                <w:sz w:val="20"/>
                <w:szCs w:val="20"/>
                <w:color w:val="auto"/>
              </w:rPr>
            </w:pPr>
            <w:r>
              <w:rPr>
                <w:rFonts w:ascii="Times New Roman" w:cs="Times New Roman" w:eastAsia="Times New Roman" w:hAnsi="Times New Roman"/>
                <w:sz w:val="12"/>
                <w:szCs w:val="12"/>
                <w:b w:val="1"/>
                <w:bCs w:val="1"/>
                <w:color w:val="auto"/>
              </w:rPr>
              <w:t>Owned After Offering</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Private Placement Warrants</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40"/>
              <w:spacing w:after="0" w:line="106" w:lineRule="exact"/>
              <w:rPr>
                <w:sz w:val="20"/>
                <w:szCs w:val="20"/>
                <w:color w:val="auto"/>
              </w:rPr>
            </w:pPr>
            <w:r>
              <w:rPr>
                <w:rFonts w:ascii="Times New Roman" w:cs="Times New Roman" w:eastAsia="Times New Roman" w:hAnsi="Times New Roman"/>
                <w:sz w:val="12"/>
                <w:szCs w:val="12"/>
                <w:b w:val="1"/>
                <w:bCs w:val="1"/>
                <w:color w:val="auto"/>
              </w:rPr>
              <w:t>Number</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7"/>
              </w:rPr>
              <w:t>% of Total</w:t>
            </w:r>
          </w:p>
        </w:tc>
        <w:tc>
          <w:tcPr>
            <w:tcW w:w="70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2"/>
                <w:szCs w:val="12"/>
                <w:b w:val="1"/>
                <w:bCs w:val="1"/>
                <w:color w:val="auto"/>
              </w:rPr>
              <w:t>Number</w:t>
            </w: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1"/>
                <w:szCs w:val="11"/>
                <w:color w:val="auto"/>
              </w:rPr>
            </w:pPr>
          </w:p>
        </w:tc>
        <w:tc>
          <w:tcPr>
            <w:tcW w:w="64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Number</w:t>
            </w: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Voting</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8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4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Beneficially Beneficially</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Beneficially Beneficially</w:t>
            </w:r>
          </w:p>
        </w:tc>
        <w:tc>
          <w:tcPr>
            <w:tcW w:w="0" w:type="dxa"/>
            <w:vAlign w:val="bottom"/>
          </w:tcPr>
          <w:p>
            <w:pPr>
              <w:spacing w:after="0"/>
              <w:rPr>
                <w:sz w:val="1"/>
                <w:szCs w:val="1"/>
                <w:color w:val="auto"/>
              </w:rPr>
            </w:pPr>
          </w:p>
        </w:tc>
      </w:tr>
      <w:tr>
        <w:trPr>
          <w:trHeight w:val="105"/>
        </w:trPr>
        <w:tc>
          <w:tcPr>
            <w:tcW w:w="1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w w:val="97"/>
              </w:rPr>
              <w:t>Power</w:t>
            </w:r>
          </w:p>
        </w:tc>
        <w:tc>
          <w:tcPr>
            <w:tcW w:w="7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Registered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Power</w:t>
            </w:r>
          </w:p>
        </w:tc>
        <w:tc>
          <w:tcPr>
            <w:tcW w:w="700" w:type="dxa"/>
            <w:vAlign w:val="bottom"/>
            <w:gridSpan w:val="2"/>
          </w:tcPr>
          <w:p>
            <w:pPr>
              <w:ind w:left="120"/>
              <w:spacing w:after="0" w:line="106" w:lineRule="exact"/>
              <w:rPr>
                <w:sz w:val="20"/>
                <w:szCs w:val="20"/>
                <w:color w:val="auto"/>
              </w:rPr>
            </w:pPr>
            <w:r>
              <w:rPr>
                <w:rFonts w:ascii="Times New Roman" w:cs="Times New Roman" w:eastAsia="Times New Roman" w:hAnsi="Times New Roman"/>
                <w:sz w:val="12"/>
                <w:szCs w:val="12"/>
                <w:b w:val="1"/>
                <w:bCs w:val="1"/>
                <w:color w:val="auto"/>
              </w:rPr>
              <w:t>Owned</w:t>
            </w:r>
          </w:p>
        </w:tc>
        <w:tc>
          <w:tcPr>
            <w:tcW w:w="70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rPr>
              <w:t>Owned</w:t>
            </w:r>
          </w:p>
        </w:tc>
        <w:tc>
          <w:tcPr>
            <w:tcW w:w="64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rPr>
              <w:t>Registered</w:t>
            </w:r>
          </w:p>
        </w:tc>
        <w:tc>
          <w:tcPr>
            <w:tcW w:w="70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rPr>
              <w:t>Owned</w:t>
            </w:r>
          </w:p>
        </w:tc>
        <w:tc>
          <w:tcPr>
            <w:tcW w:w="66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Owned</w:t>
            </w:r>
          </w:p>
        </w:tc>
        <w:tc>
          <w:tcPr>
            <w:tcW w:w="0" w:type="dxa"/>
            <w:vAlign w:val="bottom"/>
          </w:tcPr>
          <w:p>
            <w:pPr>
              <w:spacing w:after="0"/>
              <w:rPr>
                <w:sz w:val="1"/>
                <w:szCs w:val="1"/>
                <w:color w:val="auto"/>
              </w:rPr>
            </w:pPr>
          </w:p>
        </w:tc>
      </w:tr>
      <w:tr>
        <w:trPr>
          <w:trHeight w:val="126"/>
        </w:trPr>
        <w:tc>
          <w:tcPr>
            <w:tcW w:w="11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Prior to</w:t>
            </w:r>
          </w:p>
        </w:tc>
        <w:tc>
          <w:tcPr>
            <w:tcW w:w="70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for Sale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70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2"/>
                <w:szCs w:val="12"/>
                <w:b w:val="1"/>
                <w:bCs w:val="1"/>
                <w:color w:val="auto"/>
              </w:rPr>
              <w:t>Prior to</w:t>
            </w:r>
          </w:p>
        </w:tc>
        <w:tc>
          <w:tcPr>
            <w:tcW w:w="70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Prior to</w:t>
            </w:r>
          </w:p>
        </w:tc>
        <w:tc>
          <w:tcPr>
            <w:tcW w:w="64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b w:val="1"/>
                <w:bCs w:val="1"/>
                <w:color w:val="auto"/>
              </w:rPr>
              <w:t>for Sale</w:t>
            </w:r>
          </w:p>
        </w:tc>
        <w:tc>
          <w:tcPr>
            <w:tcW w:w="70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66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0" w:type="dxa"/>
            <w:vAlign w:val="bottom"/>
          </w:tcPr>
          <w:p>
            <w:pPr>
              <w:spacing w:after="0"/>
              <w:rPr>
                <w:sz w:val="1"/>
                <w:szCs w:val="1"/>
                <w:color w:val="auto"/>
              </w:rPr>
            </w:pPr>
          </w:p>
        </w:tc>
      </w:tr>
      <w:tr>
        <w:trPr>
          <w:trHeight w:val="14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Beneficial Owner</w:t>
            </w: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0"/>
                <w:szCs w:val="10"/>
                <w:b w:val="1"/>
                <w:bCs w:val="1"/>
                <w:color w:val="auto"/>
              </w:rPr>
              <w:t>(2)</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2"/>
                <w:szCs w:val="12"/>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Hereby</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2"/>
                <w:szCs w:val="12"/>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Hereby</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0" w:type="dxa"/>
            <w:vAlign w:val="bottom"/>
          </w:tcPr>
          <w:p>
            <w:pPr>
              <w:spacing w:after="0"/>
              <w:rPr>
                <w:sz w:val="1"/>
                <w:szCs w:val="1"/>
                <w:color w:val="auto"/>
              </w:rPr>
            </w:pPr>
          </w:p>
        </w:tc>
      </w:tr>
      <w:tr>
        <w:trPr>
          <w:trHeight w:val="20"/>
        </w:trPr>
        <w:tc>
          <w:tcPr>
            <w:tcW w:w="1180" w:type="dxa"/>
            <w:vAlign w:val="bottom"/>
            <w:tcBorders>
              <w:right w:val="single" w:sz="8" w:color="CCEEFF"/>
            </w:tcBorders>
            <w:vMerge w:val="restart"/>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Alyeska Master</w:t>
            </w: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180" w:type="dxa"/>
            <w:vAlign w:val="bottom"/>
            <w:tcBorders>
              <w:right w:val="single" w:sz="8" w:color="CCEEFF"/>
            </w:tcBorders>
            <w:vMerge w:val="continue"/>
            <w:shd w:val="clear" w:color="auto" w:fill="CCEEFF"/>
          </w:tcPr>
          <w:p>
            <w:pPr>
              <w:spacing w:after="0"/>
              <w:rPr>
                <w:sz w:val="8"/>
                <w:szCs w:val="8"/>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2,185,318</w:t>
            </w:r>
          </w:p>
        </w:tc>
        <w:tc>
          <w:tcPr>
            <w:tcW w:w="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1.5%</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400,000</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1,785,318</w:t>
            </w:r>
          </w:p>
        </w:tc>
        <w:tc>
          <w:tcPr>
            <w:tcW w:w="8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 L.P.</w:t>
            </w:r>
            <w:r>
              <w:rPr>
                <w:rFonts w:ascii="Times New Roman" w:cs="Times New Roman" w:eastAsia="Times New Roman" w:hAnsi="Times New Roman"/>
                <w:sz w:val="11"/>
                <w:szCs w:val="11"/>
                <w:color w:val="auto"/>
              </w:rPr>
              <w:t>(9)</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Baron Funds</w:t>
            </w:r>
            <w:r>
              <w:rPr>
                <w:rFonts w:ascii="Times New Roman" w:cs="Times New Roman" w:eastAsia="Times New Roman" w:hAnsi="Times New Roman"/>
                <w:sz w:val="11"/>
                <w:szCs w:val="11"/>
                <w:color w:val="auto"/>
              </w:rPr>
              <w:t>(10)</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2,000,000</w:t>
            </w:r>
          </w:p>
        </w:tc>
        <w:tc>
          <w:tcPr>
            <w:tcW w:w="4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1.4%</w:t>
            </w:r>
          </w:p>
        </w:tc>
        <w:tc>
          <w:tcPr>
            <w:tcW w:w="680" w:type="dxa"/>
            <w:vAlign w:val="bottom"/>
            <w:gridSpan w:val="2"/>
          </w:tcPr>
          <w:p>
            <w:pPr>
              <w:jc w:val="center"/>
              <w:ind w:left="17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2,000,000</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19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Blackstone Global</w:t>
            </w:r>
          </w:p>
        </w:tc>
        <w:tc>
          <w:tcPr>
            <w:tcW w:w="6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Master Fund</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ICAV</w:t>
            </w:r>
            <w:r>
              <w:rPr>
                <w:rFonts w:ascii="Times New Roman" w:cs="Times New Roman" w:eastAsia="Times New Roman" w:hAnsi="Times New Roman"/>
                <w:sz w:val="11"/>
                <w:szCs w:val="11"/>
                <w:color w:val="auto"/>
              </w:rPr>
              <w:t>(11)</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Casdin Partners</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Master Fund,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726,511</w:t>
            </w:r>
          </w:p>
        </w:tc>
        <w:tc>
          <w:tcPr>
            <w:tcW w:w="8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726,511</w:t>
            </w:r>
          </w:p>
        </w:tc>
        <w:tc>
          <w:tcPr>
            <w:tcW w:w="8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L.P. </w:t>
            </w:r>
            <w:r>
              <w:rPr>
                <w:rFonts w:ascii="Times New Roman" w:cs="Times New Roman" w:eastAsia="Times New Roman" w:hAnsi="Times New Roman"/>
                <w:sz w:val="11"/>
                <w:szCs w:val="11"/>
                <w:color w:val="auto"/>
              </w:rPr>
              <w:t>(12)</w:t>
            </w:r>
          </w:p>
        </w:tc>
        <w:tc>
          <w:tcPr>
            <w:tcW w:w="68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CH Capital SPV</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1"/>
                <w:szCs w:val="11"/>
                <w:color w:val="auto"/>
              </w:rPr>
              <w:t>(13)</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Dr. James Ryans</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100,000</w:t>
            </w:r>
          </w:p>
        </w:tc>
        <w:tc>
          <w:tcPr>
            <w:tcW w:w="440" w:type="dxa"/>
            <w:vAlign w:val="bottom"/>
            <w:gridSpan w:val="2"/>
          </w:tcPr>
          <w:p>
            <w:pPr>
              <w:ind w:lef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17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100,000</w:t>
            </w:r>
          </w:p>
        </w:tc>
        <w:tc>
          <w:tcPr>
            <w:tcW w:w="6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19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Entities affiliated</w:t>
            </w:r>
          </w:p>
        </w:tc>
        <w:tc>
          <w:tcPr>
            <w:tcW w:w="6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with Davidson</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Kempner</w:t>
            </w:r>
            <w:r>
              <w:rPr>
                <w:rFonts w:ascii="Times New Roman" w:cs="Times New Roman" w:eastAsia="Times New Roman" w:hAnsi="Times New Roman"/>
                <w:sz w:val="11"/>
                <w:szCs w:val="11"/>
                <w:color w:val="auto"/>
              </w:rPr>
              <w:t>(14)</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Entities affiliated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with Polar Asset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Management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Partners Inc.</w:t>
            </w:r>
            <w:r>
              <w:rPr>
                <w:rFonts w:ascii="Times New Roman" w:cs="Times New Roman" w:eastAsia="Times New Roman" w:hAnsi="Times New Roman"/>
                <w:sz w:val="11"/>
                <w:szCs w:val="11"/>
                <w:color w:val="auto"/>
              </w:rPr>
              <w:t>(15)</w:t>
            </w:r>
          </w:p>
        </w:tc>
        <w:tc>
          <w:tcPr>
            <w:tcW w:w="68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Entities affiliated</w:t>
            </w:r>
          </w:p>
        </w:tc>
        <w:tc>
          <w:tcPr>
            <w:tcW w:w="6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with T. Rowe</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4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Price</w:t>
            </w:r>
            <w:r>
              <w:rPr>
                <w:rFonts w:ascii="Times New Roman" w:cs="Times New Roman" w:eastAsia="Times New Roman" w:hAnsi="Times New Roman"/>
                <w:sz w:val="11"/>
                <w:szCs w:val="11"/>
                <w:color w:val="auto"/>
              </w:rPr>
              <w:t>(16)</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Entities managed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3,887,482</w:t>
            </w:r>
          </w:p>
        </w:tc>
        <w:tc>
          <w:tcPr>
            <w:tcW w:w="80" w:type="dxa"/>
            <w:vAlign w:val="bottom"/>
          </w:tcPr>
          <w:p>
            <w:pPr>
              <w:spacing w:after="0"/>
              <w:rPr>
                <w:sz w:val="10"/>
                <w:szCs w:val="10"/>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8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3,887,482</w:t>
            </w:r>
          </w:p>
        </w:tc>
        <w:tc>
          <w:tcPr>
            <w:tcW w:w="8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6.2%</w:t>
            </w: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4.0%</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by FMR LLC</w:t>
            </w:r>
            <w:r>
              <w:rPr>
                <w:rFonts w:ascii="Times New Roman" w:cs="Times New Roman" w:eastAsia="Times New Roman" w:hAnsi="Times New Roman"/>
                <w:sz w:val="11"/>
                <w:szCs w:val="11"/>
                <w:color w:val="auto"/>
              </w:rPr>
              <w:t>(17)</w:t>
            </w:r>
          </w:p>
        </w:tc>
        <w:tc>
          <w:tcPr>
            <w:tcW w:w="68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Funds managed by</w:t>
            </w:r>
          </w:p>
        </w:tc>
        <w:tc>
          <w:tcPr>
            <w:tcW w:w="6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Weiss Asset</w:t>
            </w:r>
          </w:p>
        </w:tc>
        <w:tc>
          <w:tcPr>
            <w:tcW w:w="6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Management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1.2%</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750,000</w:t>
            </w:r>
          </w:p>
        </w:tc>
        <w:tc>
          <w:tcPr>
            <w:tcW w:w="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LP</w:t>
            </w:r>
            <w:r>
              <w:rPr>
                <w:rFonts w:ascii="Times New Roman" w:cs="Times New Roman" w:eastAsia="Times New Roman" w:hAnsi="Times New Roman"/>
                <w:sz w:val="11"/>
                <w:szCs w:val="11"/>
                <w:color w:val="auto"/>
              </w:rPr>
              <w:t>(18)</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Gundy Co ITF</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HGC Arbitrage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Fund LP A/C:</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400,000</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515-0049</w:t>
            </w:r>
          </w:p>
        </w:tc>
        <w:tc>
          <w:tcPr>
            <w:tcW w:w="68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Healthcare of</w:t>
            </w:r>
          </w:p>
        </w:tc>
        <w:tc>
          <w:tcPr>
            <w:tcW w:w="6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Ontario Pension</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4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 Trust Fund</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Hedosophia Public</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Investments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3.5%</w:t>
            </w:r>
          </w:p>
        </w:tc>
        <w:tc>
          <w:tcPr>
            <w:tcW w:w="68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w:t>
            </w:r>
            <w:r>
              <w:rPr>
                <w:rFonts w:ascii="Times New Roman" w:cs="Times New Roman" w:eastAsia="Times New Roman" w:hAnsi="Times New Roman"/>
                <w:sz w:val="11"/>
                <w:szCs w:val="11"/>
                <w:color w:val="auto"/>
              </w:rPr>
              <w:t>(19)</w:t>
            </w:r>
          </w:p>
        </w:tc>
        <w:tc>
          <w:tcPr>
            <w:tcW w:w="68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Integrated Core</w:t>
            </w:r>
          </w:p>
        </w:tc>
        <w:tc>
          <w:tcPr>
            <w:tcW w:w="6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Strategies (US)</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1,012,937</w:t>
            </w:r>
          </w:p>
        </w:tc>
        <w:tc>
          <w:tcPr>
            <w:tcW w:w="4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12,937</w:t>
            </w:r>
          </w:p>
        </w:tc>
        <w:tc>
          <w:tcPr>
            <w:tcW w:w="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1"/>
                <w:szCs w:val="11"/>
                <w:color w:val="auto"/>
              </w:rPr>
              <w:t>(20)</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Jacqueline D. Reses</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300,000</w:t>
            </w:r>
          </w:p>
        </w:tc>
        <w:tc>
          <w:tcPr>
            <w:tcW w:w="440" w:type="dxa"/>
            <w:vAlign w:val="bottom"/>
            <w:gridSpan w:val="2"/>
          </w:tcPr>
          <w:p>
            <w:pPr>
              <w:ind w:lef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17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300,000</w:t>
            </w:r>
          </w:p>
        </w:tc>
        <w:tc>
          <w:tcPr>
            <w:tcW w:w="6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19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Entities managed</w:t>
            </w:r>
          </w:p>
        </w:tc>
        <w:tc>
          <w:tcPr>
            <w:tcW w:w="6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by Jennison</w:t>
            </w:r>
          </w:p>
        </w:tc>
        <w:tc>
          <w:tcPr>
            <w:tcW w:w="6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Associates</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4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1"/>
                <w:szCs w:val="11"/>
                <w:color w:val="auto"/>
              </w:rPr>
              <w:t>(21)</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Linden Capital L.P.</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769,165</w:t>
            </w:r>
          </w:p>
        </w:tc>
        <w:tc>
          <w:tcPr>
            <w:tcW w:w="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400,000</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369,165</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affiliates</w:t>
            </w:r>
            <w:r>
              <w:rPr>
                <w:rFonts w:ascii="Times New Roman" w:cs="Times New Roman" w:eastAsia="Times New Roman" w:hAnsi="Times New Roman"/>
                <w:sz w:val="11"/>
                <w:szCs w:val="11"/>
                <w:color w:val="auto"/>
              </w:rPr>
              <w:t>(22)</w:t>
            </w:r>
          </w:p>
        </w:tc>
        <w:tc>
          <w:tcPr>
            <w:tcW w:w="68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Millais Limited</w:t>
            </w:r>
          </w:p>
        </w:tc>
        <w:tc>
          <w:tcPr>
            <w:tcW w:w="680" w:type="dxa"/>
            <w:vAlign w:val="bottom"/>
            <w:tcBorders>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750,000</w:t>
            </w:r>
          </w:p>
        </w:tc>
        <w:tc>
          <w:tcPr>
            <w:tcW w:w="440" w:type="dxa"/>
            <w:vAlign w:val="bottom"/>
            <w:gridSpan w:val="2"/>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17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750,000</w:t>
            </w:r>
          </w:p>
        </w:tc>
        <w:tc>
          <w:tcPr>
            <w:tcW w:w="6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19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11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MMF LT, LLC</w:t>
            </w:r>
            <w:r>
              <w:rPr>
                <w:rFonts w:ascii="Times New Roman" w:cs="Times New Roman" w:eastAsia="Times New Roman" w:hAnsi="Times New Roman"/>
                <w:sz w:val="11"/>
                <w:szCs w:val="11"/>
                <w:color w:val="auto"/>
              </w:rPr>
              <w:t>(23)</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400,000</w:t>
            </w:r>
          </w:p>
        </w:tc>
        <w:tc>
          <w:tcPr>
            <w:tcW w:w="440" w:type="dxa"/>
            <w:vAlign w:val="bottom"/>
            <w:gridSpan w:val="2"/>
          </w:tcPr>
          <w:p>
            <w:pPr>
              <w:ind w:lef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17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400,000</w:t>
            </w:r>
          </w:p>
        </w:tc>
        <w:tc>
          <w:tcPr>
            <w:tcW w:w="6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19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3"/>
        </w:trPr>
        <w:tc>
          <w:tcPr>
            <w:tcW w:w="118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Entities managed</w:t>
            </w:r>
          </w:p>
        </w:tc>
        <w:tc>
          <w:tcPr>
            <w:tcW w:w="68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by UBS</w:t>
            </w:r>
          </w:p>
        </w:tc>
        <w:tc>
          <w:tcPr>
            <w:tcW w:w="6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80" w:type="dxa"/>
            <w:vAlign w:val="bottom"/>
            <w:tcBorders>
              <w:right w:val="single" w:sz="8" w:color="CCEEFF"/>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O’Connor</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4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1"/>
                <w:szCs w:val="11"/>
                <w:color w:val="auto"/>
              </w:rPr>
              <w:t>(24)</w:t>
            </w: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tcBorders>
              <w:right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00"/>
          </w:cols>
          <w:pgMar w:left="320" w:top="450" w:right="27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60" w:type="dxa"/>
            <w:vAlign w:val="bottom"/>
            <w:gridSpan w:val="7"/>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Beneficially Owned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740" w:type="dxa"/>
            <w:vAlign w:val="bottom"/>
            <w:gridSpan w:val="8"/>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Beneficially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Borders>
              <w:bottom w:val="single" w:sz="8" w:color="auto"/>
            </w:tcBorders>
            <w:gridSpan w:val="6"/>
          </w:tcPr>
          <w:p>
            <w:pPr>
              <w:jc w:val="center"/>
              <w:ind w:left="173"/>
              <w:spacing w:after="0"/>
              <w:rPr>
                <w:sz w:val="20"/>
                <w:szCs w:val="20"/>
                <w:color w:val="auto"/>
              </w:rPr>
            </w:pPr>
            <w:r>
              <w:rPr>
                <w:rFonts w:ascii="Times New Roman" w:cs="Times New Roman" w:eastAsia="Times New Roman" w:hAnsi="Times New Roman"/>
                <w:sz w:val="12"/>
                <w:szCs w:val="12"/>
                <w:b w:val="1"/>
                <w:bCs w:val="1"/>
                <w:color w:val="auto"/>
              </w:rPr>
              <w:t>Prior to Offering</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1500" w:type="dxa"/>
            <w:vAlign w:val="bottom"/>
            <w:tcBorders>
              <w:bottom w:val="single" w:sz="8" w:color="auto"/>
            </w:tcBorders>
            <w:gridSpan w:val="7"/>
          </w:tcPr>
          <w:p>
            <w:pPr>
              <w:jc w:val="center"/>
              <w:ind w:left="173"/>
              <w:spacing w:after="0"/>
              <w:rPr>
                <w:sz w:val="20"/>
                <w:szCs w:val="20"/>
                <w:color w:val="auto"/>
              </w:rPr>
            </w:pPr>
            <w:r>
              <w:rPr>
                <w:rFonts w:ascii="Times New Roman" w:cs="Times New Roman" w:eastAsia="Times New Roman" w:hAnsi="Times New Roman"/>
                <w:sz w:val="12"/>
                <w:szCs w:val="12"/>
                <w:b w:val="1"/>
                <w:bCs w:val="1"/>
                <w:color w:val="auto"/>
              </w:rPr>
              <w:t>Owned After Offering</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Private Placement Warrants</w:t>
            </w: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80"/>
              <w:spacing w:after="0" w:line="106" w:lineRule="exact"/>
              <w:rPr>
                <w:sz w:val="20"/>
                <w:szCs w:val="20"/>
                <w:color w:val="auto"/>
              </w:rPr>
            </w:pPr>
            <w:r>
              <w:rPr>
                <w:rFonts w:ascii="Times New Roman" w:cs="Times New Roman" w:eastAsia="Times New Roman" w:hAnsi="Times New Roman"/>
                <w:sz w:val="12"/>
                <w:szCs w:val="12"/>
                <w:b w:val="1"/>
                <w:bCs w:val="1"/>
                <w:color w:val="auto"/>
              </w:rPr>
              <w:t>Number</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12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160" w:type="dxa"/>
            <w:vAlign w:val="bottom"/>
          </w:tcPr>
          <w:p>
            <w:pPr>
              <w:spacing w:after="0"/>
              <w:rPr>
                <w:sz w:val="11"/>
                <w:szCs w:val="11"/>
                <w:color w:val="auto"/>
              </w:rPr>
            </w:pPr>
          </w:p>
        </w:tc>
        <w:tc>
          <w:tcPr>
            <w:tcW w:w="7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6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12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 of Total</w:t>
            </w:r>
          </w:p>
        </w:tc>
        <w:tc>
          <w:tcPr>
            <w:tcW w:w="160" w:type="dxa"/>
            <w:vAlign w:val="bottom"/>
          </w:tcPr>
          <w:p>
            <w:pPr>
              <w:spacing w:after="0"/>
              <w:rPr>
                <w:sz w:val="11"/>
                <w:szCs w:val="11"/>
                <w:color w:val="auto"/>
              </w:rPr>
            </w:pPr>
          </w:p>
        </w:tc>
        <w:tc>
          <w:tcPr>
            <w:tcW w:w="74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Number</w:t>
            </w: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72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rPr>
              <w:t>Number</w:t>
            </w: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6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4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6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Beneficially</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Beneficially</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Warrants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Beneficially</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Beneficially</w:t>
            </w:r>
          </w:p>
        </w:tc>
        <w:tc>
          <w:tcPr>
            <w:tcW w:w="0" w:type="dxa"/>
            <w:vAlign w:val="bottom"/>
          </w:tcPr>
          <w:p>
            <w:pPr>
              <w:spacing w:after="0"/>
              <w:rPr>
                <w:sz w:val="1"/>
                <w:szCs w:val="1"/>
                <w:color w:val="auto"/>
              </w:rPr>
            </w:pPr>
          </w:p>
        </w:tc>
      </w:tr>
      <w:tr>
        <w:trPr>
          <w:trHeight w:val="105"/>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Power</w:t>
            </w:r>
          </w:p>
        </w:tc>
        <w:tc>
          <w:tcPr>
            <w:tcW w:w="160" w:type="dxa"/>
            <w:vAlign w:val="bottom"/>
          </w:tcPr>
          <w:p>
            <w:pPr>
              <w:spacing w:after="0"/>
              <w:rPr>
                <w:sz w:val="9"/>
                <w:szCs w:val="9"/>
                <w:color w:val="auto"/>
              </w:rPr>
            </w:pPr>
          </w:p>
        </w:tc>
        <w:tc>
          <w:tcPr>
            <w:tcW w:w="72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rPr>
              <w:t>Registered</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Power</w:t>
            </w:r>
          </w:p>
        </w:tc>
        <w:tc>
          <w:tcPr>
            <w:tcW w:w="160" w:type="dxa"/>
            <w:vAlign w:val="bottom"/>
          </w:tcPr>
          <w:p>
            <w:pPr>
              <w:spacing w:after="0"/>
              <w:rPr>
                <w:sz w:val="9"/>
                <w:szCs w:val="9"/>
                <w:color w:val="auto"/>
              </w:rPr>
            </w:pPr>
          </w:p>
        </w:tc>
        <w:tc>
          <w:tcPr>
            <w:tcW w:w="74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2"/>
                <w:szCs w:val="12"/>
                <w:b w:val="1"/>
                <w:bCs w:val="1"/>
                <w:color w:val="auto"/>
              </w:rPr>
              <w:t>Owned</w:t>
            </w:r>
          </w:p>
        </w:tc>
        <w:tc>
          <w:tcPr>
            <w:tcW w:w="7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Owned</w:t>
            </w:r>
          </w:p>
        </w:tc>
        <w:tc>
          <w:tcPr>
            <w:tcW w:w="68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2"/>
                <w:szCs w:val="12"/>
                <w:b w:val="1"/>
                <w:bCs w:val="1"/>
                <w:color w:val="auto"/>
              </w:rPr>
              <w:t>Registered</w:t>
            </w:r>
          </w:p>
        </w:tc>
        <w:tc>
          <w:tcPr>
            <w:tcW w:w="7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Owned</w:t>
            </w:r>
          </w:p>
        </w:tc>
        <w:tc>
          <w:tcPr>
            <w:tcW w:w="66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rPr>
              <w:t>Owned</w:t>
            </w:r>
          </w:p>
        </w:tc>
        <w:tc>
          <w:tcPr>
            <w:tcW w:w="0" w:type="dxa"/>
            <w:vAlign w:val="bottom"/>
          </w:tcPr>
          <w:p>
            <w:pPr>
              <w:spacing w:after="0"/>
              <w:rPr>
                <w:sz w:val="1"/>
                <w:szCs w:val="1"/>
                <w:color w:val="auto"/>
              </w:rPr>
            </w:pPr>
          </w:p>
        </w:tc>
      </w:tr>
      <w:tr>
        <w:trPr>
          <w:trHeight w:val="126"/>
        </w:trPr>
        <w:tc>
          <w:tcPr>
            <w:tcW w:w="168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Prior to</w:t>
            </w:r>
          </w:p>
        </w:tc>
        <w:tc>
          <w:tcPr>
            <w:tcW w:w="160" w:type="dxa"/>
            <w:vAlign w:val="bottom"/>
          </w:tcPr>
          <w:p>
            <w:pPr>
              <w:spacing w:after="0"/>
              <w:rPr>
                <w:sz w:val="10"/>
                <w:szCs w:val="10"/>
                <w:color w:val="auto"/>
              </w:rPr>
            </w:pPr>
          </w:p>
        </w:tc>
        <w:tc>
          <w:tcPr>
            <w:tcW w:w="7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for Sale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160" w:type="dxa"/>
            <w:vAlign w:val="bottom"/>
          </w:tcPr>
          <w:p>
            <w:pPr>
              <w:spacing w:after="0"/>
              <w:rPr>
                <w:sz w:val="10"/>
                <w:szCs w:val="10"/>
                <w:color w:val="auto"/>
              </w:rPr>
            </w:pPr>
          </w:p>
        </w:tc>
        <w:tc>
          <w:tcPr>
            <w:tcW w:w="7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rPr>
              <w:t>Prior to</w:t>
            </w:r>
          </w:p>
        </w:tc>
        <w:tc>
          <w:tcPr>
            <w:tcW w:w="7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Prior to</w:t>
            </w:r>
          </w:p>
        </w:tc>
        <w:tc>
          <w:tcPr>
            <w:tcW w:w="6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for Sale</w:t>
            </w:r>
          </w:p>
        </w:tc>
        <w:tc>
          <w:tcPr>
            <w:tcW w:w="7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6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After</w:t>
            </w:r>
          </w:p>
        </w:tc>
        <w:tc>
          <w:tcPr>
            <w:tcW w:w="0" w:type="dxa"/>
            <w:vAlign w:val="bottom"/>
          </w:tcPr>
          <w:p>
            <w:pPr>
              <w:spacing w:after="0"/>
              <w:rPr>
                <w:sz w:val="1"/>
                <w:szCs w:val="1"/>
                <w:color w:val="auto"/>
              </w:rPr>
            </w:pPr>
          </w:p>
        </w:tc>
      </w:tr>
      <w:tr>
        <w:trPr>
          <w:trHeight w:val="16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Beneficial Owner</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0"/>
                <w:szCs w:val="10"/>
                <w:b w:val="1"/>
                <w:bCs w:val="1"/>
                <w:color w:val="auto"/>
              </w:rPr>
              <w:t>(2)</w:t>
            </w:r>
          </w:p>
        </w:tc>
        <w:tc>
          <w:tcPr>
            <w:tcW w:w="2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1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Hereby</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1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Hereby</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0" w:type="dxa"/>
            <w:vAlign w:val="bottom"/>
          </w:tcPr>
          <w:p>
            <w:pPr>
              <w:spacing w:after="0"/>
              <w:rPr>
                <w:sz w:val="1"/>
                <w:szCs w:val="1"/>
                <w:color w:val="auto"/>
              </w:rPr>
            </w:pPr>
          </w:p>
        </w:tc>
      </w:tr>
      <w:tr>
        <w:trPr>
          <w:trHeight w:val="96"/>
        </w:trPr>
        <w:tc>
          <w:tcPr>
            <w:tcW w:w="1680" w:type="dxa"/>
            <w:vAlign w:val="bottom"/>
            <w:tcBorders>
              <w:top w:val="single" w:sz="8" w:color="CCEEFF"/>
            </w:tcBorders>
            <w:gridSpan w:val="2"/>
            <w:shd w:val="clear" w:color="auto" w:fill="CCEEFF"/>
          </w:tcPr>
          <w:p>
            <w:pPr>
              <w:spacing w:after="0" w:line="96" w:lineRule="exact"/>
              <w:rPr>
                <w:sz w:val="20"/>
                <w:szCs w:val="20"/>
                <w:color w:val="auto"/>
              </w:rPr>
            </w:pPr>
            <w:r>
              <w:rPr>
                <w:rFonts w:ascii="Times New Roman" w:cs="Times New Roman" w:eastAsia="Times New Roman" w:hAnsi="Times New Roman"/>
                <w:sz w:val="11"/>
                <w:szCs w:val="11"/>
                <w:color w:val="auto"/>
              </w:rPr>
              <w:t>Park West Asset</w:t>
            </w: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6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Management LLC and</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6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affiliates</w:t>
            </w:r>
            <w:r>
              <w:rPr>
                <w:rFonts w:ascii="Times New Roman" w:cs="Times New Roman" w:eastAsia="Times New Roman" w:hAnsi="Times New Roman"/>
                <w:sz w:val="11"/>
                <w:szCs w:val="11"/>
                <w:color w:val="auto"/>
              </w:rPr>
              <w:t>(25)</w:t>
            </w:r>
          </w:p>
        </w:tc>
        <w:tc>
          <w:tcPr>
            <w:tcW w:w="7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8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color w:val="auto"/>
              </w:rPr>
              <w:t>Perceptive Life Sciences</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1,500,000</w:t>
            </w: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1,500,000</w:t>
            </w:r>
          </w:p>
        </w:tc>
        <w:tc>
          <w:tcPr>
            <w:tcW w:w="6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Master Fund, Ltd.</w:t>
            </w:r>
          </w:p>
        </w:tc>
        <w:tc>
          <w:tcPr>
            <w:tcW w:w="7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8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Schonfeld Strategic 460</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940,249</w:t>
            </w: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440,249</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 LLC</w:t>
            </w:r>
            <w:r>
              <w:rPr>
                <w:rFonts w:ascii="Times New Roman" w:cs="Times New Roman" w:eastAsia="Times New Roman" w:hAnsi="Times New Roman"/>
                <w:sz w:val="11"/>
                <w:szCs w:val="11"/>
                <w:color w:val="auto"/>
              </w:rPr>
              <w:t>(26)</w:t>
            </w:r>
          </w:p>
        </w:tc>
        <w:tc>
          <w:tcPr>
            <w:tcW w:w="7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8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color w:val="auto"/>
              </w:rPr>
              <w:t>Senator Global Opportunity</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5,600,000</w:t>
            </w: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3.9%</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5,000,000</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600,000</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Master Fund LP</w:t>
            </w:r>
          </w:p>
        </w:tc>
        <w:tc>
          <w:tcPr>
            <w:tcW w:w="7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8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Entities Managed by</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6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Suvretta Capital</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6,000</w:t>
            </w: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6,000</w:t>
            </w:r>
          </w:p>
        </w:tc>
        <w:tc>
          <w:tcPr>
            <w:tcW w:w="6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LLC</w:t>
            </w:r>
            <w:r>
              <w:rPr>
                <w:rFonts w:ascii="Times New Roman" w:cs="Times New Roman" w:eastAsia="Times New Roman" w:hAnsi="Times New Roman"/>
                <w:sz w:val="11"/>
                <w:szCs w:val="11"/>
                <w:color w:val="auto"/>
              </w:rPr>
              <w:t>(27)</w:t>
            </w:r>
          </w:p>
        </w:tc>
        <w:tc>
          <w:tcPr>
            <w:tcW w:w="7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8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color w:val="auto"/>
              </w:rPr>
              <w:t>The Bain Revocable Trust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300,000</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300,000</w:t>
            </w:r>
          </w:p>
        </w:tc>
        <w:tc>
          <w:tcPr>
            <w:tcW w:w="6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DTD 4/3/13</w:t>
            </w:r>
          </w:p>
        </w:tc>
        <w:tc>
          <w:tcPr>
            <w:tcW w:w="70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893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27" w:lineRule="exact"/>
        <w:rPr>
          <w:sz w:val="20"/>
          <w:szCs w:val="20"/>
          <w:color w:val="auto"/>
        </w:rPr>
      </w:pPr>
    </w:p>
    <w:p>
      <w:pPr>
        <w:ind w:left="460" w:hanging="454"/>
        <w:spacing w:after="0"/>
        <w:tabs>
          <w:tab w:leader="none" w:pos="4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ind w:left="460" w:hanging="454"/>
        <w:spacing w:after="0" w:line="217" w:lineRule="auto"/>
        <w:tabs>
          <w:tab w:leader="none" w:pos="4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Class A common stock and Class B common stock, as a single class. Each share of Class B common</w:t>
      </w:r>
    </w:p>
    <w:p>
      <w:pPr>
        <w:ind w:left="460" w:right="400"/>
        <w:spacing w:after="0" w:line="216" w:lineRule="auto"/>
        <w:rPr>
          <w:sz w:val="20"/>
          <w:szCs w:val="20"/>
          <w:color w:val="auto"/>
        </w:rPr>
      </w:pPr>
      <w:r>
        <w:rPr>
          <w:rFonts w:ascii="Times New Roman" w:cs="Times New Roman" w:eastAsia="Times New Roman" w:hAnsi="Times New Roman"/>
          <w:sz w:val="14"/>
          <w:szCs w:val="14"/>
          <w:color w:val="auto"/>
        </w:rPr>
        <w:t>stock is entitled to ten votes per share and each share of Class A common stock is entitled to one vote per share. For more information about the voting rights of Common Stock, see the section below titled “</w:t>
      </w:r>
      <w:r>
        <w:rPr>
          <w:rFonts w:ascii="Times New Roman" w:cs="Times New Roman" w:eastAsia="Times New Roman" w:hAnsi="Times New Roman"/>
          <w:sz w:val="14"/>
          <w:szCs w:val="14"/>
          <w:i w:val="1"/>
          <w:iCs w:val="1"/>
          <w:color w:val="auto"/>
        </w:rPr>
        <w:t>Description of Securities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460" w:right="60" w:hanging="454"/>
        <w:spacing w:after="0" w:line="216" w:lineRule="auto"/>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Chamath Palihapitiya and Ian Osborne may be deemed to beneficially own shares held by SCH Sponsor III LLC by virtue of their shared voting and investment control over SCH Sponsor III LLC. The address of SCH Sponsor III LLC is 317 University Ave, Suite 200, Palo Alto, CA 94301.</w:t>
      </w:r>
    </w:p>
    <w:p>
      <w:pPr>
        <w:spacing w:after="0" w:line="1" w:lineRule="exact"/>
        <w:rPr>
          <w:rFonts w:ascii="Times New Roman" w:cs="Times New Roman" w:eastAsia="Times New Roman" w:hAnsi="Times New Roman"/>
          <w:sz w:val="14"/>
          <w:szCs w:val="14"/>
          <w:color w:val="auto"/>
        </w:rPr>
      </w:pPr>
    </w:p>
    <w:p>
      <w:pPr>
        <w:ind w:left="460" w:right="260" w:hanging="454"/>
        <w:spacing w:after="0" w:line="216" w:lineRule="auto"/>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Palihapitiya beneficially owns shares held by ChaChaCha SPAC C LLC by virtue of his voting and investment control over ChaChaCha SPAC C LLC. All shares held by ChaChaCha SPAC C LLC are subject to a pledge in favor of Credit Suisse AG, New York Branch as collateral with respect to a loan agreement. The address of ChaChaCha SPAC C LLC is 317 University Ave, Suite 200, Palo Alto, CA 94301.</w:t>
      </w:r>
    </w:p>
    <w:p>
      <w:pPr>
        <w:spacing w:after="0" w:line="1" w:lineRule="exact"/>
        <w:rPr>
          <w:rFonts w:ascii="Times New Roman" w:cs="Times New Roman" w:eastAsia="Times New Roman" w:hAnsi="Times New Roman"/>
          <w:sz w:val="14"/>
          <w:szCs w:val="14"/>
          <w:color w:val="auto"/>
        </w:rPr>
      </w:pPr>
    </w:p>
    <w:p>
      <w:pPr>
        <w:ind w:left="460" w:right="100" w:hanging="454"/>
        <w:spacing w:after="0" w:line="216" w:lineRule="auto"/>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4,018,431 shares of Class B common stock held of record by an affiliate of Greenoaks Capital Partners LLC (“Greenoaks Capital”), (ii) 3,085,306 shares of Class B common stock held of record by an affiliate of Greenoaks Capital, (iii) 8,678,540 shares of Class B common stock held of record by an affiliate of Greenoaks Capital, (iv) 2,716,239 shares of Class B common stock held of record by an affiliate of Greenoaks Capital, (v) 12,036,311 shares of Class B common stock held of record by an affiliate of Greenoaks Capital, (vi) 26,058,782 shares of Class B common stock held of record by an affiliate of Greenoaks Capital, (vii) 29,803,297 shares of Class B common stock held of record by an affiliate of Greenoaks Capital, and (viii) 9,934,432 shares of Class B common stock held of record by an affiliate of Greenoaks Capital. Benjamin Peretz is a Managing Member of the general partner of each of the entities affiliated with Greenoaks Capital. Therefore, Mr. Peretz may be deemed to share voting power and dispositive power over the shares held by these entities. The principal business address of each of these entities is 535 Pacific Avenue, 4th Floor, San Francisco, California 94133.</w:t>
      </w:r>
    </w:p>
    <w:p>
      <w:pPr>
        <w:spacing w:after="0" w:line="3" w:lineRule="exact"/>
        <w:rPr>
          <w:rFonts w:ascii="Times New Roman" w:cs="Times New Roman" w:eastAsia="Times New Roman" w:hAnsi="Times New Roman"/>
          <w:sz w:val="14"/>
          <w:szCs w:val="14"/>
          <w:color w:val="auto"/>
        </w:rPr>
      </w:pPr>
    </w:p>
    <w:p>
      <w:pPr>
        <w:ind w:left="460" w:right="140" w:hanging="454"/>
        <w:spacing w:after="0" w:line="233" w:lineRule="auto"/>
        <w:tabs>
          <w:tab w:leader="none" w:pos="46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5,645,934 shares of Class B common stock held by Caesar Ventures, LLC (“Caesar Ventures”), (ii) 2,062,265 shares of Class B common stock held by Caesar Clover, LLC (“Caesar Clover”), (iii) 75,694,143 shares of Class B common stock held by NJ Healthcare Investments, LLC (“NJ Healthcare”), and (iv) 182,201 shares of Class B common stock held by Titus Ventures, LLC (“Titus Ventures”). Mr. Garipalli serves as the sole manager of Caesar Ventures, Caesar Clover, NJ Healthcare and Titus Ventures, respectively. Therefore, Mr. Garipalli may be deemed to share voting power and dispositive power over the shares held by these entities. The address of each of these entities is 11 Colts Gait Lane, Colts Neck, NJ 07722.</w:t>
      </w:r>
    </w:p>
    <w:p>
      <w:pPr>
        <w:spacing w:after="0" w:line="1" w:lineRule="exact"/>
        <w:rPr>
          <w:rFonts w:ascii="Times New Roman" w:cs="Times New Roman" w:eastAsia="Times New Roman" w:hAnsi="Times New Roman"/>
          <w:sz w:val="13"/>
          <w:szCs w:val="13"/>
          <w:color w:val="auto"/>
        </w:rPr>
      </w:pPr>
    </w:p>
    <w:p>
      <w:pPr>
        <w:ind w:left="460" w:hanging="454"/>
        <w:spacing w:after="0" w:line="216" w:lineRule="auto"/>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Class B common stock issuable upon the exercise of options exercisable within 60 days of the Closing Date.</w:t>
      </w:r>
    </w:p>
    <w:p>
      <w:pPr>
        <w:ind w:left="460" w:right="260" w:hanging="454"/>
        <w:spacing w:after="0" w:line="216" w:lineRule="auto"/>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2,565,954 shares of Class B common stock held by Multiple Holdings, LLC. Nat Turner is a partner in Multiple Holdings, LLC and may be deemed to share voting power and dispositive power over the shares held by Multiple Holdings, LLC. The address of Multiple Holdings, LLC is 139 Reade Street, apartment 5A, New York, NY 10013.</w:t>
      </w:r>
    </w:p>
    <w:p>
      <w:pPr>
        <w:spacing w:after="0" w:line="1" w:lineRule="exact"/>
        <w:rPr>
          <w:rFonts w:ascii="Times New Roman" w:cs="Times New Roman" w:eastAsia="Times New Roman" w:hAnsi="Times New Roman"/>
          <w:sz w:val="14"/>
          <w:szCs w:val="14"/>
          <w:color w:val="auto"/>
        </w:rPr>
      </w:pPr>
    </w:p>
    <w:p>
      <w:pPr>
        <w:ind w:left="460" w:hanging="454"/>
        <w:spacing w:after="0" w:line="216" w:lineRule="auto"/>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15,780,522 shares of Class B common stock issuable upon the exercise of options exercisable within 60 days of the Closing Date.</w:t>
      </w:r>
    </w:p>
    <w:p>
      <w:pPr>
        <w:ind w:left="460" w:right="100" w:hanging="454"/>
        <w:spacing w:after="0" w:line="233" w:lineRule="auto"/>
        <w:tabs>
          <w:tab w:leader="none" w:pos="4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Alberta Investment Management Corporation is established as an agent of the Crown in right of the Province of Alberta and manages funds on behalf of a diverse set of Alberta public sector clients for which it serves as investment manager. The address of Alberta Investment Management Corporation is 1600-10250, 101 Street SW, Edmonton, AB T5J 3P4.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450"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460" w:right="100" w:hanging="454"/>
        <w:spacing w:after="0" w:line="224"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Alyeska Investment Group, L.P. is the investment manager of Alyeska Master Fund, L.P. and as such,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w:t>
      </w:r>
    </w:p>
    <w:p>
      <w:pPr>
        <w:spacing w:after="0" w:line="1" w:lineRule="exact"/>
        <w:rPr>
          <w:rFonts w:ascii="Times New Roman" w:cs="Times New Roman" w:eastAsia="Times New Roman" w:hAnsi="Times New Roman"/>
          <w:sz w:val="14"/>
          <w:szCs w:val="14"/>
          <w:color w:val="auto"/>
        </w:rPr>
      </w:pPr>
    </w:p>
    <w:p>
      <w:pPr>
        <w:ind w:left="460" w:right="40" w:hanging="454"/>
        <w:spacing w:after="0" w:line="216"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938,000 shares of Class A common stock held by Baron Asset Fund, (ii) 675,000 shares of Class A common stock held by Baron Global Advantage Fund, (iii) 12,000 shares of Class A common stock held by Baron Health Care Fund, and (iv) 375,000 shares of Class A common stock held by Baron Opportunity Fund (collectively, the “Baron Funds”). This Selling Securityholder has represented to us that it is an affiliate of a limited-purpose broker-dealer but that its shares were purchased in the ordinary course of business and that at the time of its purchase it had no agreements or understandings, directly or indirectly, with any person to distribute such shares.</w:t>
      </w:r>
    </w:p>
    <w:p>
      <w:pPr>
        <w:spacing w:after="0" w:line="2" w:lineRule="exact"/>
        <w:rPr>
          <w:rFonts w:ascii="Times New Roman" w:cs="Times New Roman" w:eastAsia="Times New Roman" w:hAnsi="Times New Roman"/>
          <w:sz w:val="14"/>
          <w:szCs w:val="14"/>
          <w:color w:val="auto"/>
        </w:rPr>
      </w:pPr>
    </w:p>
    <w:p>
      <w:pPr>
        <w:ind w:left="460" w:right="60" w:hanging="454"/>
        <w:spacing w:after="0" w:line="216"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securities held directly by Blackstone Global Master Fund ICAV acting solely on behalf of its sub fund Blackstone Aqua Master Sub- Fund (the “Aqua Fund”). Blackstone Alternative Solutions L.L.C. is the investment manager of the Aqua Fund. Blackstone Holdings I L.P. is the sole member of Blackstone Alternative Solutions L.L.C. Blackstone Holdings I/II GP L.L.C. is the general partner of Blackstone Holdings I L.P. The Blackstone Group Inc. is the sole member of Blackstone Holdings I/II GP L.L.C. Blackstone Group Management L.L.C. is the sole holder of the Class C common stock of The Blackstone Group Inc. Blackstone Group Management L.L.C. is wholly owned by its senior managing directors and controlled by its founder, Stephen A. Schwarzman. Each of such Blackstone entities and Mr. Schwarzman may be deemed to beneficially own the securities beneficially owned by the Aqua Fund directly or indirectly controlled by it or him, but each (other than the Aqua Fund to the extent of its direct holdings) disclaims beneficial ownership of such securities. This Selling Securityholder has represented to us that it is an affiliate of a limited-purpose broker-dealer but that its shares were purchased in the ordinary course of business and that at the time of its purchase it had no agreements or understandings, directly or indirectly, with any person to distribute such shares.</w:t>
      </w:r>
    </w:p>
    <w:p>
      <w:pPr>
        <w:spacing w:after="0" w:line="4" w:lineRule="exact"/>
        <w:rPr>
          <w:rFonts w:ascii="Times New Roman" w:cs="Times New Roman" w:eastAsia="Times New Roman" w:hAnsi="Times New Roman"/>
          <w:sz w:val="14"/>
          <w:szCs w:val="14"/>
          <w:color w:val="auto"/>
        </w:rPr>
      </w:pPr>
    </w:p>
    <w:p>
      <w:pPr>
        <w:ind w:left="460" w:right="60" w:hanging="454"/>
        <w:spacing w:after="0" w:line="216"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Casdin Capital, LLC is the investment adviser to Casdin Partners Master Fund, L.P., and Casdin Partners GP, LLC is the general partner of Casdin Partners Master Fund L.P. Eli Casdin is the managing member of Casdin Capital, LLC and Casdin Partners GP, LLC. As such, each of Casdin Capital, LLC, Casdin Partners GP, LLC and Eli Casdin may be deemed to beneficially own the securities held by Casdin Partners Master Fund, L.P. by virtue of their shared voting and investment control over Casdin Partners Master Fund, L.P. Each of Casdin Capital, LLC, Casdin Partners GP, LLC and Mr. Casdin disclaims beneficial ownership of such securities except to the extent of their respective pecuniary interest therein.</w:t>
      </w:r>
    </w:p>
    <w:p>
      <w:pPr>
        <w:spacing w:after="0" w:line="2" w:lineRule="exact"/>
        <w:rPr>
          <w:rFonts w:ascii="Times New Roman" w:cs="Times New Roman" w:eastAsia="Times New Roman" w:hAnsi="Times New Roman"/>
          <w:sz w:val="14"/>
          <w:szCs w:val="14"/>
          <w:color w:val="auto"/>
        </w:rPr>
      </w:pPr>
    </w:p>
    <w:p>
      <w:pPr>
        <w:ind w:left="460" w:hanging="454"/>
        <w:spacing w:after="0" w:line="216"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Jeff Lo has voting and investment control over the shares held by CH Capital SPV LLC and as such, may be deemed to beneficially own the shares held by CH Capital SPV LLC.</w:t>
      </w:r>
    </w:p>
    <w:p>
      <w:pPr>
        <w:ind w:left="460" w:right="200" w:hanging="454"/>
        <w:spacing w:after="0" w:line="216"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178,450 shares of Class A common stock held by Davidson Kempner Institutional Partners, L.P., (ii) 217,000 shares of Class A common stock held by Davidson Kempner International, Ltd., (iii) 89,950 shares of Class A common stock held by Davidson Kempner Partners. and (iv) 14,600 shares of Class A common stock held by M.H. Davidson &amp; Co. (collectively, the “Davidson Kempner Entities”). Davidson Kempner Capital Management LP (“DKCM”) holds voting and dispositive power over the securities held by the Davidson Kempner Entities. Anthony A. Yoseloff, Eric P. Epstein, Conor Bastable, Shulamit Leviant, Morgan P. Blackwell, Patrick W. Dennis, Gabriel T. Schwartz, Zachary Z. Altschuler, Joshua D. Morris and Suzanne K. Gibbons, through DKCM, are responsible for the voting and investment decisions relating to the securities held by the Davidson Kempner Entities. Each of the aforementioned entities and individuals disclaims beneficial ownership of securities held by any other entity or individual names in this footnote except to the extent of such entity’s or individual’s pecuniary interest therein, if any.</w:t>
      </w:r>
    </w:p>
    <w:p>
      <w:pPr>
        <w:spacing w:after="0" w:line="3" w:lineRule="exact"/>
        <w:rPr>
          <w:rFonts w:ascii="Times New Roman" w:cs="Times New Roman" w:eastAsia="Times New Roman" w:hAnsi="Times New Roman"/>
          <w:sz w:val="14"/>
          <w:szCs w:val="14"/>
          <w:color w:val="auto"/>
        </w:rPr>
      </w:pPr>
    </w:p>
    <w:p>
      <w:pPr>
        <w:ind w:left="460" w:hanging="454"/>
        <w:spacing w:after="0" w:line="216"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291,650 shares of Class A common stock held by Polar Long/Short Master Fund (“PLSMF”) and (ii) 208,350 shares of Class A common stock held Polar Multi Strategy Master Fund (“PMSMF”). Polar Asset Management Partners Inc. is the investment advisor to PLSMF and PMSMF with respect to the shares directly held by PLSMF and PMSMF, respectively. Paul Sabourin, as Chief Investment Officer of Polar Asset Management Partners Inc., has the power to vote or dispose of the shares beneficially owned by Polar Asset Management Partners Inc. and therefore may also be deemed the beneficial owner of such shares held by PLSMF and PMSMF, respectively.</w:t>
      </w:r>
    </w:p>
    <w:p>
      <w:pPr>
        <w:spacing w:after="0" w:line="2" w:lineRule="exact"/>
        <w:rPr>
          <w:rFonts w:ascii="Times New Roman" w:cs="Times New Roman" w:eastAsia="Times New Roman" w:hAnsi="Times New Roman"/>
          <w:sz w:val="14"/>
          <w:szCs w:val="14"/>
          <w:color w:val="auto"/>
        </w:rPr>
      </w:pPr>
    </w:p>
    <w:p>
      <w:pPr>
        <w:ind w:left="460" w:right="20" w:hanging="454"/>
        <w:spacing w:after="0" w:line="216"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883,330 shares of Class A common stock held by T. Rowe Price Small-Cap Value Fund, Inc., (ii) 286,949 shares of Class A common stock held by T. Rowe Price U.S. Small-Cap Value Equity Trust, (iii) 19,178 shares of Class A common stock held by T. Rowe Price U.S. Equities Trust, and (iv) 10,543 shares of Class A common stock held by MassMutual Select Funds—MassMutual Select T. Rowe Price Small and Mid Cap Blend Fund (collectively, the “T. Rowe Funds”). T. Rowe Price Associates, Inc. (“TRPA”) serves as investment adviser or subadviser with (a) power to direct investments and/or (b) sole power to vote the securities owned by the T. Rowe Funds, as well as securities owned by certain other individual and institutional investors. For purposes of reporting requirements of the Securities Exchange Act of 1934, TRPA may be deemed to be the beneficial owner of all of the securities held by T. Rowe Funds; however, TRPA expressly disclaims that it is, in fact, the beneficial owner of such securities. TRPA is the wholly owned subsidiary of T. Rowe Price Group, Inc., which is a publicly traded financial services holding company. T. Rowe Price Investment Services, Inc. (“TRPIS”), a registered broker-dealer (and FINRA member), is a subsidiary of TRPA. TRPIS was formed primarily for the limited purpose of acting as the principal underwriter and distributor of shares of the funds in the T. Rowe Price fund family and complements the other services provided to shareholders of the T. Rowe Price funds. TRPIS does not engage in underwriting or market-making activities involving individual securities.</w:t>
      </w:r>
    </w:p>
    <w:p>
      <w:pPr>
        <w:spacing w:after="0" w:line="4" w:lineRule="exact"/>
        <w:rPr>
          <w:rFonts w:ascii="Times New Roman" w:cs="Times New Roman" w:eastAsia="Times New Roman" w:hAnsi="Times New Roman"/>
          <w:sz w:val="14"/>
          <w:szCs w:val="14"/>
          <w:color w:val="auto"/>
        </w:rPr>
      </w:pPr>
    </w:p>
    <w:p>
      <w:pPr>
        <w:ind w:left="460" w:hanging="454"/>
        <w:spacing w:after="0" w:line="216" w:lineRule="auto"/>
        <w:tabs>
          <w:tab w:leader="none" w:pos="4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268,500 shares of Class A common stock and 544,383 shares of Class B common stock held by Fidelity Advisor Series I: Fidelity Advisor Growth Opportunities Fund,</w:t>
      </w:r>
    </w:p>
    <w:p>
      <w:pPr>
        <w:ind w:left="460"/>
        <w:spacing w:after="0" w:line="21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40,700 shares of Class A common stock and 126,670 shares of Class B common stock held by Variable Insurance Products Fund III: Growth Opportunities Portfolio, (iii) 11,000 shares of</w:t>
      </w:r>
    </w:p>
    <w:p>
      <w:pPr>
        <w:ind w:left="460" w:right="1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stock and 131,124 shares of Class B common stock held by Fidelity Advisor Series I: Fidelity Advisor Series Growth Opportunities Fund, (iv) 2,400 shares of Class A common stock held by Fidelity U.S. Growth Opportunities Investment Trust, (v) 40,000 shares of Class A common stock held Fidelity NorthStar Fund, (vi) 202,600 shares of Class A common stock and 509,299 shares of Class B common stock held by Fidelity Mt. Vernon Street Trust: Fidelity Series Growth Company Fund, (vii) 952,500 shares of Class A common stock and 1,665,851 shares of Class B common stock held by Fidelity Mt. Vernon Street Trust: Fidelity Growth Company Fund, (viii) 873,600 shares of Class A common stock and 910,155 shares of Class B common stock held by Fidelity Growth Company Commingled Pool, and (ix) 108,700 shares of Class A common stock held by Fidelity Mt. Vernon Street Trust: Fidelity Growth Company K6 Fund (collectively, the “Fidelity Entities”). Direct or indirect subsidiaries of FMR LLC manage the Fidelity Entities.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40"/>
          </w:cols>
          <w:pgMar w:left="320" w:top="450" w:right="3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ind w:left="460" w:right="160"/>
        <w:spacing w:after="0" w:line="224" w:lineRule="auto"/>
        <w:rPr>
          <w:sz w:val="20"/>
          <w:szCs w:val="20"/>
          <w:color w:val="auto"/>
        </w:rPr>
      </w:pPr>
      <w:r>
        <w:rPr>
          <w:rFonts w:ascii="Times New Roman" w:cs="Times New Roman" w:eastAsia="Times New Roman" w:hAnsi="Times New Roman"/>
          <w:sz w:val="14"/>
          <w:szCs w:val="14"/>
          <w:color w:val="auto"/>
        </w:rPr>
        <w:t>companies registered under the Investment Company Act (“Fidelity Funds”) advised by Fidelity Management &amp; Research Company, LLC (“FMR Co”), a wholly owned subsidiary of FMR LLC, which power resides with the Fidelity Funds’ Boards of Trustees. Fidelity Management &amp; Research Company, LLC carries out the voting of the shares under written guidelines established by the Fidelity Funds’ Boards of Trustees.</w:t>
      </w:r>
    </w:p>
    <w:p>
      <w:pPr>
        <w:spacing w:after="0" w:line="1" w:lineRule="exact"/>
        <w:rPr>
          <w:sz w:val="20"/>
          <w:szCs w:val="20"/>
          <w:color w:val="auto"/>
        </w:rPr>
      </w:pPr>
    </w:p>
    <w:p>
      <w:pPr>
        <w:ind w:left="460" w:right="4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577,500 shares of Class A common stock held by Brookdale Global Opportunity Fund (“BGO”) and (ii) 1,172,500 shares of Class A common stock held by Brookdale International Partners, L.P. (“BIP”). Andrew Weiss is the Manager of WAM GP LLC, which is the general partner of Weiss Asset Management LP, the investment manager of BGO and BIP. WAM GP LLC is also the Manager of BIP GP LLC, the general partner of BIP. Mr. Weiss has voting and dispositive power with respect to the securities held by the BGO and BIP. Mr. Weiss, WAM GP LLC, Weiss Asset Management LP and BIP GP LLC each disclaim beneficial ownership of the shares held by BGO and BIP, except to the extent of their respective pecuniary interests therein.</w:t>
      </w:r>
    </w:p>
    <w:p>
      <w:pPr>
        <w:spacing w:after="0" w:line="2" w:lineRule="exact"/>
        <w:rPr>
          <w:rFonts w:ascii="Times New Roman" w:cs="Times New Roman" w:eastAsia="Times New Roman" w:hAnsi="Times New Roman"/>
          <w:sz w:val="14"/>
          <w:szCs w:val="14"/>
          <w:color w:val="auto"/>
        </w:rPr>
      </w:pPr>
    </w:p>
    <w:p>
      <w:pPr>
        <w:ind w:left="460" w:right="34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Osborne, Iain Stokes and Rob King each serve as a member of the board of directors of Hedosophia Public Investments Limited and as such, each have shared voting and dispositive power with respect to the shares held by Hedosophia Public Investments Limited and may be deemed to beneficially own the shares held by Hedosophia Public Investments Limited.</w:t>
      </w:r>
    </w:p>
    <w:p>
      <w:pPr>
        <w:spacing w:after="0" w:line="1" w:lineRule="exact"/>
        <w:rPr>
          <w:rFonts w:ascii="Times New Roman" w:cs="Times New Roman" w:eastAsia="Times New Roman" w:hAnsi="Times New Roman"/>
          <w:sz w:val="14"/>
          <w:szCs w:val="14"/>
          <w:color w:val="auto"/>
        </w:rPr>
      </w:pPr>
    </w:p>
    <w:p>
      <w:pPr>
        <w:jc w:val="both"/>
        <w:ind w:left="460" w:right="14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1,012,933 shares of the Class A common stock held by Integrated Core Strategies (US) LLC (“Integrated Core Strategies”) and (ii) 4 shares of the Class A common stock and 465,000 warrants to purchase shares of Class A common stock held by ICS Opportunities, Ltd (“ICS Opportunities”). Millennium International Management LP (“Millennium International Management”) is the investment manager to ICS Opportunities and may be deemed to have shared voting control and investment discretion over securities owned by ICS Opportunities.</w:t>
      </w:r>
    </w:p>
    <w:p>
      <w:pPr>
        <w:spacing w:after="0" w:line="1" w:lineRule="exact"/>
        <w:rPr>
          <w:rFonts w:ascii="Times New Roman" w:cs="Times New Roman" w:eastAsia="Times New Roman" w:hAnsi="Times New Roman"/>
          <w:sz w:val="14"/>
          <w:szCs w:val="14"/>
          <w:color w:val="auto"/>
        </w:rPr>
      </w:pPr>
    </w:p>
    <w:p>
      <w:pPr>
        <w:ind w:left="460" w:right="200"/>
        <w:spacing w:after="0" w:line="21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Millennium Management LLC (“Millennium Management”) is the general partner of the managing member of Integrated Core Strategies and may be deemed to have shared voting control and investment discretion over securities owned by Integrated Core Strategies and Riverview Group. Millennium Management is also the general partner of the 100% owner of ICS Opportunities and may also be deemed to have shared voting control and investment discretion over securities owned by ICS Opportunities. Millennium Group Management LLC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Israel A. Englander currently serves as the sole voting trustee. Therefore, Mr. Englander may also be deemed to have shared voting control and investment discretion over securities owned by Integrated Core Strategies and ICS Opportunities.</w:t>
      </w:r>
    </w:p>
    <w:p>
      <w:pPr>
        <w:spacing w:after="0" w:line="4" w:lineRule="exact"/>
        <w:rPr>
          <w:rFonts w:ascii="Times New Roman" w:cs="Times New Roman" w:eastAsia="Times New Roman" w:hAnsi="Times New Roman"/>
          <w:sz w:val="14"/>
          <w:szCs w:val="14"/>
          <w:color w:val="auto"/>
        </w:rPr>
      </w:pPr>
    </w:p>
    <w:p>
      <w:pPr>
        <w:ind w:left="460" w:right="4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8,368 shares of Class A common stock held by PGIM Jennison Technology Fund, (ii) 867,282 shares of Class A common stock held by PGIM Jennison Health Sciences Fund, (iii) 43,485 shares of Class A common stock held by Jenop Global Healthcare Fund Limited, and (iv) 80,865 shares of Class A common stock held by Jennison Global Healthcare Master Fund, Ltd. (collectively, the “Jennison Funds”). Jennison Associates LLC (“Jennison”), the Jennison Funds’ investment manager, has voting and investment control over the securities held by the Jennison Funds and as such, may be deemed to beneficially own the securities. Jennison is an indirect wholly owned subsidiary of Prudential Financial Inc. (“PFI”), and Jennison, PFI and the portfolio managers of the Jennison Funds expressly disclaim any beneficial interest of such shares.</w:t>
      </w:r>
    </w:p>
    <w:p>
      <w:pPr>
        <w:spacing w:after="0" w:line="2" w:lineRule="exact"/>
        <w:rPr>
          <w:rFonts w:ascii="Times New Roman" w:cs="Times New Roman" w:eastAsia="Times New Roman" w:hAnsi="Times New Roman"/>
          <w:sz w:val="14"/>
          <w:szCs w:val="14"/>
          <w:color w:val="auto"/>
        </w:rPr>
      </w:pPr>
    </w:p>
    <w:p>
      <w:pPr>
        <w:jc w:val="both"/>
        <w:ind w:left="460" w:right="6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directly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w:t>
      </w:r>
    </w:p>
    <w:p>
      <w:pPr>
        <w:spacing w:after="0" w:line="1" w:lineRule="exact"/>
        <w:rPr>
          <w:rFonts w:ascii="Times New Roman" w:cs="Times New Roman" w:eastAsia="Times New Roman" w:hAnsi="Times New Roman"/>
          <w:sz w:val="14"/>
          <w:szCs w:val="14"/>
          <w:color w:val="auto"/>
        </w:rPr>
      </w:pPr>
    </w:p>
    <w:p>
      <w:pPr>
        <w:ind w:left="46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Moore Capital Management, LP is the investment manager of MMF LT, LLC, and Louis M. Bacon controls the general partner of Moore Capital Management, LP and as such may be deemed to beneficially own these shares. Mr. Bacon is also the indirect majority owner of MMF LT, LLC.</w:t>
      </w:r>
    </w:p>
    <w:p>
      <w:pPr>
        <w:spacing w:after="0" w:line="1" w:lineRule="exact"/>
        <w:rPr>
          <w:rFonts w:ascii="Times New Roman" w:cs="Times New Roman" w:eastAsia="Times New Roman" w:hAnsi="Times New Roman"/>
          <w:sz w:val="14"/>
          <w:szCs w:val="14"/>
          <w:color w:val="auto"/>
        </w:rPr>
      </w:pPr>
    </w:p>
    <w:p>
      <w:pPr>
        <w:ind w:left="46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230,750 shares of Class A common stock held by Nineteen77 Global Multi-Strategy Alpha Master Limited, (ii) 38,500 shares of Class A common stock held by Nineteen77 Global Merger Arbitrage Opportunity Fund, and (iii) 230,750 shares of Class A common stock held by Nineteen77 Global Merger Arbitrage Master Limited (collectively, the “UBS Entities”). UBS O’Connor LLC (“UBS”) is the investment manager and discretionary investment advisor for the UBS Entities. Kevin Russell, the Chief Investment Officer of UBS, is deemed to have power to vote or dispose of the securities held by the UBS Entities.</w:t>
      </w:r>
    </w:p>
    <w:p>
      <w:pPr>
        <w:spacing w:after="0" w:line="2" w:lineRule="exact"/>
        <w:rPr>
          <w:rFonts w:ascii="Times New Roman" w:cs="Times New Roman" w:eastAsia="Times New Roman" w:hAnsi="Times New Roman"/>
          <w:sz w:val="14"/>
          <w:szCs w:val="14"/>
          <w:color w:val="auto"/>
        </w:rPr>
      </w:pPr>
    </w:p>
    <w:p>
      <w:pPr>
        <w:ind w:left="460" w:right="4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454,500 shares of the Class A common stock held by Park West Investors Master Fund, Limited (“PWIMF”) and (ii) 45,500 shares of the Class A common stock held by Park West Partners International, Limited (“PWPI” and, together with PWIMF, the “PW Funds”). Park West Asset Management LLC (“PWAM”) is the investment manager to the PW Funds and may be deemed to beneficially own the shares held by the PW Funds. Peter S. Park is the sole member and manager of PWAM and may also be deemed to beneficially own the shares held by the PW Funds.</w:t>
      </w:r>
    </w:p>
    <w:p>
      <w:pPr>
        <w:spacing w:after="0" w:line="2" w:lineRule="exact"/>
        <w:rPr>
          <w:rFonts w:ascii="Times New Roman" w:cs="Times New Roman" w:eastAsia="Times New Roman" w:hAnsi="Times New Roman"/>
          <w:sz w:val="14"/>
          <w:szCs w:val="14"/>
          <w:color w:val="auto"/>
        </w:rPr>
      </w:pPr>
    </w:p>
    <w:p>
      <w:pPr>
        <w:ind w:left="460" w:right="20" w:hanging="454"/>
        <w:spacing w:after="0" w:line="216"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Schonfeld Strategic Advisors LLC is a Registered Investment Advisor and has been delegated the legal power to vote and/or direct the disposition of such securities on behalf of Schonfeld Strategic 460 Fund LLC as a general partner or investment manager and would be considered the beneficial owner of such securities. The above shall not be deemed to be an admission by the record owners or Schonfeld Strategic 460 Fund LLC that they are themselves beneficial owners of these securities for purposes of Section 13(d) of the Securities Exchange Act of 1934, as amended, or any other purpose.</w:t>
      </w:r>
    </w:p>
    <w:p>
      <w:pPr>
        <w:spacing w:after="0" w:line="2" w:lineRule="exact"/>
        <w:rPr>
          <w:rFonts w:ascii="Times New Roman" w:cs="Times New Roman" w:eastAsia="Times New Roman" w:hAnsi="Times New Roman"/>
          <w:sz w:val="14"/>
          <w:szCs w:val="14"/>
          <w:color w:val="auto"/>
        </w:rPr>
      </w:pPr>
    </w:p>
    <w:p>
      <w:pPr>
        <w:ind w:left="460" w:right="580" w:hanging="454"/>
        <w:spacing w:after="0" w:line="227" w:lineRule="auto"/>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994,000 shares of Class A common stock held by Suvretta Master Fund, Ltd. and (ii) 6,000 shares of Class A common stock held by Suvretta Long Master Fund, Ltd. (collectively, the “Suvretta Funds”). Suvretta Capital Management, LLC is the investment manager of the Suvretta Funds, and Aaron Cowen is a control person of Suvretta Capital Management, LLC and as such may be deemed to beneficially own these shares.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450" w:right="3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16"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our securities is not intended to be a complete summary of the rights and preferences of such securities, and is qualified by reference to the amended and restated certificate of incorporation (for purposes of this section, the “charter”), the amended and restated bylaws (for purposes of this section, the “bylaws”), the Registration Rights Agreement and the warrant-related documents described herein, which are exhibits to the registration statement of which this prospectus is a part. We urge to you read each of the charter, the bylaws and the warrant-related documents described herein in their entirety for a complete description of the rights and preferences of our securities.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amount of our authorized capital stock consists of:</w:t>
      </w:r>
    </w:p>
    <w:p>
      <w:pPr>
        <w:spacing w:after="0" w:line="124" w:lineRule="exact"/>
        <w:rPr>
          <w:sz w:val="20"/>
          <w:szCs w:val="20"/>
          <w:color w:val="auto"/>
        </w:rPr>
      </w:pPr>
    </w:p>
    <w:p>
      <w:pPr>
        <w:ind w:left="1000" w:hanging="43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2,500,000,000 shares of our Class A common stock, par value $0.0001 per share;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our Class B common stock, par value $0.0001 per share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our preferred stock, par value $0.0001 per share.</w:t>
      </w:r>
    </w:p>
    <w:p>
      <w:pPr>
        <w:spacing w:after="0" w:line="216" w:lineRule="exact"/>
        <w:rPr>
          <w:sz w:val="20"/>
          <w:szCs w:val="20"/>
          <w:color w:val="auto"/>
        </w:rPr>
      </w:pPr>
    </w:p>
    <w:p>
      <w:pPr>
        <w:ind w:right="80" w:firstLine="449"/>
        <w:spacing w:after="0" w:line="270" w:lineRule="auto"/>
        <w:rPr>
          <w:sz w:val="20"/>
          <w:szCs w:val="20"/>
          <w:color w:val="auto"/>
        </w:rPr>
      </w:pPr>
      <w:r>
        <w:rPr>
          <w:rFonts w:ascii="Times New Roman" w:cs="Times New Roman" w:eastAsia="Times New Roman" w:hAnsi="Times New Roman"/>
          <w:sz w:val="18"/>
          <w:szCs w:val="18"/>
          <w:color w:val="auto"/>
        </w:rPr>
        <w:t>As of January 7, 2021, there were 143,475,108 shares of our Class A common stock, 260,965,701 shares of our Class B common stock and no shares of our preferred stock outstanding.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4" w:lineRule="exact"/>
        <w:rPr>
          <w:sz w:val="20"/>
          <w:szCs w:val="20"/>
          <w:color w:val="auto"/>
        </w:rPr>
      </w:pPr>
    </w:p>
    <w:p>
      <w:pPr>
        <w:ind w:right="100" w:firstLine="449"/>
        <w:spacing w:after="0" w:line="251" w:lineRule="auto"/>
        <w:rPr>
          <w:sz w:val="20"/>
          <w:szCs w:val="20"/>
          <w:color w:val="auto"/>
        </w:rPr>
      </w:pPr>
      <w:r>
        <w:rPr>
          <w:rFonts w:ascii="Times New Roman" w:cs="Times New Roman" w:eastAsia="Times New Roman" w:hAnsi="Times New Roman"/>
          <w:sz w:val="18"/>
          <w:szCs w:val="18"/>
          <w:color w:val="auto"/>
        </w:rPr>
        <w:t>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4" w:lineRule="exact"/>
        <w:rPr>
          <w:sz w:val="20"/>
          <w:szCs w:val="20"/>
          <w:color w:val="auto"/>
        </w:rPr>
      </w:pPr>
    </w:p>
    <w:p>
      <w:pPr>
        <w:ind w:right="660" w:firstLine="449"/>
        <w:spacing w:after="0" w:line="270"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Unless our board of directors determines otherwise, all of our capital stock will be issued in uncertificated form.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2"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and holders of our Class B common stock are entitled to ten votes per share, on each matter submitted to a vote of stockholders, as provided by the charter. The holders of Class A common stock and Class B common stock will generally vote together as a single class on all matters (including the election of directors) submitted to a vote of our stockholders, unless otherwise required by Delaware law or the charter. Delaware law could require either holders of Class A common stock or Class B common stock to vote separately as a single class in the following circumstances:</w:t>
      </w:r>
    </w:p>
    <w:p>
      <w:pPr>
        <w:spacing w:after="0" w:line="94" w:lineRule="exact"/>
        <w:rPr>
          <w:sz w:val="20"/>
          <w:szCs w:val="20"/>
          <w:color w:val="auto"/>
        </w:rPr>
      </w:pPr>
    </w:p>
    <w:p>
      <w:pPr>
        <w:ind w:left="1000" w:right="180" w:hanging="439"/>
        <w:spacing w:after="0" w:line="270"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the charter to increase or decrease the par value of a class of our capital stock, then that class would be required to vote separately to approve the proposed amendment; and</w:t>
      </w:r>
    </w:p>
    <w:p>
      <w:pPr>
        <w:spacing w:after="0" w:line="76" w:lineRule="exact"/>
        <w:rPr>
          <w:rFonts w:ascii="Times New Roman" w:cs="Times New Roman" w:eastAsia="Times New Roman" w:hAnsi="Times New Roman"/>
          <w:sz w:val="18"/>
          <w:szCs w:val="18"/>
          <w:color w:val="auto"/>
        </w:rPr>
      </w:pPr>
    </w:p>
    <w:p>
      <w:pPr>
        <w:ind w:left="1000" w:right="40" w:hanging="439"/>
        <w:spacing w:after="0" w:line="300" w:lineRule="auto"/>
        <w:tabs>
          <w:tab w:leader="none" w:pos="10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were to seek to amend the charter in a manner that alters or changes the powers, preferences, or special rights of a class of our capital stock in a manner that affected such holders adversely, then that class would be required to vote separately to approve the proposed amendment.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450" w:right="3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charter and bylaws provide for a classified board of directors that is divided into three classes with staggered three-year terms. Only the directors in one class will be subject to election by a plurality of the votes cast at each annual meeting of Clover Health’s stockholders, with the directors in the other classes continuing for the remainder of their respective three-year terms.</w:t>
      </w:r>
    </w:p>
    <w:p>
      <w:pPr>
        <w:spacing w:after="0" w:line="17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charter, and except for the election of directors, which is determined by a plurality vote. There are no cumulative voting rights.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2" w:lineRule="exact"/>
        <w:rPr>
          <w:sz w:val="20"/>
          <w:szCs w:val="20"/>
          <w:color w:val="auto"/>
        </w:rPr>
      </w:pPr>
    </w:p>
    <w:p>
      <w:pPr>
        <w:ind w:right="80" w:firstLine="449"/>
        <w:spacing w:after="0" w:line="248" w:lineRule="auto"/>
        <w:rPr>
          <w:sz w:val="20"/>
          <w:szCs w:val="20"/>
          <w:color w:val="auto"/>
        </w:rPr>
      </w:pPr>
      <w:r>
        <w:rPr>
          <w:rFonts w:ascii="Times New Roman" w:cs="Times New Roman" w:eastAsia="Times New Roman" w:hAnsi="Times New Roman"/>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the paragraph that immediately follows this paragraph and further described in the charter. Once converted into Class A common stock, the Class B common stock will not be reissued. In addition, all the outstanding shares of Class B common stock will convert automatically into one share of Class A common stock upon the earliest of (i) the date that is ten (10) years from the filing date of the charter, (ii) the separation date of the last to separate of Vivek Garipalli and Andrew Toy (the “Founders”), (iii) the date that is one (1) year after the death or permanent disability Founders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w:t>
      </w:r>
    </w:p>
    <w:p>
      <w:pPr>
        <w:spacing w:after="0" w:line="190" w:lineRule="exact"/>
        <w:rPr>
          <w:sz w:val="20"/>
          <w:szCs w:val="20"/>
          <w:color w:val="auto"/>
        </w:rPr>
      </w:pPr>
    </w:p>
    <w:p>
      <w:pPr>
        <w:ind w:firstLine="449"/>
        <w:spacing w:after="0" w:line="246" w:lineRule="auto"/>
        <w:rPr>
          <w:sz w:val="20"/>
          <w:szCs w:val="20"/>
          <w:color w:val="auto"/>
        </w:rPr>
      </w:pPr>
      <w:r>
        <w:rPr>
          <w:rFonts w:ascii="Times New Roman" w:cs="Times New Roman" w:eastAsia="Times New Roman" w:hAnsi="Times New Roman"/>
          <w:sz w:val="18"/>
          <w:szCs w:val="18"/>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for the benefit of no other person; (ii) to a trust for the benefit of the holder of Class B common stock and persons other than the holder of Class B common stock so long as the holder of Class B common stock retains sole dispositive power and voting control;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(vi) solely with respect to a holder of Class B common stock that is a venture capital, private equity or similar private investment fund, any general partner, managing member, officer or director of such holder of Class B common stock or an affiliated investment fund now or hereafter existing that is controlled by one or more general partners or managing members of, or shares the same management or advisory company with, such holder of Class B common stock; (vii) any other corporation, partnership, limited liability company or trust approved by our Board of Directors; (viii) a trust or private non-operating organization that is tax-exempt under Section 501(c)(3) of the Code so long as such holder of Class B common stock has dispositive power and voting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20"/>
          </w:cols>
          <w:pgMar w:left="320" w:top="450" w:right="3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control with respect to the shares of Class B Common Stock held by such trust or organization and the transfer to such trust does not involve any payment of cash, securities, property or other consideration (other than an interest in such trust or organization) to such holder of Class B common stock; and (ix) any immediate family member of such holder of Class B common stock for estate planning purposes.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2"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Each holder of shares of our common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2"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Each holder of our Class A common stock and Class B common stock is subject to, and may be adversely affected by, the rights of the holders of any series of our preferred stock that we may designate and issue in the future. Our Class A common stock and Class B common stock are not entitled to preemptive rights and are not subject to conversion (except as noted above), redemption, or sinking fund provisions.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2" w:lineRule="exact"/>
        <w:rPr>
          <w:sz w:val="20"/>
          <w:szCs w:val="20"/>
          <w:color w:val="auto"/>
        </w:rPr>
      </w:pPr>
    </w:p>
    <w:p>
      <w:pPr>
        <w:jc w:val="both"/>
        <w:ind w:right="360" w:firstLine="449"/>
        <w:spacing w:after="0" w:line="258" w:lineRule="auto"/>
        <w:rPr>
          <w:sz w:val="20"/>
          <w:szCs w:val="20"/>
          <w:color w:val="auto"/>
        </w:rPr>
      </w:pPr>
      <w:r>
        <w:rPr>
          <w:rFonts w:ascii="Times New Roman" w:cs="Times New Roman" w:eastAsia="Times New Roman" w:hAnsi="Times New Roman"/>
          <w:sz w:val="18"/>
          <w:szCs w:val="18"/>
          <w:color w:val="auto"/>
        </w:rPr>
        <w:t>If we are involved in voluntary or involuntary liquidation, dissolution or winding up of the Company’s affairs, or a similar event, each holder of our Class A common stock and Class B common stock will participate pro rata in all assets remaining after payment of liabilities, subject to prior distribution rights of our preferred stock, if any, then outstanding.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2"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As of January 7, 2021, there were public warrants outstanding to purchase an aggregate of 27,599,938 shares of Class A common stock and private placement warrants outstanding to purchase an aggregate of 10,933,333 shares of Class A common stock. Each whole warrant entitles the registered holder to purchase one whole share of Class A common stock at a price of $11.50 per share, subject to adjustment as discussed below, at any time commencing on April 24, 2021, which is 12 months from the closing of SCH’s initial public offering. The warrants will expire at 5:00 p.m., New York City time, on January 7, 2026, which is the fifth anniversary of the Closing, or earlier upon redemption or liquidation (the “Expiration Date”).</w:t>
      </w:r>
    </w:p>
    <w:p>
      <w:pPr>
        <w:spacing w:after="0" w:line="187" w:lineRule="exact"/>
        <w:rPr>
          <w:sz w:val="20"/>
          <w:szCs w:val="20"/>
          <w:color w:val="auto"/>
        </w:rPr>
      </w:pPr>
    </w:p>
    <w:p>
      <w:pPr>
        <w:jc w:val="both"/>
        <w:ind w:right="360" w:firstLine="449"/>
        <w:spacing w:after="0" w:line="258" w:lineRule="auto"/>
        <w:rPr>
          <w:sz w:val="20"/>
          <w:szCs w:val="20"/>
          <w:color w:val="auto"/>
        </w:rPr>
      </w:pPr>
      <w:r>
        <w:rPr>
          <w:rFonts w:ascii="Times New Roman" w:cs="Times New Roman" w:eastAsia="Times New Roman" w:hAnsi="Times New Roman"/>
          <w:sz w:val="18"/>
          <w:szCs w:val="18"/>
          <w:color w:val="auto"/>
        </w:rPr>
        <w:t>The warrants are issued under a warrant agreement between Continental Stock Transfer &amp; Trust Company, as warrant agent and us. Pursuant to the warrant agreement, a warrant holder may exercise its warrants only for a whole number of shares of Class A common stock. This means that only a whole warrant may be exercised at any given time by a warrant 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1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having satisfied our obligations described below with respect to registration. No public warrant will be exercisable for cash or on a cashless basis, and we will not be obligated to issue shares of Class A common stock upon exercise of a public warrant, unless the issuance of the shares upon such warrant exercise has been registered, qualified or deemed to be exempt under the securities laws of the state of the registered holder of the public warrants. In the event that the conditions in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20"/>
          </w:cols>
          <w:pgMar w:left="320" w:top="450" w:right="3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69" w:lineRule="exact"/>
        <w:rPr>
          <w:sz w:val="20"/>
          <w:szCs w:val="20"/>
          <w:color w:val="auto"/>
        </w:rPr>
      </w:pPr>
    </w:p>
    <w:p>
      <w:pPr>
        <w:ind w:firstLine="449"/>
        <w:spacing w:after="0" w:line="264" w:lineRule="auto"/>
        <w:rPr>
          <w:sz w:val="20"/>
          <w:szCs w:val="20"/>
          <w:color w:val="auto"/>
        </w:rPr>
      </w:pPr>
      <w:r>
        <w:rPr>
          <w:rFonts w:ascii="Times New Roman" w:cs="Times New Roman" w:eastAsia="Times New Roman" w:hAnsi="Times New Roman"/>
          <w:sz w:val="17"/>
          <w:szCs w:val="17"/>
          <w:color w:val="auto"/>
        </w:rPr>
        <w:t>We agreed that as soon as practicable, but in no event later than 15 business days after the closing of the Business Combination, to use our commercially reasonable efforts to file with the SEC a registration statement for the registration, under the Securities Act, of the shares of Class A common stock issuable upon exercise of the public warrants. We will use our commercially reasonable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our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reasonable efforts to qualify the shares under applicable blue sky laws to the extent an exemption is not available.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the public warrants become exercisable, we may call the public warrants for redemption:</w:t>
      </w:r>
    </w:p>
    <w:p>
      <w:pPr>
        <w:spacing w:after="0" w:line="124" w:lineRule="exact"/>
        <w:rPr>
          <w:sz w:val="20"/>
          <w:szCs w:val="20"/>
          <w:color w:val="auto"/>
        </w:rPr>
      </w:pPr>
    </w:p>
    <w:p>
      <w:pPr>
        <w:ind w:left="1000" w:hanging="439"/>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23" w:lineRule="exact"/>
        <w:rPr>
          <w:rFonts w:ascii="Times New Roman" w:cs="Times New Roman" w:eastAsia="Times New Roman" w:hAnsi="Times New Roman"/>
          <w:sz w:val="18"/>
          <w:szCs w:val="18"/>
          <w:color w:val="auto"/>
        </w:rPr>
      </w:pPr>
    </w:p>
    <w:p>
      <w:pPr>
        <w:ind w:left="1000" w:right="200" w:hanging="439"/>
        <w:spacing w:after="0" w:line="280" w:lineRule="auto"/>
        <w:tabs>
          <w:tab w:leader="none" w:pos="10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sales price of the Class A common stock for any 20 trading days within a 30-trading day period ending on the third trading day prior to the date on which we send the notice of redemption to the warrant holders (the “Reference Value”) equals or exceeds $18.00 per share (as adjusted for share splits, share dividends, rights issuances, subdivisions, reorganizations, recapitalizations and the like).</w:t>
      </w:r>
    </w:p>
    <w:p>
      <w:pPr>
        <w:spacing w:after="0" w:line="162" w:lineRule="exact"/>
        <w:rPr>
          <w:sz w:val="20"/>
          <w:szCs w:val="20"/>
          <w:color w:val="auto"/>
        </w:rPr>
      </w:pPr>
    </w:p>
    <w:p>
      <w:pPr>
        <w:ind w:right="600" w:firstLine="449"/>
        <w:spacing w:after="0" w:line="270"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169"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We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its public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Class A Common Stock.</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the public warrants become exercisable, we may redeem the outstanding public warrants:</w:t>
      </w:r>
    </w:p>
    <w:p>
      <w:pPr>
        <w:spacing w:after="0" w:line="124" w:lineRule="exact"/>
        <w:rPr>
          <w:sz w:val="20"/>
          <w:szCs w:val="20"/>
          <w:color w:val="auto"/>
        </w:rPr>
      </w:pPr>
    </w:p>
    <w:p>
      <w:pPr>
        <w:ind w:left="1000" w:hanging="439"/>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3" w:lineRule="exact"/>
        <w:rPr>
          <w:rFonts w:ascii="Times New Roman" w:cs="Times New Roman" w:eastAsia="Times New Roman" w:hAnsi="Times New Roman"/>
          <w:sz w:val="18"/>
          <w:szCs w:val="18"/>
          <w:color w:val="auto"/>
        </w:rPr>
      </w:pPr>
    </w:p>
    <w:p>
      <w:pPr>
        <w:ind w:left="1000" w:right="60" w:hanging="439"/>
        <w:spacing w:after="0" w:line="258"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our Class A common stock except as otherwise described below;</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20"/>
          </w:cols>
          <w:pgMar w:left="320" w:top="450" w:right="3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000" w:right="880" w:hanging="439"/>
        <w:spacing w:after="0" w:line="270"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share splits, share dividends, rights issuances, subdivisions, reorganizations, recapitalizations and the like); and</w:t>
      </w:r>
    </w:p>
    <w:p>
      <w:pPr>
        <w:spacing w:after="0" w:line="76" w:lineRule="exact"/>
        <w:rPr>
          <w:rFonts w:ascii="Times New Roman" w:cs="Times New Roman" w:eastAsia="Times New Roman" w:hAnsi="Times New Roman"/>
          <w:sz w:val="18"/>
          <w:szCs w:val="18"/>
          <w:color w:val="auto"/>
        </w:rPr>
      </w:pPr>
    </w:p>
    <w:p>
      <w:pPr>
        <w:ind w:left="1000" w:right="100" w:hanging="439"/>
        <w:spacing w:after="0" w:line="258"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79" w:lineRule="exact"/>
        <w:rPr>
          <w:sz w:val="20"/>
          <w:szCs w:val="20"/>
          <w:color w:val="auto"/>
        </w:rPr>
      </w:pPr>
    </w:p>
    <w:p>
      <w:pPr>
        <w:ind w:right="160" w:firstLine="449"/>
        <w:spacing w:after="0" w:line="249" w:lineRule="auto"/>
        <w:rPr>
          <w:sz w:val="20"/>
          <w:szCs w:val="20"/>
          <w:color w:val="auto"/>
        </w:rPr>
      </w:pPr>
      <w:r>
        <w:rPr>
          <w:rFonts w:ascii="Times New Roman" w:cs="Times New Roman" w:eastAsia="Times New Roman" w:hAnsi="Times New Roman"/>
          <w:sz w:val="18"/>
          <w:szCs w:val="18"/>
          <w:color w:val="auto"/>
        </w:rPr>
        <w:t>The numbers in the table below represent the “redemption prices,” or the number of shares of Class A common stock that a warrant holder will receive upon redemption by us pursuant to this redemption feature, based on the “fair market value” of Class A common stock on the corresponding redemption date (assuming holders elect to exercise their warrants and such warrants are not redeemed for $0.10 per warrant), determined based on the volume weighted average price of for the 10 trading days ending on the third trading day prior to the date on which the notice of redemption is sent to the holders of the public warrants, and the number of months that the corresponding redemption date precedes the expiration date of the public warrants, each as set forth in the table below. We will provide our warrant holders with the final fair market value no later than one business day after the 10-trading day period described above ends.</w:t>
      </w:r>
    </w:p>
    <w:p>
      <w:pPr>
        <w:spacing w:after="0" w:line="189"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 stock prices set forth in the column headings of the table below will be adjusted as of any date on which the number of shares issuable upon exercise of a warrant is adjusted as set forth in the first four paragraphs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The adjusted stock prices in the column headings will equal the stock prices immediately prior to such adjustment, multiplied by a fraction, the numerator of which is the number of shares deliverable upon exercise of a public warrant immediately prior to such adjustment and the denominator of which is the number of shares deliverable upon exercise of a public warrant as so adjusted. The number of shares in the table below shall be adjusted in the same manner and at the same time as the number of shares issuable upon exercise of a public warrant.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Redemption Date</w:t>
            </w:r>
          </w:p>
        </w:tc>
        <w:tc>
          <w:tcPr>
            <w:tcW w:w="2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Redemption Fair Market Value of Class A Common Stock</w:t>
            </w: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392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(period to expiration of warrants)</w:t>
            </w:r>
          </w:p>
        </w:tc>
        <w:tc>
          <w:tcPr>
            <w:tcW w:w="1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w w:val="92"/>
              </w:rPr>
              <w:t xml:space="preserve">£ </w:t>
            </w:r>
            <w:r>
              <w:rPr>
                <w:rFonts w:ascii="Times New Roman" w:cs="Times New Roman" w:eastAsia="Times New Roman" w:hAnsi="Times New Roman"/>
                <w:sz w:val="18"/>
                <w:szCs w:val="18"/>
                <w:b w:val="1"/>
                <w:bCs w:val="1"/>
                <w:color w:val="auto"/>
                <w:w w:val="92"/>
              </w:rPr>
              <w:t>10.00</w:t>
            </w:r>
          </w:p>
        </w:tc>
        <w:tc>
          <w:tcPr>
            <w:tcW w:w="5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11.00</w:t>
            </w:r>
          </w:p>
        </w:tc>
        <w:tc>
          <w:tcPr>
            <w:tcW w:w="800" w:type="dxa"/>
            <w:vAlign w:val="bottom"/>
            <w:tcBorders>
              <w:top w:val="single" w:sz="8" w:color="auto"/>
            </w:tcBorders>
            <w:shd w:val="clear" w:color="auto" w:fill="CCEEFF"/>
          </w:tcPr>
          <w:p>
            <w:pPr>
              <w:jc w:val="right"/>
              <w:ind w:right="53"/>
              <w:spacing w:after="0" w:line="198" w:lineRule="exact"/>
              <w:rPr>
                <w:sz w:val="20"/>
                <w:szCs w:val="20"/>
                <w:color w:val="auto"/>
              </w:rPr>
            </w:pPr>
            <w:r>
              <w:rPr>
                <w:rFonts w:ascii="Times New Roman" w:cs="Times New Roman" w:eastAsia="Times New Roman" w:hAnsi="Times New Roman"/>
                <w:sz w:val="18"/>
                <w:szCs w:val="18"/>
                <w:b w:val="1"/>
                <w:bCs w:val="1"/>
                <w:color w:val="auto"/>
              </w:rPr>
              <w:t>12.00</w:t>
            </w:r>
          </w:p>
        </w:tc>
        <w:tc>
          <w:tcPr>
            <w:tcW w:w="660" w:type="dxa"/>
            <w:vAlign w:val="bottom"/>
            <w:tcBorders>
              <w:top w:val="single" w:sz="8" w:color="auto"/>
            </w:tcBorders>
            <w:shd w:val="clear" w:color="auto" w:fill="CCEEFF"/>
          </w:tcPr>
          <w:p>
            <w:pPr>
              <w:jc w:val="right"/>
              <w:ind w:right="52"/>
              <w:spacing w:after="0" w:line="198" w:lineRule="exact"/>
              <w:rPr>
                <w:sz w:val="20"/>
                <w:szCs w:val="20"/>
                <w:color w:val="auto"/>
              </w:rPr>
            </w:pPr>
            <w:r>
              <w:rPr>
                <w:rFonts w:ascii="Times New Roman" w:cs="Times New Roman" w:eastAsia="Times New Roman" w:hAnsi="Times New Roman"/>
                <w:sz w:val="18"/>
                <w:szCs w:val="18"/>
                <w:b w:val="1"/>
                <w:bCs w:val="1"/>
                <w:color w:val="auto"/>
              </w:rPr>
              <w:t>13.00</w:t>
            </w:r>
          </w:p>
        </w:tc>
        <w:tc>
          <w:tcPr>
            <w:tcW w:w="6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14.00</w:t>
            </w:r>
          </w:p>
        </w:tc>
        <w:tc>
          <w:tcPr>
            <w:tcW w:w="660" w:type="dxa"/>
            <w:vAlign w:val="bottom"/>
            <w:tcBorders>
              <w:top w:val="single" w:sz="8" w:color="auto"/>
            </w:tcBorders>
            <w:shd w:val="clear" w:color="auto" w:fill="CCEEFF"/>
          </w:tcPr>
          <w:p>
            <w:pPr>
              <w:jc w:val="right"/>
              <w:ind w:right="52"/>
              <w:spacing w:after="0" w:line="198" w:lineRule="exact"/>
              <w:rPr>
                <w:sz w:val="20"/>
                <w:szCs w:val="20"/>
                <w:color w:val="auto"/>
              </w:rPr>
            </w:pPr>
            <w:r>
              <w:rPr>
                <w:rFonts w:ascii="Times New Roman" w:cs="Times New Roman" w:eastAsia="Times New Roman" w:hAnsi="Times New Roman"/>
                <w:sz w:val="18"/>
                <w:szCs w:val="18"/>
                <w:b w:val="1"/>
                <w:bCs w:val="1"/>
                <w:color w:val="auto"/>
              </w:rPr>
              <w:t>15.00</w:t>
            </w:r>
          </w:p>
        </w:tc>
        <w:tc>
          <w:tcPr>
            <w:tcW w:w="780" w:type="dxa"/>
            <w:vAlign w:val="bottom"/>
            <w:tcBorders>
              <w:top w:val="single" w:sz="8" w:color="auto"/>
            </w:tcBorders>
            <w:shd w:val="clear" w:color="auto" w:fill="CCEEFF"/>
          </w:tcPr>
          <w:p>
            <w:pPr>
              <w:jc w:val="right"/>
              <w:ind w:right="152"/>
              <w:spacing w:after="0" w:line="198" w:lineRule="exact"/>
              <w:rPr>
                <w:sz w:val="20"/>
                <w:szCs w:val="20"/>
                <w:color w:val="auto"/>
              </w:rPr>
            </w:pPr>
            <w:r>
              <w:rPr>
                <w:rFonts w:ascii="Times New Roman" w:cs="Times New Roman" w:eastAsia="Times New Roman" w:hAnsi="Times New Roman"/>
                <w:sz w:val="18"/>
                <w:szCs w:val="18"/>
                <w:b w:val="1"/>
                <w:bCs w:val="1"/>
                <w:color w:val="auto"/>
              </w:rPr>
              <w:t>16.00</w:t>
            </w:r>
          </w:p>
        </w:tc>
        <w:tc>
          <w:tcPr>
            <w:tcW w:w="5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17.00</w:t>
            </w:r>
          </w:p>
        </w:tc>
        <w:tc>
          <w:tcPr>
            <w:tcW w:w="6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 xml:space="preserve">³ </w:t>
            </w:r>
            <w:r>
              <w:rPr>
                <w:rFonts w:ascii="Times New Roman" w:cs="Times New Roman" w:eastAsia="Times New Roman" w:hAnsi="Times New Roman"/>
                <w:sz w:val="18"/>
                <w:szCs w:val="18"/>
                <w:b w:val="1"/>
                <w:bCs w:val="1"/>
                <w:color w:val="auto"/>
              </w:rPr>
              <w:t>18.00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0.261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0.280</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0.297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0.311</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0.324</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0.337</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0.348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0.257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0.277</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0.310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0.324</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0.337</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0.348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0.252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0.322</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0.335</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0.347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0.246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0.287</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0.320</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0.333</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0.346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0.241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0.283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0.317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0.332</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0.344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0.235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0.258</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0.279</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0.315</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0.330</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0.343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0.228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0.312</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0.328</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0.342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0.355</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0.221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0.269</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0.290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0.309</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0.325</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0.354</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0.213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0.239</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0.263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0.305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0.323</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0.339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0.205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0.232</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0.257</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0.280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0.301</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0.320</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0.337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0.196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0.224</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0.250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0.297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0.316</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0.335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0.351</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0.185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0.214</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0.291</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0.313</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0.332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0.173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0.204</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0.233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0.260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0.285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0.308</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0.329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0.161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0.193</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0.223</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0.279</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0.304</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0.146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0.211</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0.271</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0.298</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0.322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0.164</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0.197</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0.230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0.262</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0.291</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0.111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0.181</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0.250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0.282</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0.312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0.090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0.162</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0.237</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0.272</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0.305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months</w:t>
            </w:r>
          </w:p>
        </w:tc>
        <w:tc>
          <w:tcPr>
            <w:tcW w:w="20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0.065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0.099</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0.137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0.219</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0.259</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0.296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0.331</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2"/>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20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0.034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0.104</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0.150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0.197</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0.243</w:t>
            </w: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0.286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29"/>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 months</w:t>
            </w:r>
          </w:p>
        </w:tc>
        <w:tc>
          <w:tcPr>
            <w:tcW w:w="136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0.042</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0.179</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0.233</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0.281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339"/>
        </w:trPr>
        <w:tc>
          <w:tcPr>
            <w:tcW w:w="1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186</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0" w:right="3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The “fair market value” of our Class A common stock shall mean the volume weighted average price of our Class A common stock for the 10 trading days ending on the third trading day prior to the date on which the notice of redemption is sent to the holders of public warrants.</w:t>
      </w:r>
    </w:p>
    <w:p>
      <w:pPr>
        <w:spacing w:after="0" w:line="169"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public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public warrants is $11.00 per share, and at such time there are 60 months until the expiration of the public warrants, we may choose to, pursuant to this redemption feature, redeem the public warrants at a “redemption price” of 0.280 shares of Class A common stock for each whole public warrant. For an example where the exact fair market value and redemption date are not as set forth in the table above, if the average last reported sale price of our Class A common stock for the 10 trading days ending on the third trading date prior to the date on which the notice of redemption is sent to the holders of the public warrants is $13.50 per share, and at such time there are 38 months until the expiration of the public warrants, we may choose to, pursuant to this redemption feature, redeem the public warrants at a “redemption price” of 0.298 Class A common stock for each whole public warrant. In no event will the warrants be exercisable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common stock.</w:t>
      </w:r>
    </w:p>
    <w:p>
      <w:pPr>
        <w:spacing w:after="0" w:line="190" w:lineRule="exact"/>
        <w:rPr>
          <w:sz w:val="20"/>
          <w:szCs w:val="20"/>
          <w:color w:val="auto"/>
        </w:rPr>
      </w:pPr>
    </w:p>
    <w:p>
      <w:pPr>
        <w:ind w:right="20" w:firstLine="449"/>
        <w:spacing w:after="0" w:line="263" w:lineRule="auto"/>
        <w:rPr>
          <w:sz w:val="20"/>
          <w:szCs w:val="20"/>
          <w:color w:val="auto"/>
        </w:rPr>
      </w:pPr>
      <w:r>
        <w:rPr>
          <w:rFonts w:ascii="Times New Roman" w:cs="Times New Roman" w:eastAsia="Times New Roman" w:hAnsi="Times New Roman"/>
          <w:sz w:val="17"/>
          <w:szCs w:val="17"/>
          <w:color w:val="auto"/>
        </w:rPr>
        <w:t>This redemption feature is structured to allow for all of the outstanding public warrants to be redeemed when the shares of Class A common stock are trading at or above $10.00 per share, which may be at a time when the trading price of our Class A common stock is below the exercise price of the public warrants. We have established this redemption feature to provide us with the flexibility to redeem the warrants without the warrants having to reach the $18.00 per share threshold set forth above under “—</w:t>
      </w:r>
      <w:r>
        <w:rPr>
          <w:rFonts w:ascii="Times New Roman" w:cs="Times New Roman" w:eastAsia="Times New Roman" w:hAnsi="Times New Roman"/>
          <w:sz w:val="17"/>
          <w:szCs w:val="17"/>
          <w:i w:val="1"/>
          <w:iCs w:val="1"/>
          <w:color w:val="auto"/>
        </w:rPr>
        <w:t>Redemption of Warrants for Cash</w:t>
      </w:r>
      <w:r>
        <w:rPr>
          <w:rFonts w:ascii="Times New Roman" w:cs="Times New Roman" w:eastAsia="Times New Roman" w:hAnsi="Times New Roman"/>
          <w:sz w:val="17"/>
          <w:szCs w:val="17"/>
          <w:color w:val="auto"/>
        </w:rPr>
        <w:t>.” Holders choosing to exercise their warrants in connection with a redemption pursuant to this feature will, in effect, receive a number of shares for their warrants based on an option pricing model with a fixed volatility input as of</w:t>
      </w:r>
    </w:p>
    <w:p>
      <w:pPr>
        <w:spacing w:after="0" w:line="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April 20, 2020.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91"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As stated above, we can redeem the warrants when the Class A common stock is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is trading at a price below the exercise price of the warrants, this could result in the warrant holders receiving fewer Class A common stock than they would have received if they had chosen to wait to exercise their warrants for Class A common stock if and when such Class A ordinary shares were trading at a price higher than the exercise price of $11.50.</w:t>
      </w:r>
    </w:p>
    <w:p>
      <w:pPr>
        <w:spacing w:after="0" w:line="187"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20"/>
          </w:cols>
          <w:pgMar w:left="320" w:top="450" w:right="3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w:t>
      </w:r>
    </w:p>
    <w:p>
      <w:pPr>
        <w:spacing w:after="0" w:line="11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common stock issued and outstanding immediately after giving effect to such exercise.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112"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7"/>
          <w:szCs w:val="17"/>
          <w:color w:val="auto"/>
        </w:rPr>
        <w:t>If the number of issued and outstanding Class A common stock is increased by a capitalization or stock dividend payable in shares of Class A common stock, or by a split-up of shares of Class A common stock or other similar event, then, on the effective date of such capitalization or stock dividend, split-up or similar event, the number of shares of Class A common stock issuable on exercise of each warrant will be increased in proportion to such increase in the issued and outstanding shares of Class A common stock. A rights offering to holders of Class A common stock entitling holders to purchase shares of Class A common stock at a price less than the “historical fair market value” (as defined below)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and (2) one minus the quotient of (x) the price per shares of Class A common stock paid in such rights offering and (y) the historical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“historical fair market value” means the volume weighted average price of Class A common stock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179"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or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for share splits, share dividends, rights issuances, subdivisions, reorganizations, recapitalizations and the like) but only with respect to the amount of the aggregate cash dividends or cash distributions equal to or less than $0.50 per share.</w:t>
      </w:r>
    </w:p>
    <w:p>
      <w:pPr>
        <w:spacing w:after="0" w:line="187"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issued and outstanding shares of Class A common stock.</w:t>
      </w:r>
    </w:p>
    <w:p>
      <w:pPr>
        <w:spacing w:after="0" w:line="18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85" w:lineRule="exact"/>
        <w:rPr>
          <w:sz w:val="20"/>
          <w:szCs w:val="20"/>
          <w:color w:val="auto"/>
        </w:rPr>
      </w:pPr>
    </w:p>
    <w:p>
      <w:pPr>
        <w:ind w:right="80" w:firstLine="449"/>
        <w:spacing w:after="0" w:line="270"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shares of Class A common stock (other than those described above or that solely affects the par value of such shares of Class A common</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20"/>
          </w:cols>
          <w:pgMar w:left="320" w:top="450" w:right="3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our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398" w:lineRule="exact"/>
        <w:rPr>
          <w:sz w:val="20"/>
          <w:szCs w:val="20"/>
          <w:color w:val="auto"/>
        </w:rPr>
      </w:pPr>
    </w:p>
    <w:p>
      <w:pPr>
        <w:ind w:right="100" w:firstLine="449"/>
        <w:spacing w:after="0" w:line="269" w:lineRule="auto"/>
        <w:rPr>
          <w:sz w:val="20"/>
          <w:szCs w:val="20"/>
          <w:color w:val="auto"/>
        </w:rPr>
      </w:pPr>
      <w:r>
        <w:rPr>
          <w:rFonts w:ascii="Times New Roman" w:cs="Times New Roman" w:eastAsia="Times New Roman" w:hAnsi="Times New Roman"/>
          <w:sz w:val="17"/>
          <w:szCs w:val="17"/>
          <w:color w:val="auto"/>
        </w:rPr>
        <w:t>The public warrants were issued in registered form under a warrant agreement between Continental Stock Transfer &amp; Trust Company, as warrant agent, and us.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174"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Class A common stock and any voting rights until they exercise their public warrants and receive Class A common stock. After the issuance of shares of Class A common stock upon exercise of the public warrants, each holder will be entitled to one (1) vote for each share held of record on all matters to be voted on by stockholders.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40"/>
          </w:cols>
          <w:pgMar w:left="320" w:top="450"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14" w:lineRule="exact"/>
        <w:rPr>
          <w:sz w:val="20"/>
          <w:szCs w:val="20"/>
          <w:color w:val="auto"/>
        </w:rPr>
      </w:pPr>
    </w:p>
    <w:p>
      <w:pPr>
        <w:ind w:right="60" w:firstLine="449"/>
        <w:spacing w:after="0" w:line="249"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will not be transferable, assignable or salable until 30 days after the Closing Date (except, among other limited exceptions, to persons or entities affiliated with our sponsor) and they will not be redeemable by us so long as they are held by the Sponsor or its permitted transferees. The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in all redemption scenarios and exercisable by the holders on the same basis as the public warrants.</w:t>
      </w:r>
    </w:p>
    <w:p>
      <w:pPr>
        <w:spacing w:after="0" w:line="187"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Except as described under “—</w:t>
      </w:r>
      <w:r>
        <w:rPr>
          <w:rFonts w:ascii="Times New Roman" w:cs="Times New Roman" w:eastAsia="Times New Roman" w:hAnsi="Times New Roman"/>
          <w:sz w:val="18"/>
          <w:szCs w:val="18"/>
          <w:i w:val="1"/>
          <w:iCs w:val="1"/>
          <w:color w:val="auto"/>
        </w:rPr>
        <w:t>Public Warrants—Redemption of Warrants for Class A Common Stock</w:t>
      </w:r>
      <w:r>
        <w:rPr>
          <w:rFonts w:ascii="Times New Roman" w:cs="Times New Roman" w:eastAsia="Times New Roman" w:hAnsi="Times New Roman"/>
          <w:sz w:val="18"/>
          <w:szCs w:val="18"/>
          <w:color w:val="auto"/>
        </w:rPr>
        <w:t>,” 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“historical fair market value” (defined below) less the exercise price of the warrants by (y) the historical fair market value. For these purposes, the “historical fair market value” shall mean the average last reported sale price of the Class A common stock for the 10 trading days ending on the third trading day prior to the date on which the notice of warrant exercise is sent to the warrant agent.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1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charter and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of our stockholders may favor.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Dual Class Common Stock</w:t>
      </w:r>
    </w:p>
    <w:p>
      <w:pPr>
        <w:spacing w:after="0" w:line="11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charter provides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us or our assets. Current investors, executives, and employees will have the ability to exercise significant influence over those matters.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14" w:lineRule="exact"/>
        <w:rPr>
          <w:sz w:val="20"/>
          <w:szCs w:val="20"/>
          <w:color w:val="auto"/>
        </w:rPr>
      </w:pPr>
    </w:p>
    <w:p>
      <w:pPr>
        <w:ind w:right="500" w:firstLine="449"/>
        <w:spacing w:after="0" w:line="270" w:lineRule="auto"/>
        <w:rPr>
          <w:sz w:val="20"/>
          <w:szCs w:val="20"/>
          <w:color w:val="auto"/>
        </w:rPr>
      </w:pPr>
      <w:r>
        <w:rPr>
          <w:rFonts w:ascii="Times New Roman" w:cs="Times New Roman" w:eastAsia="Times New Roman" w:hAnsi="Times New Roman"/>
          <w:sz w:val="18"/>
          <w:szCs w:val="18"/>
          <w:color w:val="auto"/>
        </w:rPr>
        <w:t>The charter provides that a special meeting of stockholders may be called by (a) the chairperson of our board of directors, (b) our Chief Executive Officer, (c) our lead independent director or (d) our board of directors pursuant to a resolution adopted by a majority of the board.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14" w:lineRule="exact"/>
        <w:rPr>
          <w:sz w:val="20"/>
          <w:szCs w:val="20"/>
          <w:color w:val="auto"/>
        </w:rPr>
      </w:pPr>
    </w:p>
    <w:p>
      <w:pPr>
        <w:ind w:right="560" w:firstLine="449"/>
        <w:spacing w:after="0" w:line="270" w:lineRule="auto"/>
        <w:rPr>
          <w:sz w:val="20"/>
          <w:szCs w:val="20"/>
          <w:color w:val="auto"/>
        </w:rPr>
      </w:pPr>
      <w:r>
        <w:rPr>
          <w:rFonts w:ascii="Times New Roman" w:cs="Times New Roman" w:eastAsia="Times New Roman" w:hAnsi="Times New Roman"/>
          <w:sz w:val="18"/>
          <w:szCs w:val="18"/>
          <w:color w:val="auto"/>
        </w:rPr>
        <w:t>The charter provides that any action required or permitted to be taken by our stockholders must be effected at an annual or special meeting of the stockholders, and may not be taken by written consent in lieu of a meeting.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14"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This system of electing and removing directors may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240"/>
          </w:cols>
          <w:pgMar w:left="320" w:top="450" w:right="3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8"/>
          <w:szCs w:val="18"/>
          <w:color w:val="auto"/>
        </w:rPr>
        <w:t>tend to discourage a third-party from making a tender offer or otherwise attempting to obtain control of the Company, because it generally makes it more difficult for stockholders to replace a majority of the directors.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14"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Our board of directors or any individual director may be removed from office at any time, but only for cause and only by the affirmative vote of not less than two-thirds of the voting power of all of our then outstanding shares of voting stock entitled to vote at an election of directors.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14" w:lineRule="exact"/>
        <w:rPr>
          <w:sz w:val="20"/>
          <w:szCs w:val="20"/>
          <w:color w:val="auto"/>
        </w:rPr>
      </w:pPr>
    </w:p>
    <w:p>
      <w:pPr>
        <w:jc w:val="both"/>
        <w:ind w:right="220" w:firstLine="449"/>
        <w:spacing w:after="0" w:line="258" w:lineRule="auto"/>
        <w:rPr>
          <w:sz w:val="20"/>
          <w:szCs w:val="20"/>
          <w:color w:val="auto"/>
        </w:rPr>
      </w:pPr>
      <w:r>
        <w:rPr>
          <w:rFonts w:ascii="Times New Roman" w:cs="Times New Roman" w:eastAsia="Times New Roman" w:hAnsi="Times New Roman"/>
          <w:sz w:val="18"/>
          <w:szCs w:val="18"/>
          <w:color w:val="auto"/>
        </w:rPr>
        <w:t>The charter does not permit stockholders to cumulate their votes in the election of directors. Accordingly, the holders of a majority of our outstanding shares of Class A common stock and Class B common stock entitled to vote in any election of directors can elect all of the directors standing for election, if they choose, other than any directors that holders of our preferred stock may be entitled to elect.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1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undesignated preferred stock</w:t>
      </w:r>
    </w:p>
    <w:p>
      <w:pPr>
        <w:spacing w:after="0" w:line="11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Our board of directors have the authority, without further action by the stockholders, to issue up to 25,000,000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2" w:lineRule="exact"/>
        <w:rPr>
          <w:sz w:val="20"/>
          <w:szCs w:val="20"/>
          <w:color w:val="auto"/>
        </w:rPr>
      </w:pPr>
    </w:p>
    <w:p>
      <w:pPr>
        <w:ind w:right="40" w:firstLine="449"/>
        <w:spacing w:after="0" w:line="264" w:lineRule="auto"/>
        <w:rPr>
          <w:sz w:val="20"/>
          <w:szCs w:val="20"/>
          <w:color w:val="auto"/>
        </w:rPr>
      </w:pPr>
      <w:r>
        <w:rPr>
          <w:rFonts w:ascii="Times New Roman" w:cs="Times New Roman" w:eastAsia="Times New Roman" w:hAnsi="Times New Roman"/>
          <w:sz w:val="17"/>
          <w:szCs w:val="17"/>
          <w:color w:val="auto"/>
        </w:rPr>
        <w:t>Our charter provides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(4) any action to interpret, apply, enforce, or determine the validity of our charter or bylaws; or (5)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charter provides that the federal district courts of the United States of America will be the exclusive forum for resolving any complaint asserting a cause of action arising under the Securities Act.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20"/>
          </w:cols>
          <w:pgMar w:left="320" w:top="450" w:right="3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12" w:lineRule="exact"/>
        <w:rPr>
          <w:sz w:val="20"/>
          <w:szCs w:val="20"/>
          <w:color w:val="auto"/>
        </w:rPr>
      </w:pPr>
    </w:p>
    <w:p>
      <w:pPr>
        <w:ind w:right="40" w:firstLine="449"/>
        <w:spacing w:after="0" w:line="265" w:lineRule="auto"/>
        <w:rPr>
          <w:sz w:val="20"/>
          <w:szCs w:val="20"/>
          <w:color w:val="auto"/>
        </w:rPr>
      </w:pPr>
      <w:r>
        <w:rPr>
          <w:rFonts w:ascii="Times New Roman" w:cs="Times New Roman" w:eastAsia="Times New Roman" w:hAnsi="Times New Roman"/>
          <w:sz w:val="17"/>
          <w:szCs w:val="17"/>
          <w:color w:val="auto"/>
        </w:rPr>
        <w:t>Pursuant to the Registration Rights Agreement and the bylaws, subject to certain exceptions, the Sponsor and the former Clover stockholders are contractually restricted from selling or transferring any of their shares of common stock (not including any PIPE Shares issued in the PIPE Investment) (the “Lock-up Shares”). Such restrictions began at Closing and end on the earlier of (i) the date that is 180 days after Closing and (ii)(a) for 33.33% of the Lock-up Shares, the date on which the last reported sale price of our Class A common stock equals or exceeds $12.50 per share for any 20 trading days within any</w:t>
      </w:r>
    </w:p>
    <w:p>
      <w:pPr>
        <w:jc w:val="both"/>
        <w:ind w:right="80"/>
        <w:spacing w:after="0" w:line="247" w:lineRule="auto"/>
        <w:rPr>
          <w:sz w:val="20"/>
          <w:szCs w:val="20"/>
          <w:color w:val="auto"/>
        </w:rPr>
      </w:pPr>
      <w:r>
        <w:rPr>
          <w:rFonts w:ascii="Times New Roman" w:cs="Times New Roman" w:eastAsia="Times New Roman" w:hAnsi="Times New Roman"/>
          <w:sz w:val="18"/>
          <w:szCs w:val="18"/>
          <w:color w:val="auto"/>
        </w:rPr>
        <w:t>30-trading day period commencing at least 31 days after Closing and (b) for an additional 50% of the Lock-up Shares, the date on which the last reported sale price of our Class A common stock equals or exceeds $15.00 per share for any 20 trading days within any 30-trading day period commencing at least 31 days after Closing.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2"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Under the Registration Rights Agreement, we agreed to file a registration statement covering the founder shares and private placement warrants (including the shares of Class A common stock issuable upon exercise of the private placement warrants) held by the Sponsor and its permitted transferees and certain stockholders of ours immediately following the Closing (not including the shares of our Class A common stock issued in the PIPE Investment pursuant to the terms of the Subscription Agreements) and to provide the Sponsor and its permitted transferees and certain stockholders of ours immediately following the Closing (not including the shares of our Class A common stock issued in the PIPE Investment pursuant to the terms of the Subscription Agreements) with certain other registration rights, including, among other things, customary “demand” and “piggyback” registration rights, with respect to their shares of Class A common stock, subject to certain requirements and customary conditions.</w:t>
      </w:r>
    </w:p>
    <w:p>
      <w:pPr>
        <w:spacing w:after="0" w:line="187" w:lineRule="exact"/>
        <w:rPr>
          <w:sz w:val="20"/>
          <w:szCs w:val="20"/>
          <w:color w:val="auto"/>
        </w:rPr>
      </w:pPr>
    </w:p>
    <w:p>
      <w:pPr>
        <w:ind w:firstLine="449"/>
        <w:spacing w:after="0" w:line="273"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we also agreed pursuant to the warrant agreement to file a registration statement covering the shares of Class A common stock issuable upon exercise of the warrants.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12"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and warrants is Continental Stock Transfer &amp; Trust Company. The transfer agent, warrant agent and registrar’s telephone number and address is (212) 509-4000 and 1 State Street, 30th Floor, New York, NY 10004.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Class A common stock and warrants are listed on the Nasdaq Global Select Market under the symbols “CLOV” and “CLOVW,” respectively.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20"/>
          </w:cols>
          <w:pgMar w:left="320" w:top="450" w:right="3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18"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our restricted common stock or our private placement warrants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the issuer was required to file reports) preceding the sale.</w:t>
      </w:r>
    </w:p>
    <w:p>
      <w:pPr>
        <w:spacing w:after="0" w:line="187"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Persons who have beneficially owned our restricted common stock shares or our private placement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6" w:lineRule="exact"/>
        <w:rPr>
          <w:sz w:val="20"/>
          <w:szCs w:val="20"/>
          <w:color w:val="auto"/>
        </w:rPr>
      </w:pPr>
    </w:p>
    <w:p>
      <w:pPr>
        <w:ind w:left="1000" w:hanging="439"/>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our common stock then outstanding; or</w:t>
      </w:r>
    </w:p>
    <w:p>
      <w:pPr>
        <w:spacing w:after="0" w:line="123" w:lineRule="exact"/>
        <w:rPr>
          <w:rFonts w:ascii="Times New Roman" w:cs="Times New Roman" w:eastAsia="Times New Roman" w:hAnsi="Times New Roman"/>
          <w:sz w:val="18"/>
          <w:szCs w:val="18"/>
          <w:color w:val="auto"/>
        </w:rPr>
      </w:pPr>
    </w:p>
    <w:p>
      <w:pPr>
        <w:ind w:left="1000" w:right="120" w:hanging="439"/>
        <w:spacing w:after="0" w:line="270"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during the four calendar weeks preceding the filing of a notice on Form 144 with respect to the sale.</w:t>
      </w:r>
    </w:p>
    <w:p>
      <w:pPr>
        <w:spacing w:after="0" w:line="169" w:lineRule="exact"/>
        <w:rPr>
          <w:sz w:val="20"/>
          <w:szCs w:val="20"/>
          <w:color w:val="auto"/>
        </w:rPr>
      </w:pPr>
    </w:p>
    <w:p>
      <w:pPr>
        <w:jc w:val="both"/>
        <w:ind w:right="300" w:firstLine="449"/>
        <w:spacing w:after="0" w:line="270"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12" w:lineRule="exact"/>
        <w:rPr>
          <w:sz w:val="20"/>
          <w:szCs w:val="20"/>
          <w:color w:val="auto"/>
        </w:rPr>
      </w:pPr>
    </w:p>
    <w:p>
      <w:pPr>
        <w:jc w:val="both"/>
        <w:ind w:right="300" w:firstLine="449"/>
        <w:spacing w:after="0" w:line="258"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6" w:lineRule="exact"/>
        <w:rPr>
          <w:sz w:val="20"/>
          <w:szCs w:val="20"/>
          <w:color w:val="auto"/>
        </w:rPr>
      </w:pPr>
    </w:p>
    <w:p>
      <w:pPr>
        <w:ind w:left="1000" w:hanging="439"/>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23" w:lineRule="exact"/>
        <w:rPr>
          <w:rFonts w:ascii="Times New Roman" w:cs="Times New Roman" w:eastAsia="Times New Roman" w:hAnsi="Times New Roman"/>
          <w:sz w:val="18"/>
          <w:szCs w:val="18"/>
          <w:color w:val="auto"/>
        </w:rPr>
      </w:pPr>
    </w:p>
    <w:p>
      <w:pPr>
        <w:ind w:left="1000" w:hanging="439"/>
        <w:spacing w:after="0" w:line="270"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6" w:lineRule="exact"/>
        <w:rPr>
          <w:rFonts w:ascii="Times New Roman" w:cs="Times New Roman" w:eastAsia="Times New Roman" w:hAnsi="Times New Roman"/>
          <w:sz w:val="18"/>
          <w:szCs w:val="18"/>
          <w:color w:val="auto"/>
        </w:rPr>
      </w:pPr>
    </w:p>
    <w:p>
      <w:pPr>
        <w:ind w:left="1000" w:right="160" w:hanging="439"/>
        <w:spacing w:after="0" w:line="270"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9"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8"/>
          <w:szCs w:val="18"/>
          <w:color w:val="auto"/>
        </w:rPr>
        <w:t>Following the Closing, we ceased to be a shell company, and so, once the conditions set forth in the exceptions listed above are satisfied, Rule 144 will become available for the resale of the above noted restricted securities.</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60"/>
          </w:cols>
          <w:pgMar w:left="320" w:top="450" w:right="41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18"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Selling Securityholders, which as used herein includes donees, pledgees, transferees, distributees or other successors-in-interest selling shares of our Class A common stock or warrants or interests in our Class A common stock or warrants received after the date of this prospectus from the Selling Securityholders as a gift, pledge, partnership distribution or other transfer, may, from time to time, sell, transfer, distribute or otherwise dispose of certain of their shares of Class A common stock or warrants or interests in our Class A common stock or warrants on any stock exchange, market or trading facility on which shares of our Class A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9"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their shares of common stock or warrants or interests therein:</w:t>
      </w:r>
    </w:p>
    <w:p>
      <w:pPr>
        <w:spacing w:after="0" w:line="76" w:lineRule="exact"/>
        <w:rPr>
          <w:sz w:val="20"/>
          <w:szCs w:val="20"/>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23" w:lineRule="exact"/>
        <w:rPr>
          <w:rFonts w:ascii="Times New Roman" w:cs="Times New Roman" w:eastAsia="Times New Roman" w:hAnsi="Times New Roman"/>
          <w:sz w:val="18"/>
          <w:szCs w:val="18"/>
          <w:color w:val="auto"/>
        </w:rPr>
      </w:pPr>
    </w:p>
    <w:p>
      <w:pPr>
        <w:ind w:left="1000" w:right="40" w:hanging="439"/>
        <w:spacing w:after="0" w:line="270"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of Class A common stock or warrants as agent, but may position and resell a portion of the block as principal to facilitate the transaction;</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members, partners or shareholders;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of the registration statement of which this prospectus is a part is declared effective by the SEC;</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23" w:lineRule="exact"/>
        <w:rPr>
          <w:rFonts w:ascii="Times New Roman" w:cs="Times New Roman" w:eastAsia="Times New Roman" w:hAnsi="Times New Roman"/>
          <w:sz w:val="18"/>
          <w:szCs w:val="18"/>
          <w:color w:val="auto"/>
        </w:rPr>
      </w:pPr>
    </w:p>
    <w:p>
      <w:pPr>
        <w:ind w:left="1000" w:right="240" w:hanging="439"/>
        <w:spacing w:after="0" w:line="270"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of Class A common stock or warrants at a stipulated price per share or warrant; and</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w:t>
      </w:r>
    </w:p>
    <w:p>
      <w:pPr>
        <w:spacing w:after="0" w:line="216"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shares of our Class A common stock or warrants owned by them and, if a Selling Securityholder defaults in the performance of its secured obligations, the pledgees or secured parties may offer and sell such shares of Class A common stock or warrants, as applicable,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our Class A common stock or warrants in other circumstances, in which case the transferees, pledgees or other successors in interest will be the selling beneficial owners for purposes of this prospectus.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220"/>
          </w:cols>
          <w:pgMar w:left="320" w:top="450" w:right="3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In connection with the sale of shares of our Class A common stock or warrants or interests therein, the Selling Securityholder may enter into hedging transactions with broker-dealers or other financial institutions, which may in turn engage in short sales of our Class A common stock or warrants in the course of hedging the positions they assume. The Selling Securityholders may also sell shares of our Class A common stock or warrants short and deliver these securities to close out their short positions, or loan or pledge shares of our Class A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Class A common stock or warrants offered by this prospectus, which shares or warrants such broker-dealer or other financial institution may resell pursuant to this prospectus (as supplemented or amended to reflect such transaction).</w:t>
      </w:r>
    </w:p>
    <w:p>
      <w:pPr>
        <w:spacing w:after="0" w:line="193"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shares of our Class A common stock or warrants offered by them will be the purchase price of such shares of our Class A common stock or warrants less discounts or commissions, if any. The Selling Securityholders reserve the right to accept and, together with their agents from time to time, to reject, in whole or in part, any proposed purchase of share of our Class A common stock or warrants to be made directly or through agents. We will not receive any of the proceeds from any offering by the Selling Securityholders.</w:t>
      </w:r>
    </w:p>
    <w:p>
      <w:pPr>
        <w:spacing w:after="0" w:line="185" w:lineRule="exact"/>
        <w:rPr>
          <w:sz w:val="20"/>
          <w:szCs w:val="20"/>
          <w:color w:val="auto"/>
        </w:rPr>
      </w:pPr>
    </w:p>
    <w:p>
      <w:pPr>
        <w:ind w:right="380" w:firstLine="449"/>
        <w:spacing w:after="0" w:line="258" w:lineRule="auto"/>
        <w:rPr>
          <w:sz w:val="20"/>
          <w:szCs w:val="20"/>
          <w:color w:val="auto"/>
        </w:rPr>
      </w:pPr>
      <w:r>
        <w:rPr>
          <w:rFonts w:ascii="Times New Roman" w:cs="Times New Roman" w:eastAsia="Times New Roman" w:hAnsi="Times New Roman"/>
          <w:sz w:val="18"/>
          <w:szCs w:val="18"/>
          <w:color w:val="auto"/>
        </w:rPr>
        <w:t>The Selling Securityholders also may in the future resell a portion of our Class A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79" w:lineRule="exact"/>
        <w:rPr>
          <w:sz w:val="20"/>
          <w:szCs w:val="20"/>
          <w:color w:val="auto"/>
        </w:rPr>
      </w:pPr>
    </w:p>
    <w:p>
      <w:pPr>
        <w:ind w:right="80" w:firstLine="449"/>
        <w:spacing w:after="0" w:line="249"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the sale of shares of our Class A common stock or warrants or interests therein may be “underwriters” within the meaning of Section 2(11) of the Securities Act. Any discounts, commissions, concessions or profit they earn on any resale of shares of our Class A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89" w:lineRule="exact"/>
        <w:rPr>
          <w:sz w:val="20"/>
          <w:szCs w:val="20"/>
          <w:color w:val="auto"/>
        </w:rPr>
      </w:pPr>
    </w:p>
    <w:p>
      <w:pPr>
        <w:ind w:right="120" w:firstLine="449"/>
        <w:spacing w:after="0" w:line="280" w:lineRule="auto"/>
        <w:rPr>
          <w:sz w:val="20"/>
          <w:szCs w:val="20"/>
          <w:color w:val="auto"/>
        </w:rPr>
      </w:pPr>
      <w:r>
        <w:rPr>
          <w:rFonts w:ascii="Times New Roman" w:cs="Times New Roman" w:eastAsia="Times New Roman" w:hAnsi="Times New Roman"/>
          <w:sz w:val="17"/>
          <w:szCs w:val="17"/>
          <w:color w:val="auto"/>
        </w:rPr>
        <w:t>To the extent required, our Class A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62"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To facilitate the offering of shares of our Class A common stock and warrants offered by the Selling Securityholders, certain persons participating in the offering may engage in transactions that stabilize, maintain or otherwise affect the price of our Class A common stock or warrants. This may include over-allotments or short sales, which involve the sale by persons participating in the offering of more shares of Class A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or warrants by bidding for or purchasing shares of Class A common stock or warrants in the open market or by imposing penalty bids, whereby selling concessions allowed to dealers participating in the offering may be reclaimed if shares of Class A common stock or warrants sold by them are repurchased in connection with stabilization transactions. The effect of these transactions may be to stabilize or maintain the market price of our Class A common stock or warrants at a level above that which might otherwise prevail in the open market. These transactions may be discontinued at any time.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20"/>
          </w:cols>
          <w:pgMar w:left="320" w:top="450" w:right="3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85"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We have agreed to maintain the effectiveness of this registration statement until all such securities have been sold under this registration statement or Rule 144 under the Securities Act or are no longer outstanding. We have agreed to pay all expenses in connection with this offering, other than underwriting fees, discounts, selling commissions, stock transfer taxes and certain legal expenses. The Selling Secuirtyholders will pay, on a pro rata basis, any underwriting fees, discounts, selling commissions, stock transfer taxes and certain legal expenses relating to the offering.</w:t>
      </w:r>
    </w:p>
    <w:p>
      <w:pPr>
        <w:spacing w:after="0" w:line="185"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Selling Securityholders may use this prospectus in connection with resales of shares of our Class A common stock and warrants. This prospectus and any accompanying prospectus supplement will identify the Selling Securityholders, the terms of our Class A common stock or warrants and any material relationships between us and the Selling Securityholders. Selling Securityholders may be deemed to be underwriters under the Securities Act in connection with shares of our Class A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Class A common stock or warrants.</w:t>
      </w:r>
    </w:p>
    <w:p>
      <w:pPr>
        <w:spacing w:after="0" w:line="18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an in-kind distribution of Class A common stock or warrants to its members, partners or shareholders pursuant to the registration statement of which this prospectus is a part by delivering a prospectus. To the extent that such members, partners or shareholders are not affiliates of ours, such members, partners or shareholders would thereby receive freely tradable shares of Class A common stock or warrants pursuant to the distribution through a registration statement.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20"/>
          </w:cols>
          <w:pgMar w:left="320" w:top="450" w:right="3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8" w:lineRule="exact"/>
        <w:rPr>
          <w:sz w:val="20"/>
          <w:szCs w:val="20"/>
          <w:color w:val="auto"/>
        </w:rPr>
      </w:pPr>
    </w:p>
    <w:p>
      <w:pPr>
        <w:ind w:right="500" w:firstLine="449"/>
        <w:spacing w:after="0" w:line="270"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Orrick, Herrington &amp; Sutcliffe LLP. Any underwriters or agents will be advised about other issues relating to the offering by counsel to be named in the applicable prospectus supplement.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18"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8"/>
          <w:szCs w:val="18"/>
          <w:color w:val="auto"/>
        </w:rPr>
        <w:t>The financial statements of Social Capital Hedosophia Holdings Corp. III as of December 31, 2019, and for the period from October 18, 2019 (inception) through December 31, 2019, included in this prospectus have been audited by Marcum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85"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Clover Health Investments, Corp. and subsidiaries as of December 31, 2019 and 2018 and for each of the two years in the period ended December 31, 2019 appearing in this prospectus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18"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and warrants offered hereby. This prospectus, which constitutes part of the registration statement, does not contain all of the information set forth in the registration statement and the exhibits and schedules thereto. For further information with respect to the Company, its Class A common stock and warrants,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w:t>
      </w:r>
    </w:p>
    <w:p>
      <w:pPr>
        <w:spacing w:after="0" w:line="216"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www.cloverhealth.com,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20"/>
          </w:cols>
          <w:pgMar w:left="320" w:top="450" w:right="3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120" w:type="dxa"/>
            <w:vAlign w:val="bottom"/>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7"/>
              </w:rPr>
              <w:t>Social Capital Hedosophia Holding Corp. III</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120" w:type="dxa"/>
            <w:vAlign w:val="bottom"/>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0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Condensed financial statements (unaudited)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1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2020 and December 31, 2019 (unaudited) and for the nine months period ended September 30, 2019 (unaudited)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Condensed balance sheets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Condensed statement of operations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Condensed statement of changes in shareholders’ equity (deficit)</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Condensed statement of cash flows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Notes to condensed financial statements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(audited)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2019 and for the period from October 18, 2019 (inception) to December 31, 2019</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Report of independent registered public accounting firm</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Balance sheet</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F-22</w:t>
            </w: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Statement of operations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29">
              <w:r>
                <w:rPr>
                  <w:rFonts w:ascii="Times New Roman" w:cs="Times New Roman" w:eastAsia="Times New Roman" w:hAnsi="Times New Roman"/>
                  <w:sz w:val="18"/>
                  <w:szCs w:val="18"/>
                  <w:u w:val="single" w:color="auto"/>
                  <w:color w:val="0000EE"/>
                </w:rPr>
                <w:t>Statement of changes in shareholders’ deficit</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212"/>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30">
              <w:r>
                <w:rPr>
                  <w:rFonts w:ascii="Times New Roman" w:cs="Times New Roman" w:eastAsia="Times New Roman" w:hAnsi="Times New Roman"/>
                  <w:sz w:val="18"/>
                  <w:szCs w:val="18"/>
                  <w:u w:val="single" w:color="auto"/>
                  <w:color w:val="0000EE"/>
                </w:rPr>
                <w:t>Statement of cash flows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229"/>
        </w:trPr>
        <w:tc>
          <w:tcPr>
            <w:tcW w:w="10120" w:type="dxa"/>
            <w:vAlign w:val="bottom"/>
          </w:tcPr>
          <w:p>
            <w:pPr>
              <w:ind w:left="360"/>
              <w:spacing w:after="0"/>
              <w:rPr>
                <w:rFonts w:ascii="Times New Roman" w:cs="Times New Roman" w:eastAsia="Times New Roman" w:hAnsi="Times New Roman"/>
                <w:sz w:val="18"/>
                <w:szCs w:val="18"/>
                <w:u w:val="single" w:color="auto"/>
                <w:color w:val="0000EE"/>
              </w:rPr>
            </w:pPr>
            <w:hyperlink w:anchor="page231">
              <w:r>
                <w:rPr>
                  <w:rFonts w:ascii="Times New Roman" w:cs="Times New Roman" w:eastAsia="Times New Roman" w:hAnsi="Times New Roman"/>
                  <w:sz w:val="18"/>
                  <w:szCs w:val="18"/>
                  <w:u w:val="single" w:color="auto"/>
                  <w:color w:val="0000EE"/>
                </w:rPr>
                <w:t>Notes to financial statements</w:t>
              </w:r>
            </w:hyperlink>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357"/>
        </w:trPr>
        <w:tc>
          <w:tcPr>
            <w:tcW w:w="10120" w:type="dxa"/>
            <w:vAlign w:val="bottom"/>
          </w:tcPr>
          <w:p>
            <w:pPr>
              <w:jc w:val="center"/>
              <w:ind w:left="1032"/>
              <w:spacing w:after="0"/>
              <w:rPr>
                <w:sz w:val="20"/>
                <w:szCs w:val="20"/>
                <w:color w:val="auto"/>
              </w:rPr>
            </w:pPr>
            <w:r>
              <w:rPr>
                <w:rFonts w:ascii="Times New Roman" w:cs="Times New Roman" w:eastAsia="Times New Roman" w:hAnsi="Times New Roman"/>
                <w:sz w:val="18"/>
                <w:szCs w:val="18"/>
                <w:color w:val="auto"/>
                <w:w w:val="95"/>
              </w:rPr>
              <w:t>F-1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0" w:right="39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3"/>
                <w:szCs w:val="13"/>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0"/>
        </w:trPr>
        <w:tc>
          <w:tcPr>
            <w:tcW w:w="8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w w:val="99"/>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100,346</w:t>
            </w: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828,096,607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828,688,734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1,807,280</w:t>
            </w:r>
          </w:p>
        </w:tc>
        <w:tc>
          <w:tcPr>
            <w:tcW w:w="240" w:type="dxa"/>
            <w:vAlign w:val="bottom"/>
          </w:tcPr>
          <w:p>
            <w:pPr>
              <w:spacing w:after="0"/>
              <w:rPr>
                <w:sz w:val="18"/>
                <w:szCs w:val="18"/>
                <w:color w:val="auto"/>
              </w:rPr>
            </w:pPr>
          </w:p>
        </w:tc>
        <w:tc>
          <w:tcPr>
            <w:tcW w:w="36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offering costs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100,346</w:t>
            </w:r>
          </w:p>
        </w:tc>
        <w:tc>
          <w:tcPr>
            <w:tcW w:w="0" w:type="dxa"/>
            <w:vAlign w:val="bottom"/>
          </w:tcPr>
          <w:p>
            <w:pPr>
              <w:spacing w:after="0"/>
              <w:rPr>
                <w:sz w:val="1"/>
                <w:szCs w:val="1"/>
                <w:color w:val="auto"/>
              </w:rPr>
            </w:pPr>
          </w:p>
        </w:tc>
      </w:tr>
      <w:tr>
        <w:trPr>
          <w:trHeight w:val="212"/>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from related party</w:t>
            </w:r>
          </w:p>
        </w:tc>
        <w:tc>
          <w:tcPr>
            <w:tcW w:w="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6"/>
        </w:trPr>
        <w:tc>
          <w:tcPr>
            <w:tcW w:w="8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117,977</w:t>
            </w:r>
          </w:p>
        </w:tc>
        <w:tc>
          <w:tcPr>
            <w:tcW w:w="0" w:type="dxa"/>
            <w:vAlign w:val="bottom"/>
          </w:tcPr>
          <w:p>
            <w:pPr>
              <w:spacing w:after="0"/>
              <w:rPr>
                <w:sz w:val="1"/>
                <w:szCs w:val="1"/>
                <w:color w:val="auto"/>
              </w:rPr>
            </w:pPr>
          </w:p>
        </w:tc>
      </w:tr>
      <w:tr>
        <w:trPr>
          <w:trHeight w:val="324"/>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28,980,000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30,787,280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117,977</w:t>
            </w:r>
          </w:p>
        </w:tc>
        <w:tc>
          <w:tcPr>
            <w:tcW w:w="0" w:type="dxa"/>
            <w:vAlign w:val="bottom"/>
          </w:tcPr>
          <w:p>
            <w:pPr>
              <w:spacing w:after="0"/>
              <w:rPr>
                <w:sz w:val="1"/>
                <w:szCs w:val="1"/>
                <w:color w:val="auto"/>
              </w:rPr>
            </w:pPr>
          </w:p>
        </w:tc>
      </w:tr>
      <w:tr>
        <w:trPr>
          <w:trHeight w:val="217"/>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8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Class A ordinary shares subject to possible redemption, 79,280,895 and no shares at redemption value at September 30,</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and December 31, 2019, respectively</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792,901,451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$0.0001 par value; 5,000,000 shares authorized; none issued and outstanding</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888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3,519,105 and none issued and outstanding</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79,280,895 and no shares subject to possible redemption) at September 30, 2020 and December 31, 2019,</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8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 20,700,000 and one shares issued and</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2020 and December 31, 2019, respectively</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7,364,781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(2,367,200)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24"/>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828,688,734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100,346</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450"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5"/>
        </w:trPr>
        <w:tc>
          <w:tcPr>
            <w:tcW w:w="8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160"/>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140" w:type="dxa"/>
            <w:vAlign w:val="bottom"/>
            <w:gridSpan w:val="2"/>
          </w:tcPr>
          <w:p>
            <w:pPr>
              <w:jc w:val="right"/>
              <w:ind w:right="500"/>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0"/>
        </w:trPr>
        <w:tc>
          <w:tcPr>
            <w:tcW w:w="802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05"/>
        </w:trPr>
        <w:tc>
          <w:tcPr>
            <w:tcW w:w="80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2,325,365</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2,446,176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(2,325,365)</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8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32,361</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(2,293,004)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(2,349,569)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Weighted average shares outstanding, basic and diluted </w:t>
            </w:r>
            <w:r>
              <w:rPr>
                <w:rFonts w:ascii="Times New Roman" w:cs="Times New Roman" w:eastAsia="Times New Roman" w:hAnsi="Times New Roman"/>
                <w:sz w:val="14"/>
                <w:szCs w:val="14"/>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23,986,724</w:t>
            </w: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20,157,288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 xml:space="preserve">Basic and diluted net loss per ordinary share </w:t>
            </w:r>
            <w:r>
              <w:rPr>
                <w:rFonts w:ascii="Times New Roman" w:cs="Times New Roman" w:eastAsia="Times New Roman" w:hAnsi="Times New Roman"/>
                <w:sz w:val="14"/>
                <w:szCs w:val="14"/>
                <w:b w:val="1"/>
                <w:bCs w:val="1"/>
                <w:color w:val="auto"/>
              </w:rPr>
              <w:t>(2)</w:t>
            </w:r>
          </w:p>
        </w:tc>
        <w:tc>
          <w:tcPr>
            <w:tcW w:w="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700"/>
              <w:spacing w:after="0" w:line="204" w:lineRule="exact"/>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line="204"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60" w:hanging="454"/>
        <w:spacing w:after="0"/>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79,280,895 shares subject to possible redemption.</w:t>
      </w:r>
    </w:p>
    <w:p>
      <w:pPr>
        <w:spacing w:after="0" w:line="22" w:lineRule="exact"/>
        <w:rPr>
          <w:rFonts w:ascii="Times New Roman" w:cs="Times New Roman" w:eastAsia="Times New Roman" w:hAnsi="Times New Roman"/>
          <w:sz w:val="18"/>
          <w:szCs w:val="18"/>
          <w:color w:val="auto"/>
        </w:rPr>
      </w:pPr>
    </w:p>
    <w:p>
      <w:pPr>
        <w:ind w:left="460" w:right="140" w:hanging="454"/>
        <w:spacing w:after="0" w:line="250" w:lineRule="auto"/>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ordinary share — basic and diluted excludes income attributable to ordinary shares subject to possible redemption of $30,986 and $92,501 for the three and nine months ended September 30, 2020, respectively (see Note 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450" w:right="3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8"/>
          <w:szCs w:val="18"/>
          <w:b w:val="1"/>
          <w:bCs w:val="1"/>
          <w:color w:val="auto"/>
        </w:rPr>
        <w:t>SOCIAL CAPITAL HEDOSOPHIA HOLDINGS CORP. III CONDENSED STATEMENT OF CHANGES IN SHAREHOLDERS’ EQUITY (DEFICIT) THREE AND NINE MONTHS ENDED SEPTEMBER 30, 2020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77"/>
        </w:trPr>
        <w:tc>
          <w:tcPr>
            <w:tcW w:w="4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right"/>
              <w:ind w:right="440"/>
              <w:spacing w:after="0" w:line="145" w:lineRule="exact"/>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2"/>
            <w:vMerge w:val="restart"/>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680" w:type="dxa"/>
            <w:vAlign w:val="bottom"/>
            <w:gridSpan w:val="4"/>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vMerge w:val="restart"/>
          </w:tcPr>
          <w:p>
            <w:pPr>
              <w:spacing w:after="0"/>
              <w:rPr>
                <w:sz w:val="5"/>
                <w:szCs w:val="5"/>
                <w:color w:val="auto"/>
              </w:rPr>
            </w:pPr>
          </w:p>
        </w:tc>
        <w:tc>
          <w:tcPr>
            <w:tcW w:w="15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416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540" w:type="dxa"/>
            <w:vAlign w:val="bottom"/>
            <w:tcBorders>
              <w:bottom w:val="single" w:sz="8" w:color="auto"/>
            </w:tcBorders>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jc w:val="right"/>
              <w:ind w:right="520"/>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1080" w:type="dxa"/>
            <w:vAlign w:val="bottom"/>
            <w:gridSpan w:val="3"/>
            <w:vMerge w:val="restart"/>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8"/>
                <w:szCs w:val="8"/>
                <w:color w:val="auto"/>
              </w:rPr>
            </w:pPr>
          </w:p>
        </w:tc>
        <w:tc>
          <w:tcPr>
            <w:tcW w:w="1060" w:type="dxa"/>
            <w:vAlign w:val="bottom"/>
            <w:gridSpan w:val="2"/>
            <w:vMerge w:val="restart"/>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w w:val="99"/>
              </w:rPr>
              <w:t>(Deficit)</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Shares</w:t>
            </w:r>
          </w:p>
        </w:tc>
        <w:tc>
          <w:tcPr>
            <w:tcW w:w="7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Shares</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4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5"/>
        </w:trPr>
        <w:tc>
          <w:tcPr>
            <w:tcW w:w="41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Balance — January 1, 2020</w:t>
            </w: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(17,631)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(17,631)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Class B ordinary share</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Issuance of Class B ordinary shares to Sponsor </w:t>
            </w:r>
            <w:r>
              <w:rPr>
                <w:rFonts w:ascii="Times New Roman" w:cs="Times New Roman" w:eastAsia="Times New Roman" w:hAnsi="Times New Roman"/>
                <w:sz w:val="14"/>
                <w:szCs w:val="14"/>
                <w:color w:val="auto"/>
              </w:rPr>
              <w:t>(1)</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20,700,000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20,700,000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2,070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22,930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(17,631)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7,369</w:t>
            </w:r>
          </w:p>
        </w:tc>
        <w:tc>
          <w:tcPr>
            <w:tcW w:w="0" w:type="dxa"/>
            <w:vAlign w:val="bottom"/>
          </w:tcPr>
          <w:p>
            <w:pPr>
              <w:spacing w:after="0"/>
              <w:rPr>
                <w:sz w:val="1"/>
                <w:szCs w:val="1"/>
                <w:color w:val="auto"/>
              </w:rPr>
            </w:pPr>
          </w:p>
        </w:tc>
      </w:tr>
      <w:tr>
        <w:trPr>
          <w:trHeight w:val="193"/>
        </w:trPr>
        <w:tc>
          <w:tcPr>
            <w:tcW w:w="41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Sale of 82,800,000 Units, net of underwriting discount</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offering expenses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82,800,000</w:t>
            </w: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783,835,374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783,843,654</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10,933,333 Private Placement Warrants</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16,400,000</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subject to redemption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(79,513,276)</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(7,951)</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(795,186,505)</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(795,194,456)</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(56,565)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(56,565)</w:t>
            </w:r>
          </w:p>
        </w:tc>
        <w:tc>
          <w:tcPr>
            <w:tcW w:w="0" w:type="dxa"/>
            <w:vAlign w:val="bottom"/>
          </w:tcPr>
          <w:p>
            <w:pPr>
              <w:spacing w:after="0"/>
              <w:rPr>
                <w:sz w:val="1"/>
                <w:szCs w:val="1"/>
                <w:color w:val="auto"/>
              </w:rPr>
            </w:pPr>
          </w:p>
        </w:tc>
      </w:tr>
      <w:tr>
        <w:trPr>
          <w:trHeight w:val="21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3,286,724</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329</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20,700,000</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2,070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5,071,799</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(74,196)</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value of ordinary shares subject to redemption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2,293,005</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(2,293,004)</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(2,293,004)</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3,519,105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352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20,700,000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7,364,781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5"/>
              </w:rPr>
              <w:t>(2,367,200)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5,000,003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60" w:right="640" w:hanging="454"/>
        <w:spacing w:after="0" w:line="270" w:lineRule="auto"/>
        <w:tabs>
          <w:tab w:leader="none" w:pos="4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an aggregate of up to 2,700,000 shares that were subject to forfeiture to the extent that the underwriters’ over-allotment option was not exercised in full (see Note 7).</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450" w:right="3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3"/>
        </w:trPr>
        <w:tc>
          <w:tcPr>
            <w:tcW w:w="8940" w:type="dxa"/>
            <w:vAlign w:val="bottom"/>
          </w:tcPr>
          <w:p>
            <w:pPr>
              <w:jc w:val="center"/>
              <w:ind w:left="2212"/>
              <w:spacing w:after="0"/>
              <w:rPr>
                <w:sz w:val="20"/>
                <w:szCs w:val="20"/>
                <w:color w:val="auto"/>
              </w:rPr>
            </w:pPr>
            <w:r>
              <w:rPr>
                <w:rFonts w:ascii="Times New Roman" w:cs="Times New Roman" w:eastAsia="Times New Roman" w:hAnsi="Times New Roman"/>
                <w:sz w:val="18"/>
                <w:szCs w:val="18"/>
                <w:b w:val="1"/>
                <w:bCs w:val="1"/>
                <w:color w:val="auto"/>
                <w:w w:val="97"/>
              </w:rPr>
              <w:t>SOCIAL CAPITAL HEDOSOPHIA HOLDINGS CORP. III</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940" w:type="dxa"/>
            <w:vAlign w:val="bottom"/>
          </w:tcPr>
          <w:p>
            <w:pPr>
              <w:jc w:val="center"/>
              <w:ind w:left="2232"/>
              <w:spacing w:after="0"/>
              <w:rPr>
                <w:sz w:val="20"/>
                <w:szCs w:val="20"/>
                <w:color w:val="auto"/>
              </w:rPr>
            </w:pPr>
            <w:r>
              <w:rPr>
                <w:rFonts w:ascii="Times New Roman" w:cs="Times New Roman" w:eastAsia="Times New Roman" w:hAnsi="Times New Roman"/>
                <w:sz w:val="18"/>
                <w:szCs w:val="18"/>
                <w:b w:val="1"/>
                <w:bCs w:val="1"/>
                <w:color w:val="auto"/>
                <w:w w:val="97"/>
              </w:rPr>
              <w:t>CONDENSED STATEMENT OF CASH FLOWS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Pr>
          <w:p>
            <w:pPr>
              <w:jc w:val="center"/>
              <w:ind w:left="2212"/>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 2020</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940" w:type="dxa"/>
            <w:vAlign w:val="bottom"/>
          </w:tcPr>
          <w:p>
            <w:pPr>
              <w:jc w:val="center"/>
              <w:ind w:left="2212"/>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(2,349,569)</w:t>
            </w: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(465,382)</w:t>
            </w: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(828,000,000)</w:t>
            </w:r>
          </w:p>
        </w:tc>
        <w:tc>
          <w:tcPr>
            <w:tcW w:w="0" w:type="dxa"/>
            <w:vAlign w:val="bottom"/>
          </w:tcPr>
          <w:p>
            <w:pPr>
              <w:spacing w:after="0"/>
              <w:rPr>
                <w:sz w:val="1"/>
                <w:szCs w:val="1"/>
                <w:color w:val="auto"/>
              </w:rPr>
            </w:pPr>
          </w:p>
        </w:tc>
      </w:tr>
      <w:tr>
        <w:trPr>
          <w:trHeight w:val="26"/>
        </w:trPr>
        <w:tc>
          <w:tcPr>
            <w:tcW w:w="8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(828,000,000)</w:t>
            </w:r>
          </w:p>
        </w:tc>
        <w:tc>
          <w:tcPr>
            <w:tcW w:w="0" w:type="dxa"/>
            <w:vAlign w:val="bottom"/>
          </w:tcPr>
          <w:p>
            <w:pPr>
              <w:spacing w:after="0"/>
              <w:rPr>
                <w:sz w:val="1"/>
                <w:szCs w:val="1"/>
                <w:color w:val="auto"/>
              </w:rPr>
            </w:pPr>
          </w:p>
        </w:tc>
      </w:tr>
      <w:tr>
        <w:trPr>
          <w:trHeight w:val="218"/>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Class B ordinary shares to Sponsor</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discounts paid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Placement Warrants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16,400,000</w:t>
            </w:r>
          </w:p>
        </w:tc>
        <w:tc>
          <w:tcPr>
            <w:tcW w:w="0" w:type="dxa"/>
            <w:vAlign w:val="bottom"/>
          </w:tcPr>
          <w:p>
            <w:pPr>
              <w:spacing w:after="0"/>
              <w:rPr>
                <w:sz w:val="1"/>
                <w:szCs w:val="1"/>
                <w:color w:val="auto"/>
              </w:rPr>
            </w:pP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advances from related parties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(776,346)</w:t>
            </w:r>
          </w:p>
        </w:tc>
        <w:tc>
          <w:tcPr>
            <w:tcW w:w="0" w:type="dxa"/>
            <w:vAlign w:val="bottom"/>
          </w:tcPr>
          <w:p>
            <w:pPr>
              <w:spacing w:after="0"/>
              <w:rPr>
                <w:sz w:val="1"/>
                <w:szCs w:val="1"/>
                <w:color w:val="auto"/>
              </w:rPr>
            </w:pPr>
          </w:p>
        </w:tc>
      </w:tr>
      <w:tr>
        <w:trPr>
          <w:trHeight w:val="224"/>
        </w:trPr>
        <w:tc>
          <w:tcPr>
            <w:tcW w:w="89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829,231,023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126,745</w:t>
            </w:r>
          </w:p>
        </w:tc>
        <w:tc>
          <w:tcPr>
            <w:tcW w:w="0" w:type="dxa"/>
            <w:vAlign w:val="bottom"/>
          </w:tcPr>
          <w:p>
            <w:pPr>
              <w:spacing w:after="0"/>
              <w:rPr>
                <w:sz w:val="1"/>
                <w:szCs w:val="1"/>
                <w:color w:val="auto"/>
              </w:rPr>
            </w:pPr>
          </w:p>
        </w:tc>
      </w:tr>
      <w:tr>
        <w:trPr>
          <w:trHeight w:val="218"/>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w:t>
            </w:r>
          </w:p>
        </w:tc>
        <w:tc>
          <w:tcPr>
            <w:tcW w:w="1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126,745</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classification of ordinary shares subject to possible redemption</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795,251,020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value of ordinary shares subject to possible redemption</w:t>
            </w: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(2,349,569</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Deferred underwriting fee</w:t>
            </w:r>
          </w:p>
        </w:tc>
        <w:tc>
          <w:tcPr>
            <w:tcW w:w="120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3"/>
              <w:spacing w:after="0" w:line="204" w:lineRule="exact"/>
              <w:rPr>
                <w:sz w:val="20"/>
                <w:szCs w:val="20"/>
                <w:color w:val="auto"/>
              </w:rPr>
            </w:pPr>
            <w:r>
              <w:rPr>
                <w:rFonts w:ascii="Times New Roman" w:cs="Times New Roman" w:eastAsia="Times New Roman" w:hAnsi="Times New Roman"/>
                <w:sz w:val="18"/>
                <w:szCs w:val="18"/>
                <w:color w:val="auto"/>
              </w:rPr>
              <w:t>28,980,000</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450" w:right="3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Capital Hedosophia Holdings Corp. III (the “Company”) is a blank check company incorporated as a Cayman Islands exempted company on</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October 18, 2019. The Company was formed for the purpose of effecting a merger, share exchange, asset acquisition, share purchase, reorganization or similar business combination with one or more businesses (a “Business Combination”).</w:t>
      </w:r>
    </w:p>
    <w:p>
      <w:pPr>
        <w:spacing w:after="0" w:line="186"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69"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8"/>
          <w:szCs w:val="18"/>
          <w:color w:val="auto"/>
        </w:rPr>
        <w:t>The Company has one subsidiary, Asclepius Merger Sub Inc., a wholly owned subsidiary of the Company incorporated in Delaware on October 1, 2020 (“Merger Sub”).</w:t>
      </w:r>
    </w:p>
    <w:p>
      <w:pPr>
        <w:spacing w:after="0" w:line="1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October 18, 2019 (inception) through September 30, 2020 relates to the Company’s formation, the initial public offering (“Initial Public Offering”), which is described below, and activities in connection with the search for a Business Combination, including the proposed acquisition of Clover Health Investments Corp., a Delaware corporation (“Clover”).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registration statements for the Company’s Initial Public Offering became effective on April 21, 2020. On April 24, 2020, the Company consummated the Initial Public Offering of 82,800,000 units (the “Units” and, with respect to the shares of Class A ordinary shares included in the Units sold, the “Public Shares”), which includes the full exercise by the underwriters of the over-allotment option to purchase an additional 10,800,000 Units, at $10.00 per Unit, generating gross proceeds of $828,000,000 which is described in Note 3.</w:t>
      </w:r>
    </w:p>
    <w:p>
      <w:pPr>
        <w:spacing w:after="0" w:line="18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10,933,333 warrants (the “Private Placement Warrants”) at a price of $1.50 per Private Placement Warrant in a private placement to SCH Sponsor III LLC (the “Sponsor”), generating gross proceeds of $16,400,000, which is described in Note 4.</w:t>
      </w:r>
    </w:p>
    <w:p>
      <w:pPr>
        <w:spacing w:after="0" w:line="1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Transaction costs amounted to $44,156,346 consisting of $14,400,000 of underwriting fees, $28,980,000 of deferred underwriting fees and $776,346 of other offering costs. In addition, at September 30, 2020, cash of $126,745 was held outside of the Trust Account, as defined below, and is available for working capital purposes.</w:t>
      </w:r>
    </w:p>
    <w:p>
      <w:pPr>
        <w:spacing w:after="0" w:line="17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Following the closing of the Initial Public Offering on April 24, 2020, an amount of $828,000,000 ($10.00 per Unit) from the net proceeds of the sale of the Units in the Initial Public Offering and the sale of the Private Placement Warrants was placed in a trust account (the “Trust Account”) located in the United States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meeting the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18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Company will provide the holders of the Public Shares (the “Public Shareholders”) with the opportunity to redeem all or a portion of their Public Shares upon the completion of the Business Combination, either (i) in</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00"/>
          </w:cols>
          <w:pgMar w:left="320" w:top="450" w:right="3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calculated as of two business days prior to the completion of a Business Combination, including any pro rata interest earned on the funds held in the Trust Account and not previously released to the Company to pay its tax obligations. The per-share amount to be distributed to the Public Shareholders who redeem their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193" w:lineRule="exact"/>
        <w:rPr>
          <w:sz w:val="20"/>
          <w:szCs w:val="20"/>
          <w:color w:val="auto"/>
        </w:rPr>
      </w:pPr>
    </w:p>
    <w:p>
      <w:pPr>
        <w:jc w:val="both"/>
        <w:ind w:right="280"/>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15% of the Public Shares without the Company’s prior written consent.</w:t>
      </w:r>
    </w:p>
    <w:p>
      <w:pPr>
        <w:spacing w:after="0" w:line="18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Memorandum and Articles of Association (i) to modify the substance or timing of the Company’s obligation to redeem 100% of the Public Shares if the Company does not complete a Business Combination within Combination Period (as defined below) or (ii) with respect to any other provision relating to shareholders’ rights or pre-initial business combination activity, unless the Company provides the public shareholders with the opportunity to redeem their Public Shares in conjunction with any such amendment.</w:t>
      </w:r>
    </w:p>
    <w:p>
      <w:pPr>
        <w:spacing w:after="0" w:line="176" w:lineRule="exact"/>
        <w:rPr>
          <w:sz w:val="20"/>
          <w:szCs w:val="20"/>
          <w:color w:val="auto"/>
        </w:rPr>
      </w:pPr>
    </w:p>
    <w:p>
      <w:pPr>
        <w:ind w:right="720"/>
        <w:spacing w:after="0" w:line="270" w:lineRule="auto"/>
        <w:rPr>
          <w:sz w:val="20"/>
          <w:szCs w:val="20"/>
          <w:color w:val="auto"/>
        </w:rPr>
      </w:pPr>
      <w:r>
        <w:rPr>
          <w:rFonts w:ascii="Times New Roman" w:cs="Times New Roman" w:eastAsia="Times New Roman" w:hAnsi="Times New Roman"/>
          <w:sz w:val="18"/>
          <w:szCs w:val="18"/>
          <w:color w:val="auto"/>
        </w:rPr>
        <w:t>The Company will have until April 24, 2022 (the “Combination Period”) to consummate a Business Combination. However, if the Company has not completed a Business Combination within the Combination</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00"/>
          </w:cols>
          <w:pgMar w:left="320" w:top="450" w:right="3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the rights of the Public Shareholders as shareholders (including the right to receive further liquidation distributions, if any), subject to applicable law,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In the event of a liquidation, the Public Shareholders will be entitled to receive a full pro rata interest in the Trust Account ($10.00 per share, plus any pro rata interest earned on the Trust Fund not previously released to the Company and less up to $100,000 of interest to pay dissolution expenses). There will be no redemption rights or liquidating distributions with respect to the Founder Shares or the Private Placement Warrants, which will expire worthless if the Company fails to complete a Business Combination within the Combination Period.</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In order to protect the amounts held in the Trust Account, 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w:t>
      </w:r>
    </w:p>
    <w:p>
      <w:pPr>
        <w:spacing w:after="0" w:line="2" w:lineRule="exact"/>
        <w:rPr>
          <w:sz w:val="20"/>
          <w:szCs w:val="20"/>
          <w:color w:val="auto"/>
        </w:rPr>
      </w:pPr>
    </w:p>
    <w:p>
      <w:pPr>
        <w:ind w:right="20" w:firstLine="6"/>
        <w:spacing w:after="0" w:line="245" w:lineRule="auto"/>
        <w:tabs>
          <w:tab w:leader="none" w:pos="24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had $126,745 in its operating bank accounts, $828,096,607 in securities held in the Trust Account to be used for a Business Combination or to repurchase or redeem its ordinary shares in connection therewith and working capital deficit of $1,215,153. As of September 30, 2020, approximately $97,000 of the amount on deposit in the Trust Account represented interest income.</w:t>
      </w:r>
    </w:p>
    <w:p>
      <w:pPr>
        <w:spacing w:after="0" w:line="1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7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color w:val="auto"/>
        </w:rPr>
        <w:t>On October 19, 2020, the Company issued an unsecured promissory note to the Sponsor (the “Promissory Note”), pursuant to which the Company may borrow up to an aggregate principal amount of $2,500,000 (see Note 9). On October 19, 2020, the Company borrowed $806,208 under the Promissory Note.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450" w:right="3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Company may need to raise additional capital through loans or additional investments from its Sponsor, officers, directors, or third parties. The Company’s officers, directors and Sponsor may, but are not obligated to, loan the Company additional funds, from time to time or at any time (other than pursuant to the Promissory Note),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for the next twelve months following the date from when the financial statements are issued. These financial statements do not include any adjustments relating to the recovery of the recorded assets or the classification of the liabilities that might be necessary should the Company be unable to continue as a going concern.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8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prospectus for its Initial Public Offering as filed with the SEC on April 23, 2020, as well as the Company’s Current Reports on Form 8-K, as filed with the SEC on April 24, 2020 and April 30, 2020. The interim results for the three and nine months ended September 30, 2020 are not necessarily indicative of the results to be expected for the year ending December 31, 2020 or for any future periods.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20"/>
          </w:cols>
          <w:pgMar w:left="320" w:top="450" w:right="3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the Company’s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Marketable Securities Held in Trust Account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the assets held in the Trust Account were primarily invested in money market funds, which invest in U.S. Treasury securities.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p>
      <w:pPr>
        <w:spacing w:after="0" w:line="11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condensed balance sheets.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450"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6"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 presented.</w:t>
      </w:r>
    </w:p>
    <w:p>
      <w:pPr>
        <w:spacing w:after="0" w:line="16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(“NOLs”)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p>
      <w:pPr>
        <w:spacing w:after="0" w:line="11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Net loss per ordinary share is computed by dividing net loss by the weighted average number of ordinary shares outstanding for the period. The Company applies the two-class method in calculating earnings per share. Ordinary shares subject to possible redemption at September 30, 2020, which are not currently redeemable and are not redeemable at fair value, have been excluded from the calculation of basic net loss per ordinary share since such shares, if redeemed, only participate in their pro rata share of the Trust Account earnings. The Company has not considered the effect of warrants sold in the Initial Public Offering and the private placement to purchase 38,533,271 ordinary shares in the calculation of diluted loss per share, since the exercise of the warrants into ordinary shares is contingent upon the occurrence of future events. As a result, diluted net loss per ordinary share is the same as basic net loss per ordinary share for the periods presented.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450"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Per Ordinary Share</w:t>
      </w:r>
    </w:p>
    <w:p>
      <w:pPr>
        <w:spacing w:after="0" w:line="112" w:lineRule="exact"/>
        <w:rPr>
          <w:sz w:val="20"/>
          <w:szCs w:val="20"/>
          <w:color w:val="auto"/>
        </w:rPr>
      </w:pPr>
    </w:p>
    <w:p>
      <w:pPr>
        <w:jc w:val="both"/>
        <w:ind w:right="640"/>
        <w:spacing w:after="0" w:line="258" w:lineRule="auto"/>
        <w:rPr>
          <w:sz w:val="20"/>
          <w:szCs w:val="20"/>
          <w:color w:val="auto"/>
        </w:rPr>
      </w:pPr>
      <w:r>
        <w:rPr>
          <w:rFonts w:ascii="Times New Roman" w:cs="Times New Roman" w:eastAsia="Times New Roman" w:hAnsi="Times New Roman"/>
          <w:sz w:val="18"/>
          <w:szCs w:val="18"/>
          <w:color w:val="auto"/>
        </w:rPr>
        <w:t>The Company’s net loss is adjusted for the portion of income that is attributable to ordinary shares subject to possible redemption, as these shares only participate in the earnings of the Trust Account and not the income or losses of the Company. Accordingly, basic and diluted loss per ordinary share is calculated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Three Months</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Nine Months</w:t>
            </w:r>
          </w:p>
        </w:tc>
        <w:tc>
          <w:tcPr>
            <w:tcW w:w="0" w:type="dxa"/>
            <w:vAlign w:val="bottom"/>
          </w:tcPr>
          <w:p>
            <w:pPr>
              <w:spacing w:after="0"/>
              <w:rPr>
                <w:sz w:val="1"/>
                <w:szCs w:val="1"/>
                <w:color w:val="auto"/>
              </w:rPr>
            </w:pPr>
          </w:p>
        </w:tc>
      </w:tr>
      <w:tr>
        <w:trPr>
          <w:trHeight w:val="145"/>
        </w:trPr>
        <w:tc>
          <w:tcPr>
            <w:tcW w:w="7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Ended</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Ended</w:t>
            </w:r>
          </w:p>
        </w:tc>
        <w:tc>
          <w:tcPr>
            <w:tcW w:w="0" w:type="dxa"/>
            <w:vAlign w:val="bottom"/>
          </w:tcPr>
          <w:p>
            <w:pPr>
              <w:spacing w:after="0"/>
              <w:rPr>
                <w:sz w:val="1"/>
                <w:szCs w:val="1"/>
                <w:color w:val="auto"/>
              </w:rPr>
            </w:pPr>
          </w:p>
        </w:tc>
      </w:tr>
      <w:tr>
        <w:trPr>
          <w:trHeight w:val="145"/>
        </w:trPr>
        <w:tc>
          <w:tcPr>
            <w:tcW w:w="7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68"/>
        </w:trPr>
        <w:tc>
          <w:tcPr>
            <w:tcW w:w="70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color w:val="auto"/>
                <w:w w:val="99"/>
              </w:rPr>
              <w:t>2020</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w w:val="99"/>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(2,293,004)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(2,349,569)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Less: Income attributable to ordinary shares subject to possible redemption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(30,986)</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(92,501)</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(2,323,990)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(2,442,070)</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23,986,724</w:t>
            </w: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20,157,288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182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04"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line="204"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1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accompanying condensed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1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1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the Initial Public Offering, the Company sold 82,800,000 Units, which includes the full exercise by the underwriter of its option to purchase an additional 10,800,000 Units, at a purchase price of $10.00 per Unit. Each Unit consists of one Class A ordinary share and one-third of one redeemable warrant (“Public Warrant”). Each whole Public Warrant entitles the holder to purchase one Class A ordinary share at an exercise price of $11.50 per whole share (see Note 7).</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450"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1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10,933,333 Private Placement Warrants at a price of $1.50 per Private Placement Warrant, for an aggregate purchase price of $16,400,000. Each Private Placement Warrant is exercisable for one Class A ordinary share at a price of $11.50 per share, subject to adjustment (see Note 7). The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1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October 2019, the Company issued one ordinary share to the Sponsor for no consideration. On January 21, 2020, the Company cancelled the one share issued in October 2019 and the Sponsor purchased 17,250,000 Founder Shares for an aggregate purchase price of $25,000. On April 21, 2020, the Company effected a share capitalization, resulting in 20,700,000 Founder Shares issued and outstanding as of such date. All share and per-share amounts have been retroactively restated to reflect the share capitalization. The Founder Shares will automatically convert into Class A ordinary shares on the first business day following the completion of a Business Combination, or earlier at the option of the holder, on a one-for-one basis, subject to certain adjustments, as described in Note 7.</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Founder Shares included an aggregate of up to 2,700,000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As a result of the underwriters’ election to fully exercise their over-allotment option, no Founder Shares are subject to forfeiture.</w:t>
      </w:r>
    </w:p>
    <w:p>
      <w:pPr>
        <w:spacing w:after="0" w:line="1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Sponsor has agreed, subject to limited exceptions, not to transfer, assign or sell any of its Class B ordinary shares or Class A ordinary shares received upon conversion thereof (together,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 — Related Party</w:t>
      </w:r>
    </w:p>
    <w:p>
      <w:pPr>
        <w:spacing w:after="0" w:line="11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Sponsor advanced the Company an aggregate of $17,631 to cover expenses related to the Initial Public Offering. The advances were non-interest bearing and due on demand. Advances in the aggregate amount of $17,631 were repaid in February 2020.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12"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On January 21, 2020, the Company issued an unsecured promissory note to the Sponsor, pursuant to which the Company borrowed an aggregate principal amount of $300,000. The note was non-interest bearing and payable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450" w:right="3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on the earlier of (i) June 30, 2020 and (ii) the completion of the Initial Public Offering. The borrowings outstanding under the note in the amount of $300,000 were repaid upon the consummation of the Initial Public Offering on April 24, 2020.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1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entered into an agreement whereby, commencing on April 21, 2020, the Company will pay an affiliate of the Sponsor up to $10,000 per month for office space, administrative and support services. Upon completion of a Business Combination or its liquidation, the Company will cease paying these monthly fees. For the three and nine months ended September 30, 2020, the Company incurred $30,000 and $50,000 of such fees. As of September 30, 2020, $50,000 is included in accrued expenses in the accompanying condensed balance sheets.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12"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(other than pursuant to the Promissory Note), loan the Company additional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April 21, 2020, the holders of the Founder Shares, Private Placement Warrants and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requiring the Company to register such securities for resale (in the case of the Founder Shares, only after conversion to the Company’s Class A ordinary shares).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termination of the applicable lock-up period. The Company will bear the expenses incurred in connection with the filing of any such registration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1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underwriters are entitled to a deferred fee of $0.35 per Unit, or $28,980,000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450" w:right="3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 Fee</w:t>
      </w:r>
    </w:p>
    <w:p>
      <w:pPr>
        <w:spacing w:after="0" w:line="1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underwriters agreed to reimburse the Company for an amount equal to 10% of the discount paid to the underwriters for financial advisory services provided by Connaught (UK) Limited in connection with the Initial Public Offering, of which $1,440,000 was paid at the closing of the Initial Public Offering and up to $2,898,000 will be payable at the time of the closing of a Business Combination.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10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Shares </w:t>
      </w:r>
      <w:r>
        <w:rPr>
          <w:rFonts w:ascii="Times New Roman" w:cs="Times New Roman" w:eastAsia="Times New Roman" w:hAnsi="Times New Roman"/>
          <w:sz w:val="18"/>
          <w:szCs w:val="18"/>
          <w:color w:val="auto"/>
        </w:rPr>
        <w:t>— The Company is authorized to issue 5,000,000 preference shares with a par value of $0.0001. The Company’s board of directors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September 30, 2020 and December 31, 2019, there were no preferred shares issued or outstanding.</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500,000,000 Class A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ordinary shares are entitled to one vote for each share. At September 30, 2020 and December 31, 2019, there were 3,519,105 and no Class A ordinary shares issued or outstanding, excluding 79,280,895 and no Class A ordinary shares subject to possible redemption, respectively.</w:t>
      </w:r>
    </w:p>
    <w:p>
      <w:pPr>
        <w:spacing w:after="0" w:line="17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50,000,000 Class B ordinary shares, with a par value of $0.0001 per share.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are entitled to one vote for each share. At September 30, 2020 and December 31, 2019, there were 20,700,000 and one Class B ordinary shares issued and outstanding, respectively.</w:t>
      </w:r>
    </w:p>
    <w:p>
      <w:pPr>
        <w:spacing w:after="0" w:line="177"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18"/>
          <w:szCs w:val="18"/>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completion of the Business Combination, or earlier at the option of the holder,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8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Public Warrants may only be exercised for a whole number of shares. No fractional shares will be issued upon exercise of the Public Warrants.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Public Warrants will become exercisable on the later of</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450" w:right="3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right="120" w:firstLine="6"/>
        <w:spacing w:after="0" w:line="270" w:lineRule="auto"/>
        <w:tabs>
          <w:tab w:leader="none" w:pos="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16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8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 Business Combination, it will use its commercially reasonable efforts to file with the SEC a registration statement registering the issuance, under the Securities Act, of the Class A ordinary shares issuable upon exercise of the Public Warrants. The Company will use it commercially reasonable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commercially reasonable efforts to qualify the shares under applicable blue sky laws to the extent an exemption is not available.</w:t>
      </w:r>
    </w:p>
    <w:p>
      <w:pPr>
        <w:spacing w:after="0" w:line="186"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$18.00. </w:t>
      </w:r>
      <w:r>
        <w:rPr>
          <w:rFonts w:ascii="Times New Roman" w:cs="Times New Roman" w:eastAsia="Times New Roman" w:hAnsi="Times New Roman"/>
          <w:sz w:val="18"/>
          <w:szCs w:val="18"/>
          <w:color w:val="auto"/>
        </w:rPr>
        <w:t>Once the Public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Public Warrants:</w:t>
      </w:r>
    </w:p>
    <w:p>
      <w:pPr>
        <w:spacing w:after="0" w:line="73" w:lineRule="exact"/>
        <w:rPr>
          <w:sz w:val="20"/>
          <w:szCs w:val="20"/>
          <w:color w:val="auto"/>
        </w:rPr>
      </w:pPr>
    </w:p>
    <w:p>
      <w:pPr>
        <w:ind w:left="1000" w:hanging="439"/>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23" w:lineRule="exact"/>
        <w:rPr>
          <w:rFonts w:ascii="Times New Roman" w:cs="Times New Roman" w:eastAsia="Times New Roman" w:hAnsi="Times New Roman"/>
          <w:sz w:val="18"/>
          <w:szCs w:val="18"/>
          <w:color w:val="auto"/>
        </w:rPr>
      </w:pPr>
    </w:p>
    <w:p>
      <w:pPr>
        <w:ind w:left="1000" w:hanging="439"/>
        <w:spacing w:after="0" w:line="253"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ordinary shares for any 20 trading days within a 30-trading day period ending on the third trading day prior to the date on which the Company sends the notice of redemption to the warrant holders (the “Reference Value”) equals or exceeds $18.00 per share (as adjusted for share splits, share dividends, rights issuances, subdivisions, reorganizations, recapitalizations and the like).</w:t>
      </w:r>
    </w:p>
    <w:p>
      <w:pPr>
        <w:spacing w:after="0" w:line="183"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$10.00. </w:t>
      </w:r>
      <w:r>
        <w:rPr>
          <w:rFonts w:ascii="Times New Roman" w:cs="Times New Roman" w:eastAsia="Times New Roman" w:hAnsi="Times New Roman"/>
          <w:sz w:val="18"/>
          <w:szCs w:val="18"/>
          <w:color w:val="auto"/>
        </w:rPr>
        <w:t>Once the Public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Public Warrants:</w:t>
      </w:r>
    </w:p>
    <w:p>
      <w:pPr>
        <w:spacing w:after="0" w:line="73" w:lineRule="exact"/>
        <w:rPr>
          <w:sz w:val="20"/>
          <w:szCs w:val="20"/>
          <w:color w:val="auto"/>
        </w:rPr>
      </w:pPr>
    </w:p>
    <w:p>
      <w:pPr>
        <w:ind w:left="1000" w:hanging="439"/>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3" w:lineRule="exact"/>
        <w:rPr>
          <w:rFonts w:ascii="Times New Roman" w:cs="Times New Roman" w:eastAsia="Times New Roman" w:hAnsi="Times New Roman"/>
          <w:sz w:val="18"/>
          <w:szCs w:val="18"/>
          <w:color w:val="auto"/>
        </w:rPr>
      </w:pPr>
    </w:p>
    <w:p>
      <w:pPr>
        <w:ind w:left="1000" w:right="80" w:hanging="439"/>
        <w:spacing w:after="0" w:line="258"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ordinary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450" w:right="3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1000" w:right="860" w:hanging="439"/>
        <w:spacing w:after="0" w:line="270"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share splits, share dividends, rights issuances, subdivisions, reorganizations, recapitalizations and the like); and</w:t>
      </w:r>
    </w:p>
    <w:p>
      <w:pPr>
        <w:spacing w:after="0" w:line="76" w:lineRule="exact"/>
        <w:rPr>
          <w:rFonts w:ascii="Times New Roman" w:cs="Times New Roman" w:eastAsia="Times New Roman" w:hAnsi="Times New Roman"/>
          <w:sz w:val="18"/>
          <w:szCs w:val="18"/>
          <w:color w:val="auto"/>
        </w:rPr>
      </w:pPr>
    </w:p>
    <w:p>
      <w:pPr>
        <w:ind w:left="1000" w:right="80" w:hanging="439"/>
        <w:spacing w:after="0" w:line="258"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7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6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prices described above will be adjusted (to the nearest cent) to be equal to 180% of the higher of the Market Value and the Newly Issued Price.</w:t>
      </w:r>
    </w:p>
    <w:p>
      <w:pPr>
        <w:spacing w:after="0" w:line="18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1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20"/>
          </w:cols>
          <w:pgMar w:left="320" w:top="450" w:right="3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94" w:lineRule="exact"/>
        <w:rPr>
          <w:sz w:val="20"/>
          <w:szCs w:val="20"/>
          <w:color w:val="auto"/>
        </w:rPr>
      </w:pPr>
    </w:p>
    <w:p>
      <w:pPr>
        <w:ind w:left="1440" w:right="40" w:hanging="977"/>
        <w:spacing w:after="0" w:line="270" w:lineRule="auto"/>
        <w:tabs>
          <w:tab w:leader="none" w:pos="14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6" w:lineRule="exact"/>
        <w:rPr>
          <w:sz w:val="20"/>
          <w:szCs w:val="20"/>
          <w:color w:val="auto"/>
        </w:rPr>
      </w:pPr>
    </w:p>
    <w:p>
      <w:pPr>
        <w:ind w:left="1440" w:right="480" w:hanging="977"/>
        <w:spacing w:after="0" w:line="270" w:lineRule="auto"/>
        <w:tabs>
          <w:tab w:leader="none" w:pos="14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76" w:lineRule="exact"/>
        <w:rPr>
          <w:sz w:val="20"/>
          <w:szCs w:val="20"/>
          <w:color w:val="auto"/>
        </w:rPr>
      </w:pPr>
    </w:p>
    <w:p>
      <w:pPr>
        <w:ind w:left="460"/>
        <w:spacing w:after="0"/>
        <w:tabs>
          <w:tab w:leader="none" w:pos="14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based on our assessment of the assumptions that market participants would use in pricing the asset or liability.</w:t>
      </w:r>
    </w:p>
    <w:p>
      <w:pPr>
        <w:spacing w:after="0" w:line="21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September 30, 2020 and indicates the fair value hierarchy of the valuation inputs the Company utilized to determine such fair value:</w:t>
      </w:r>
    </w:p>
    <w:p>
      <w:pPr>
        <w:spacing w:after="0" w:line="175"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Level</w:t>
            </w:r>
          </w:p>
        </w:tc>
        <w:tc>
          <w:tcPr>
            <w:tcW w:w="2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5"/>
        </w:trPr>
        <w:tc>
          <w:tcPr>
            <w:tcW w:w="756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40" w:type="dxa"/>
            <w:vAlign w:val="bottom"/>
            <w:gridSpan w:val="2"/>
          </w:tcPr>
          <w:p>
            <w:pPr>
              <w:jc w:val="right"/>
              <w:ind w:right="290"/>
              <w:spacing w:after="0" w:line="155" w:lineRule="exact"/>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69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$828,096,607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financial statements were issued. Based upon this review, other than as described below, the Company did not identify any subsequent events that would have required adjustment or disclosure in the condensed financial statements.</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19, 2020, the Company issued an unsecured promissory note to the Sponsor (the “Promissory Note”), pursuant to which the Company may borrow up to an aggregate principal amount of $2,500,000. The Promissory Note is non-interest bearing and payable on the earlier of (i) April 24, 2022 and (ii) the completion of the Business Combination. On October 19, 2020, the Company borrowed $806,208 under the Promissory Note.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5, 2020, the Company entered into an Agreement and Plan of Merger (the “Merger Agreement”) with Merger Sub and Clover.</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transactions contemplated by the terms of the Merger Agreement (the “Closing”), and subject to the satisfaction or waiver of certain conditions set forth therein, (i) Merger Sub will merge with and into Clover, with Clover surviving the merger and as a wholly owned subsidiary of the Company (the “First Merger”) and (ii) Clover will merge with and into the Company, with the Company surviving the merger (together with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450" w:right="3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right="940"/>
        <w:spacing w:after="0" w:line="270" w:lineRule="auto"/>
        <w:rPr>
          <w:sz w:val="20"/>
          <w:szCs w:val="20"/>
          <w:color w:val="auto"/>
        </w:rPr>
      </w:pPr>
      <w:r>
        <w:rPr>
          <w:rFonts w:ascii="Times New Roman" w:cs="Times New Roman" w:eastAsia="Times New Roman" w:hAnsi="Times New Roman"/>
          <w:sz w:val="18"/>
          <w:szCs w:val="18"/>
          <w:color w:val="auto"/>
        </w:rPr>
        <w:t>First Merger, the “Mergers”) (the transactions contemplated by the Merger Agreement and the related ancillary agreements, the “ Clover Business Combination”).</w:t>
      </w:r>
    </w:p>
    <w:p>
      <w:pPr>
        <w:spacing w:after="0" w:line="1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As a result of the Mergers, among other things, (i) all outstanding shares of common stock of Clover immediately prior to the effective time of the First Merger will be cancelled in exchange for the right to receive, at the election of the holders thereof (except with respect to the shares held by entities controlled by Vivek Garipalli and certain other holders who will receive only shares of Class B common stock, par value $0.0001 per share, which will be entitled to 10 votes per share (the “Class B Common Stock”)), an amount in cash, shares of Class B Common Stock, or a combination thereof, as adjusted in accordance with the Merger Agreement, which in the aggregate will equal an amount in cash of up to $500,000,000 (less any redemptions by the Company’s public shareholders) and a number of shares of Class B Common Stock equal to (A) 350,000,000 minus (B) the aggregate amount of Class B Common Stock to be paid in respect of the shares held by entities controlled by Vivek Garipalli and certain other holders, minus (C) the aggregate amount of Class B Common Stock that would be issuable upon the net exercise or conversion, as applicable, of the employee equity awards of the combined company immediately after the effective time of the First Merger, minus (D) the quotient obtained by dividing (x) the total cash consideration by (y) $10.00; (ii) all outstanding shares of Clover held by entities controlled by Vivek Garipalli and certain other holders immediately prior to the effective time of the First Merger will be cancelled in exchange for the right to receive shares of Class B Common Stock based on the Exchange Ratio (as defined in the Merger Agreement); and (iii) all shares of common stock of Clover reserved in respect of the employee equity awards of Clover outstanding as of immediately prior to the effective time of the First Merger, will be converted, based on the Exchange Ratio, into awards based on shares of Class B Common Stock, which will, in the case of all shares described in clauses (i), (ii) and (iii) hereof, in the aggregate equal an aggregate merger consideration of $3,500,000,000.</w:t>
      </w:r>
    </w:p>
    <w:p>
      <w:pPr>
        <w:spacing w:after="0" w:line="18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Prior to the Closing, subject to the approval of the Company’s shareholders, and in accordance with the General Corporation Law of the State of Delaware (the “DGCL”), Cayman Islands Companies Law (2020 Revision) (the “CICL”) and the Company’s Amended and Restated Memorandum and Articles of Association (as may be amended from time to time, the “Cayman Constitutional Documents”), the Company will effect a deregistration under the CICL and a domestication under Section 388 of the DGCL (by means of filing a certificate of domestication with the Secretary of State of Delaware), pursuant to which the Company’s jurisdiction of incorporation will be changed from the Cayman Islands to the State of Delaware (the “Domestication”).</w:t>
      </w:r>
    </w:p>
    <w:p>
      <w:pPr>
        <w:spacing w:after="0" w:line="18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In connection with the Domestication, (i) each of the then issued and outstanding Class A ordinary shares, par value $0.0001 per share, of the Company (the “Class A Ordinary Shares”), will convert automatically, on a one-for-one basis, into a share of Class A common stock, par value $0.0001 per share, of the Company (after its Domestication) (the “Class A Common Stock”, and together with the Class B Common Stock, the “Common Stock”), which will be entitled to one vote per share, (ii) each of the then issued and outstanding Class B ordinary shares, par value $0.0001 per share, of the Company, will convert automatically, on a one-for-one basis, into a share of Class A Common Stock, (iii) each then issued and outstanding warrant of the Company will convert automatically into a warrant to acquire one share of Class A Common Stock (“Domesticated Warrant”), pursuant to the Warrant Agreement, dated April 21, 2020, between the Company and Continental Stock Transfer &amp; Trust Company, as warrant agent, and (iv) each then issued and outstanding unit of the Company that has not been previously separated into the underlying Class A Ordinary Share and underlying warrant of the Company upon the request of the holder thereof, will be cancelled and will entitle the holder thereof to one share of Class A Common Stock and one-third of one Domesticated Warrant.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Clover Business Combination will be consummated subject to certain conditions as further described in the Merger Agreement.</w:t>
      </w:r>
    </w:p>
    <w:p>
      <w:pPr>
        <w:spacing w:after="0" w:line="1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450"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On October 29, 2020, Paul Chaplin, a purported stockholder of the Company, filed a lawsuit in the Supreme Court of the State of New York, County of New York, captioned Paul Chaplin v. Social Capital Hedosophia Holdings Corp. III, et al., case number 655802/2020, against the Company and the members of its board of directors (the “Chaplin Complaint”). The Chaplin Complaint asserts a breach of fiduciary duty claim against the individual defendants and an aiding and abetting claim against the Company in connection with the proposed business combination. The Chaplin Complaint alleges, among other things, that (i) defendants engaged in a flawed and unfair sales process and agreed to inadequate consideration in connection with the proposed Business Combination, and</w:t>
      </w:r>
    </w:p>
    <w:p>
      <w:pPr>
        <w:spacing w:after="0" w:line="4" w:lineRule="exact"/>
        <w:rPr>
          <w:sz w:val="20"/>
          <w:szCs w:val="20"/>
          <w:color w:val="auto"/>
        </w:rPr>
      </w:pPr>
    </w:p>
    <w:p>
      <w:pPr>
        <w:ind w:firstLine="6"/>
        <w:spacing w:after="0" w:line="247" w:lineRule="auto"/>
        <w:tabs>
          <w:tab w:leader="none" w:pos="2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Registration Statement on Form S-4 filed with the SEC on October 20, 2020 in connection with the proposed Business Combination is materially misleading and incomplete. The Chaplin Complaint seeks, among other things, to enjoin the proposed Business Combination, rescind the transaction or award rescissory damages to the extent it is consummated, and an award of attorneys’ fees and expenses.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60"/>
          </w:cols>
          <w:pgMar w:left="320" w:top="450" w:right="41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 and the Board of Directors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Capital Hedosophia Holdings Corp. III</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2"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balance sheet of Social Capital Hedosophia Holdings Corp. III (the “Company”) as of December 31, 2019 and the related statements of operations, changes in shareholder’s deficit and cash flows for the period from October 18,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October 18, 2019 (inception) through December 31, 2019, in conformity with accounting principles generally accepted in the United States of America.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12"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Company’s business plan is dependent on the completion of financing, and the Company’s cash and working capital as of December 31, 2019 are not sufficient to complete its planned activities.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2"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2020, except for Note 8 as to which the date is April 23, 2020</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80"/>
          </w:cols>
          <w:pgMar w:left="320" w:top="450" w:right="39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0"/>
        </w:trPr>
        <w:tc>
          <w:tcPr>
            <w:tcW w:w="98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02"/>
        </w:trPr>
        <w:tc>
          <w:tcPr>
            <w:tcW w:w="9840" w:type="dxa"/>
            <w:vAlign w:val="bottom"/>
          </w:tcPr>
          <w:p>
            <w:pPr>
              <w:jc w:val="center"/>
              <w:ind w:left="1312"/>
              <w:spacing w:after="0"/>
              <w:rPr>
                <w:sz w:val="20"/>
                <w:szCs w:val="20"/>
                <w:color w:val="auto"/>
              </w:rPr>
            </w:pPr>
            <w:r>
              <w:rPr>
                <w:rFonts w:ascii="Times New Roman" w:cs="Times New Roman" w:eastAsia="Times New Roman" w:hAnsi="Times New Roman"/>
                <w:sz w:val="18"/>
                <w:szCs w:val="18"/>
                <w:b w:val="1"/>
                <w:bCs w:val="1"/>
                <w:color w:val="auto"/>
                <w:w w:val="97"/>
              </w:rPr>
              <w:t>SOCIAL CAPITAL HEDOSOPHIA HOLDINGS CORP. III</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984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1"/>
        </w:trPr>
        <w:tc>
          <w:tcPr>
            <w:tcW w:w="9840" w:type="dxa"/>
            <w:vAlign w:val="bottom"/>
          </w:tcPr>
          <w:p>
            <w:pPr>
              <w:jc w:val="center"/>
              <w:ind w:left="1312"/>
              <w:spacing w:after="0"/>
              <w:rPr>
                <w:sz w:val="20"/>
                <w:szCs w:val="20"/>
                <w:color w:val="auto"/>
              </w:rPr>
            </w:pPr>
            <w:r>
              <w:rPr>
                <w:rFonts w:ascii="Times New Roman" w:cs="Times New Roman" w:eastAsia="Times New Roman" w:hAnsi="Times New Roman"/>
                <w:sz w:val="18"/>
                <w:szCs w:val="18"/>
                <w:b w:val="1"/>
                <w:bCs w:val="1"/>
                <w:color w:val="auto"/>
                <w:w w:val="97"/>
              </w:rPr>
              <w:t>DECEMBER 31, 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9"/>
        </w:trPr>
        <w:tc>
          <w:tcPr>
            <w:tcW w:w="9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2"/>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 — cash</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100,346</w:t>
            </w:r>
          </w:p>
        </w:tc>
      </w:tr>
      <w:tr>
        <w:trPr>
          <w:trHeight w:val="218"/>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100,346</w:t>
            </w:r>
          </w:p>
        </w:tc>
        <w:tc>
          <w:tcPr>
            <w:tcW w:w="12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98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2"/>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9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offering costs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100,346</w:t>
            </w:r>
          </w:p>
        </w:tc>
      </w:tr>
      <w:tr>
        <w:trPr>
          <w:trHeight w:val="212"/>
        </w:trPr>
        <w:tc>
          <w:tcPr>
            <w:tcW w:w="9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from related party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17,631</w:t>
            </w:r>
          </w:p>
        </w:tc>
      </w:tr>
      <w:tr>
        <w:trPr>
          <w:trHeight w:val="212"/>
        </w:trPr>
        <w:tc>
          <w:tcPr>
            <w:tcW w:w="9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117,977</w:t>
            </w:r>
          </w:p>
        </w:tc>
        <w:tc>
          <w:tcPr>
            <w:tcW w:w="120" w:type="dxa"/>
            <w:vAlign w:val="bottom"/>
          </w:tcPr>
          <w:p>
            <w:pPr>
              <w:spacing w:after="0"/>
              <w:rPr>
                <w:sz w:val="19"/>
                <w:szCs w:val="19"/>
                <w:color w:val="auto"/>
              </w:rPr>
            </w:pPr>
          </w:p>
        </w:tc>
      </w:tr>
      <w:tr>
        <w:trPr>
          <w:trHeight w:val="212"/>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$0.0001 par value; 5,000,000 shares authorized; none outstanding as of December 31, 2019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$0.0001 par value; 500,000,000 shares authorized; none outstanding as of December 31, 2019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$0.0001 par value; 50,000,000 shares authorized; 1 share issued and outstanding as of December 31, 2019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(17,631)</w:t>
            </w:r>
          </w:p>
        </w:tc>
      </w:tr>
      <w:tr>
        <w:trPr>
          <w:trHeight w:val="224"/>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(17,631)</w:t>
            </w:r>
          </w:p>
        </w:tc>
        <w:tc>
          <w:tcPr>
            <w:tcW w:w="120" w:type="dxa"/>
            <w:vAlign w:val="bottom"/>
          </w:tcPr>
          <w:p>
            <w:pPr>
              <w:spacing w:after="0"/>
              <w:rPr>
                <w:sz w:val="19"/>
                <w:szCs w:val="19"/>
                <w:color w:val="auto"/>
              </w:rPr>
            </w:pPr>
          </w:p>
        </w:tc>
      </w:tr>
      <w:tr>
        <w:trPr>
          <w:trHeight w:val="212"/>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100,346</w:t>
            </w:r>
          </w:p>
        </w:tc>
      </w:tr>
      <w:tr>
        <w:trPr>
          <w:trHeight w:val="20"/>
        </w:trPr>
        <w:tc>
          <w:tcPr>
            <w:tcW w:w="9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450" w:right="3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0"/>
        </w:trPr>
        <w:tc>
          <w:tcPr>
            <w:tcW w:w="102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2"/>
        </w:trPr>
        <w:tc>
          <w:tcPr>
            <w:tcW w:w="10220" w:type="dxa"/>
            <w:vAlign w:val="bottom"/>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7"/>
              </w:rPr>
              <w:t>SOCIAL CAPITAL HEDOSOPHIA HOLDINGS CORP. III</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20" w:type="dxa"/>
            <w:vAlign w:val="bottom"/>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6"/>
              </w:rPr>
              <w:t>STATEMENT OF OPERATIONS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220" w:type="dxa"/>
            <w:vAlign w:val="bottom"/>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7"/>
              </w:rPr>
              <w:t>FOR THE PERIOD FROM OCTOBER 18, 2019</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220" w:type="dxa"/>
            <w:vAlign w:val="bottom"/>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7"/>
              </w:rPr>
              <w:t>(INCEPTION) THROUGH DECEMBER 31, 2019</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0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(17,631</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20"/>
        </w:trPr>
        <w:tc>
          <w:tcPr>
            <w:tcW w:w="10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2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220" w:type="dxa"/>
            <w:vAlign w:val="bottom"/>
            <w:vMerge w:val="continue"/>
          </w:tcPr>
          <w:p>
            <w:pPr>
              <w:spacing w:after="0"/>
              <w:rPr>
                <w:sz w:val="17"/>
                <w:szCs w:val="17"/>
                <w:color w:val="auto"/>
              </w:rPr>
            </w:pPr>
          </w:p>
        </w:tc>
        <w:tc>
          <w:tcPr>
            <w:tcW w:w="1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(17,631</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20"/>
        </w:trPr>
        <w:tc>
          <w:tcPr>
            <w:tcW w:w="10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450" w:right="3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PERIOD FROM OCTOBER 18, 2019</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9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64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82"/>
        </w:trPr>
        <w:tc>
          <w:tcPr>
            <w:tcW w:w="4920" w:type="dxa"/>
            <w:vAlign w:val="bottom"/>
          </w:tcPr>
          <w:p>
            <w:pPr>
              <w:spacing w:after="0"/>
              <w:rPr>
                <w:sz w:val="6"/>
                <w:szCs w:val="6"/>
                <w:color w:val="auto"/>
              </w:rPr>
            </w:pPr>
          </w:p>
        </w:tc>
        <w:tc>
          <w:tcPr>
            <w:tcW w:w="1960" w:type="dxa"/>
            <w:vAlign w:val="bottom"/>
            <w:tcBorders>
              <w:bottom w:val="single" w:sz="8" w:color="auto"/>
            </w:tcBorders>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Paid in</w:t>
            </w:r>
          </w:p>
        </w:tc>
        <w:tc>
          <w:tcPr>
            <w:tcW w:w="640" w:type="dxa"/>
            <w:vAlign w:val="bottom"/>
          </w:tcPr>
          <w:p>
            <w:pPr>
              <w:spacing w:after="0"/>
              <w:rPr>
                <w:sz w:val="6"/>
                <w:szCs w:val="6"/>
                <w:color w:val="auto"/>
              </w:rPr>
            </w:pPr>
          </w:p>
        </w:tc>
        <w:tc>
          <w:tcPr>
            <w:tcW w:w="1180" w:type="dxa"/>
            <w:vAlign w:val="bottom"/>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6"/>
                <w:szCs w:val="6"/>
                <w:color w:val="auto"/>
              </w:rPr>
            </w:pPr>
          </w:p>
        </w:tc>
        <w:tc>
          <w:tcPr>
            <w:tcW w:w="94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48"/>
        </w:trPr>
        <w:tc>
          <w:tcPr>
            <w:tcW w:w="4920" w:type="dxa"/>
            <w:vAlign w:val="bottom"/>
          </w:tcPr>
          <w:p>
            <w:pPr>
              <w:spacing w:after="0"/>
              <w:rPr>
                <w:sz w:val="4"/>
                <w:szCs w:val="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5"/>
        </w:trPr>
        <w:tc>
          <w:tcPr>
            <w:tcW w:w="49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Balance — October 18, 2019 (inception)</w:t>
            </w:r>
          </w:p>
        </w:tc>
        <w:tc>
          <w:tcPr>
            <w:tcW w:w="4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ind w:left="36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ind w:left="3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ind w:left="40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shd w:val="clear" w:color="auto" w:fill="CCEEFF"/>
          </w:tcPr>
          <w:p>
            <w:pPr>
              <w:ind w:left="440"/>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ordinary share</w:t>
            </w:r>
          </w:p>
        </w:tc>
        <w:tc>
          <w:tcPr>
            <w:tcW w:w="4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(17,631)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1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84"/>
              </w:rPr>
              <w:t>(17,631)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84"/>
              </w:rPr>
              <w:t>(17,631)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450" w:right="3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2"/>
        </w:trPr>
        <w:tc>
          <w:tcPr>
            <w:tcW w:w="9180" w:type="dxa"/>
            <w:vAlign w:val="bottom"/>
          </w:tcPr>
          <w:p>
            <w:pPr>
              <w:jc w:val="center"/>
              <w:ind w:left="1972"/>
              <w:spacing w:after="0"/>
              <w:rPr>
                <w:sz w:val="20"/>
                <w:szCs w:val="20"/>
                <w:color w:val="auto"/>
              </w:rPr>
            </w:pPr>
            <w:r>
              <w:rPr>
                <w:rFonts w:ascii="Times New Roman" w:cs="Times New Roman" w:eastAsia="Times New Roman" w:hAnsi="Times New Roman"/>
                <w:sz w:val="18"/>
                <w:szCs w:val="18"/>
                <w:b w:val="1"/>
                <w:bCs w:val="1"/>
                <w:color w:val="auto"/>
                <w:w w:val="97"/>
              </w:rPr>
              <w:t>SOCIAL CAPITAL HEDOSOPHIA HOLDINGS CORP. III</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9180" w:type="dxa"/>
            <w:vAlign w:val="bottom"/>
          </w:tcPr>
          <w:p>
            <w:pPr>
              <w:jc w:val="center"/>
              <w:ind w:left="1992"/>
              <w:spacing w:after="0"/>
              <w:rPr>
                <w:sz w:val="20"/>
                <w:szCs w:val="20"/>
                <w:color w:val="auto"/>
              </w:rPr>
            </w:pPr>
            <w:r>
              <w:rPr>
                <w:rFonts w:ascii="Times New Roman" w:cs="Times New Roman" w:eastAsia="Times New Roman" w:hAnsi="Times New Roman"/>
                <w:sz w:val="18"/>
                <w:szCs w:val="18"/>
                <w:b w:val="1"/>
                <w:bCs w:val="1"/>
                <w:color w:val="auto"/>
                <w:w w:val="96"/>
              </w:rPr>
              <w:t>STATEMENT OF CASH FLOWS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180" w:type="dxa"/>
            <w:vAlign w:val="bottom"/>
          </w:tcPr>
          <w:p>
            <w:pPr>
              <w:jc w:val="center"/>
              <w:ind w:left="1972"/>
              <w:spacing w:after="0"/>
              <w:rPr>
                <w:sz w:val="20"/>
                <w:szCs w:val="20"/>
                <w:color w:val="auto"/>
              </w:rPr>
            </w:pPr>
            <w:r>
              <w:rPr>
                <w:rFonts w:ascii="Times New Roman" w:cs="Times New Roman" w:eastAsia="Times New Roman" w:hAnsi="Times New Roman"/>
                <w:sz w:val="18"/>
                <w:szCs w:val="18"/>
                <w:b w:val="1"/>
                <w:bCs w:val="1"/>
                <w:color w:val="auto"/>
                <w:w w:val="97"/>
              </w:rPr>
              <w:t>FOR THE PERIOD FROM OCTOBER 18, 2019</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180" w:type="dxa"/>
            <w:vAlign w:val="bottom"/>
          </w:tcPr>
          <w:p>
            <w:pPr>
              <w:jc w:val="center"/>
              <w:ind w:left="1972"/>
              <w:spacing w:after="0"/>
              <w:rPr>
                <w:sz w:val="20"/>
                <w:szCs w:val="20"/>
                <w:color w:val="auto"/>
              </w:rPr>
            </w:pPr>
            <w:r>
              <w:rPr>
                <w:rFonts w:ascii="Times New Roman" w:cs="Times New Roman" w:eastAsia="Times New Roman" w:hAnsi="Times New Roman"/>
                <w:sz w:val="18"/>
                <w:szCs w:val="18"/>
                <w:b w:val="1"/>
                <w:bCs w:val="1"/>
                <w:color w:val="auto"/>
                <w:w w:val="97"/>
              </w:rPr>
              <w:t>(INCEPTION) THROUGH DECEMBER 31, 2019</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6"/>
        </w:trPr>
        <w:tc>
          <w:tcPr>
            <w:tcW w:w="9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(17,631)</w:t>
            </w:r>
          </w:p>
        </w:tc>
        <w:tc>
          <w:tcPr>
            <w:tcW w:w="0" w:type="dxa"/>
            <w:vAlign w:val="bottom"/>
          </w:tcPr>
          <w:p>
            <w:pPr>
              <w:spacing w:after="0"/>
              <w:rPr>
                <w:sz w:val="1"/>
                <w:szCs w:val="1"/>
                <w:color w:val="auto"/>
              </w:rPr>
            </w:pPr>
          </w:p>
        </w:tc>
      </w:tr>
      <w:tr>
        <w:trPr>
          <w:trHeight w:val="218"/>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Class B ordinary shares to Sponsor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offering costs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100,346</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450" w:right="3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Plan of Business Operations</w:t>
      </w:r>
    </w:p>
    <w:p>
      <w:pPr>
        <w:spacing w:after="0" w:line="112"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Social Capital Hedosophia Holdings Corp. III (the “Company”) is a newly incorporated blank check company incorporated as a Cayman Islands exempted company on October 18, 2019. The Company was formed for the purpose of effecting a merger, share exchange, asset acquisition, share purchase, reorganization or similar business combination with one or more businesses (a “Business Combination”).</w:t>
      </w:r>
    </w:p>
    <w:p>
      <w:pPr>
        <w:spacing w:after="0" w:line="179" w:lineRule="exact"/>
        <w:rPr>
          <w:sz w:val="20"/>
          <w:szCs w:val="20"/>
          <w:color w:val="auto"/>
        </w:rPr>
      </w:pPr>
    </w:p>
    <w:p>
      <w:pPr>
        <w:jc w:val="both"/>
        <w:ind w:right="80" w:firstLine="449"/>
        <w:spacing w:after="0" w:line="258" w:lineRule="auto"/>
        <w:rPr>
          <w:sz w:val="20"/>
          <w:szCs w:val="20"/>
          <w:color w:val="auto"/>
        </w:rPr>
      </w:pPr>
      <w:r>
        <w:rPr>
          <w:rFonts w:ascii="Times New Roman" w:cs="Times New Roman" w:eastAsia="Times New Roman" w:hAnsi="Times New Roman"/>
          <w:sz w:val="18"/>
          <w:szCs w:val="18"/>
          <w:color w:val="auto"/>
        </w:rPr>
        <w:t>Although the Company is not limited to a particular industry or sector for purposes of consummating a Business Combination, the Company intends to focus on businesses in the technology industries primarily located in the United States. The Company is an early stage and emerging growth company and, as such, the Company is subject to all of the risks associated with early stage and emerging growth companies.</w:t>
      </w:r>
    </w:p>
    <w:p>
      <w:pPr>
        <w:spacing w:after="0" w:line="179"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As of December 31, 2019, the Company had not commenced any operations. All activity for the period from October 18, 2019 (inception) through December 31, 2019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85" w:lineRule="exact"/>
        <w:rPr>
          <w:sz w:val="20"/>
          <w:szCs w:val="20"/>
          <w:color w:val="auto"/>
        </w:rPr>
      </w:pPr>
    </w:p>
    <w:p>
      <w:pPr>
        <w:ind w:firstLine="449"/>
        <w:spacing w:after="0" w:line="269" w:lineRule="auto"/>
        <w:rPr>
          <w:sz w:val="20"/>
          <w:szCs w:val="20"/>
          <w:color w:val="auto"/>
        </w:rPr>
      </w:pPr>
      <w:r>
        <w:rPr>
          <w:rFonts w:ascii="Times New Roman" w:cs="Times New Roman" w:eastAsia="Times New Roman" w:hAnsi="Times New Roman"/>
          <w:sz w:val="17"/>
          <w:szCs w:val="17"/>
          <w:color w:val="auto"/>
        </w:rPr>
        <w:t>The Company’s ability to commence operations is contingent upon obtaining adequate financial resources through a Proposed Public Offering of 72,000,000 units (the “Units” and, with respect to the Class A ordinary shares included in the Units being offered, the “Public Shares”) at $10.00 per unit (or 82.800,000 Units if the underwriters’ over-allotment option is exercised in full), which is discussed in Note 3 and the sale of 10,933,333 warrants (the “Private Placement Warrants”) at a price of $1.50 per Private Placement Warrant in a private placement to the Company’s sponsor, SCH Sponsor III LLC (f/k/a SCH Sponsor Corp. III), a Cayman Islands limited liability company (the “Sponsor”), that will close simultaneously with the Proposed Public Offering.</w:t>
      </w:r>
    </w:p>
    <w:p>
      <w:pPr>
        <w:spacing w:after="0" w:line="174"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New York Stock Exchange rules require that the Business Combination must be with one or more operating businesses or assets with a fair market value equal to at least 80% of the net assets held in the Trust Account (as defined below) (net of amounts disbursed to management for working capital purposes, if permitted, and excluding the amount of any deferred underwriting discount).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proceeds of the sale of the Private Placement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176"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The Company will provide the holders of the public shares (the “Public Shareholders”) with the opportunity to redeem all or a portion of their public shares upon the completion of the Business Combination, either (i) in</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80"/>
          </w:cols>
          <w:pgMar w:left="320" w:top="450" w:right="39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the Public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89"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The Class A ordinary shares will be recorded at redemption value and classified as temporary equity upon the completion of the Proposed Public Offering, in accordance with Accounting Standards Codification (“ASC”) Topic 480 “Distinguishing Liabilities from Equity.” 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and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Proposed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190"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185"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Memorandum of Articles of Association (i) to modify the substance or timing of the Company’s obligation to redeem 100% of the Public Shares if the Company does not complete a Business Combination within Combination Period or (ii) with respect to any other provision relating to shareholders’ rights or pre-initial business combination activity, unless the Company provides the public shareholders with the opportunity to redeem their Public Shares in conjunction with any such amendment.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20"/>
          </w:cols>
          <w:pgMar w:left="320" w:top="450" w:right="35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4"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The Company will have until 24 months from the closing of the Proposed Public Offering to consummate a Business Combination. However, if the Company has not completed a Business Combination within 24 months of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the rights of the Public Shareholders as shareholders (including the right to receive further liquidation distributions, if any), subject to applicable law,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In the event of a liquidation, the Public Shareholders will be entitled to receive a full pro rata interest in the Trust Account (initially anticipated to be approximately $10.00 per share, plus any pro rata interest earned on the Trust Fund not previously released to the Company and less up to $100,000 of interest to pay dissolution expenses). There will be no redemption rights or liquidating distributions with respect to the Founder Shares or the Private Placement Warrants, which will expire worthless if the Company fails to complete a Business Combination within the Combination Period.</w:t>
      </w:r>
    </w:p>
    <w:p>
      <w:pPr>
        <w:spacing w:after="0" w:line="192" w:lineRule="exact"/>
        <w:rPr>
          <w:sz w:val="20"/>
          <w:szCs w:val="20"/>
          <w:color w:val="auto"/>
        </w:rPr>
      </w:pPr>
    </w:p>
    <w:p>
      <w:pPr>
        <w:ind w:firstLine="449"/>
        <w:spacing w:after="0" w:line="263" w:lineRule="auto"/>
        <w:rPr>
          <w:sz w:val="20"/>
          <w:szCs w:val="20"/>
          <w:color w:val="auto"/>
        </w:rPr>
      </w:pPr>
      <w:r>
        <w:rPr>
          <w:rFonts w:ascii="Times New Roman" w:cs="Times New Roman" w:eastAsia="Times New Roman" w:hAnsi="Times New Roman"/>
          <w:sz w:val="17"/>
          <w:szCs w:val="17"/>
          <w:color w:val="auto"/>
        </w:rPr>
        <w:t>In order to protect the amounts held in the Trust Account, 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12" w:lineRule="exact"/>
        <w:rPr>
          <w:sz w:val="20"/>
          <w:szCs w:val="20"/>
          <w:color w:val="auto"/>
        </w:rPr>
      </w:pPr>
    </w:p>
    <w:p>
      <w:pPr>
        <w:ind w:right="140" w:firstLine="449"/>
        <w:spacing w:after="0" w:line="269" w:lineRule="auto"/>
        <w:rPr>
          <w:sz w:val="20"/>
          <w:szCs w:val="20"/>
          <w:color w:val="auto"/>
        </w:rPr>
      </w:pPr>
      <w:r>
        <w:rPr>
          <w:rFonts w:ascii="Times New Roman" w:cs="Times New Roman" w:eastAsia="Times New Roman" w:hAnsi="Times New Roman"/>
          <w:sz w:val="17"/>
          <w:szCs w:val="17"/>
          <w:color w:val="auto"/>
        </w:rPr>
        <w:t>At December 31, 2019, the Company had $0 in cash and a working capital deficit of $117,977.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or successful within the Combination Period. The financial statements do not include any adjustments that might result from the outcome of this uncertainty.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450"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4"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(“US GAAP”) and pursuant to the accounting and disclosure rules and regulations of the SEC.</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14" w:lineRule="exact"/>
        <w:rPr>
          <w:sz w:val="20"/>
          <w:szCs w:val="20"/>
          <w:color w:val="auto"/>
        </w:rPr>
      </w:pPr>
    </w:p>
    <w:p>
      <w:pPr>
        <w:ind w:right="200" w:firstLine="449"/>
        <w:spacing w:after="0" w:line="250"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4"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4" w:lineRule="exact"/>
        <w:rPr>
          <w:sz w:val="20"/>
          <w:szCs w:val="20"/>
          <w:color w:val="auto"/>
        </w:rPr>
      </w:pPr>
    </w:p>
    <w:p>
      <w:pPr>
        <w:ind w:right="580" w:firstLine="449"/>
        <w:spacing w:after="0" w:line="270"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2019.</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20"/>
          </w:cols>
          <w:pgMar w:left="320" w:top="450" w:right="35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14"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underwriting, legal, accounting and other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incurred, will be charged to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4"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5"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6"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14"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ordinary shares outstanding during the period, excluding ordinary shares subject to forfeiture. At December 31, 2019,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4" w:lineRule="exact"/>
        <w:rPr>
          <w:sz w:val="20"/>
          <w:szCs w:val="20"/>
          <w:color w:val="auto"/>
        </w:rPr>
      </w:pPr>
    </w:p>
    <w:p>
      <w:pPr>
        <w:ind w:right="220" w:firstLine="44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4" w:lineRule="exact"/>
        <w:rPr>
          <w:sz w:val="20"/>
          <w:szCs w:val="20"/>
          <w:color w:val="auto"/>
        </w:rPr>
      </w:pPr>
    </w:p>
    <w:p>
      <w:pPr>
        <w:ind w:right="400" w:firstLine="449"/>
        <w:spacing w:after="0" w:line="270"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Measurements and Disclosures,” approximates the carrying amounts represented in the accompanying balance sheets, primarily due to their short-term nature.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20"/>
          </w:cols>
          <w:pgMar w:left="320" w:top="450" w:right="3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4" w:lineRule="exact"/>
        <w:rPr>
          <w:sz w:val="20"/>
          <w:szCs w:val="20"/>
          <w:color w:val="auto"/>
        </w:rPr>
      </w:pPr>
    </w:p>
    <w:p>
      <w:pPr>
        <w:ind w:right="180" w:firstLine="449"/>
        <w:spacing w:after="0" w:line="270"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accompanying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112" w:lineRule="exact"/>
        <w:rPr>
          <w:sz w:val="20"/>
          <w:szCs w:val="20"/>
          <w:color w:val="auto"/>
        </w:rPr>
      </w:pPr>
    </w:p>
    <w:p>
      <w:pPr>
        <w:ind w:right="480" w:firstLine="449"/>
        <w:spacing w:after="0" w:line="253" w:lineRule="auto"/>
        <w:rPr>
          <w:sz w:val="20"/>
          <w:szCs w:val="20"/>
          <w:color w:val="auto"/>
        </w:rPr>
      </w:pPr>
      <w:r>
        <w:rPr>
          <w:rFonts w:ascii="Times New Roman" w:cs="Times New Roman" w:eastAsia="Times New Roman" w:hAnsi="Times New Roman"/>
          <w:sz w:val="18"/>
          <w:szCs w:val="18"/>
          <w:color w:val="auto"/>
        </w:rPr>
        <w:t>Pursuant to the Proposed Public Offering, the Company will offer for sale up to 72,000,000 Units (or 82,800,000 Units if the underwriters’ over-allotment option is exercised in full) at a purchase price of $10.00 per Unit. Each Unit will consist of one Class A ordinary share and one-third of one redeemable warrant (“Public Warrant”). Each whole Public Warrant will entitle the holder to purchase one Class A ordinary share at an exercise price of $11.50 per whole share (see Note 7).</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Sponsor has committed to purchase an aggregate of 10,933,333 Private Placement Warrants at a price of $1.50 per Private Placement Warrant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($16,400,000 in the aggregate) from the Company in a private placement that will occur simultaneously with the closing of the Proposed Public Offering.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proceeds from the sale of the Private Placement Warrants will be added to the net proceeds from the Proposed Public Offering held in the Trust Account. Each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Placement Warrant is exercisable for one Class A Share at a price of $11.50 per share, subject to adjustment (see Note 7). If the Company does not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complete a Business Combination within the Combination Period, the proceeds from the sale of the Private Placement Warrants held in the Trust Account will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used to fund the redemption of the Public Shares (subject to the requirements of applicable law) and the Private Placement Warrants will expire worthless.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October 2019, the Company issued one ordinary share to the Sponsor for no consideration.</w:t>
      </w:r>
    </w:p>
    <w:p>
      <w:pPr>
        <w:spacing w:after="0" w:line="216" w:lineRule="exact"/>
        <w:rPr>
          <w:sz w:val="20"/>
          <w:szCs w:val="20"/>
          <w:color w:val="auto"/>
        </w:rPr>
      </w:pPr>
    </w:p>
    <w:p>
      <w:pPr>
        <w:ind w:right="580" w:firstLine="449"/>
        <w:spacing w:after="0" w:line="270" w:lineRule="auto"/>
        <w:rPr>
          <w:sz w:val="20"/>
          <w:szCs w:val="20"/>
          <w:color w:val="auto"/>
        </w:rPr>
      </w:pPr>
      <w:r>
        <w:rPr>
          <w:rFonts w:ascii="Times New Roman" w:cs="Times New Roman" w:eastAsia="Times New Roman" w:hAnsi="Times New Roman"/>
          <w:sz w:val="17"/>
          <w:szCs w:val="17"/>
          <w:color w:val="auto"/>
        </w:rPr>
        <w:t>The Sponsor has agreed, subject to limited exceptions, not to transfer, assign or sell any of its Class B ordinary shares or Class A ordinary shares received upon conversion thereof (together, “Founder Shares”) until the earlier of: (A) one year after the completion of a Business Combination and</w:t>
      </w:r>
    </w:p>
    <w:p>
      <w:pPr>
        <w:spacing w:after="0" w:line="1" w:lineRule="exact"/>
        <w:rPr>
          <w:sz w:val="20"/>
          <w:szCs w:val="20"/>
          <w:color w:val="auto"/>
        </w:rPr>
      </w:pPr>
    </w:p>
    <w:p>
      <w:pPr>
        <w:ind w:firstLine="6"/>
        <w:spacing w:after="0" w:line="246" w:lineRule="auto"/>
        <w:tabs>
          <w:tab w:leader="none" w:pos="27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 Related Party</w:t>
      </w:r>
    </w:p>
    <w:p>
      <w:pPr>
        <w:spacing w:after="0" w:line="114" w:lineRule="exact"/>
        <w:rPr>
          <w:sz w:val="20"/>
          <w:szCs w:val="20"/>
          <w:color w:val="auto"/>
        </w:rPr>
      </w:pPr>
    </w:p>
    <w:p>
      <w:pPr>
        <w:ind w:right="360" w:firstLine="449"/>
        <w:spacing w:after="0" w:line="270" w:lineRule="auto"/>
        <w:rPr>
          <w:sz w:val="20"/>
          <w:szCs w:val="20"/>
          <w:color w:val="auto"/>
        </w:rPr>
      </w:pPr>
      <w:r>
        <w:rPr>
          <w:rFonts w:ascii="Times New Roman" w:cs="Times New Roman" w:eastAsia="Times New Roman" w:hAnsi="Times New Roman"/>
          <w:sz w:val="18"/>
          <w:szCs w:val="18"/>
          <w:color w:val="auto"/>
        </w:rPr>
        <w:t>The Sponsor advanced the Company an aggregate of $17,631 to cover expenses related to the Initial Public Offering. The advances are non-interest bearing and due on demand. At December 31, 2019, advances of $17,631 were outstanding.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14" w:lineRule="exact"/>
        <w:rPr>
          <w:sz w:val="20"/>
          <w:szCs w:val="20"/>
          <w:color w:val="auto"/>
        </w:rPr>
      </w:pPr>
    </w:p>
    <w:p>
      <w:pPr>
        <w:ind w:right="540" w:firstLine="449"/>
        <w:spacing w:after="0" w:line="300" w:lineRule="auto"/>
        <w:rPr>
          <w:sz w:val="20"/>
          <w:szCs w:val="20"/>
          <w:color w:val="auto"/>
        </w:rPr>
      </w:pPr>
      <w:r>
        <w:rPr>
          <w:rFonts w:ascii="Times New Roman" w:cs="Times New Roman" w:eastAsia="Times New Roman" w:hAnsi="Times New Roman"/>
          <w:sz w:val="17"/>
          <w:szCs w:val="17"/>
          <w:color w:val="auto"/>
        </w:rPr>
        <w:t>The Company will enter into an agreement pursuant to which it will pay an affiliate of the Sponsor up to $10,000 per month for office space, administrative and support services. Upon completion of a Business Combination or its liquidation, the Company will cease paying these monthly fees.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20"/>
          </w:cols>
          <w:pgMar w:left="320" w:top="450" w:right="3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14"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14"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any warrants that may be issued 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the Propose Public Offering requiring the Company to register such securities for resale (in the case of the Founder Shares, only after conversion to the Company’s Class A ordinary shares).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termination of the applicable lock-up period. The Company will bear the expenses incurred in connection with the filing of any such registration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14"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The Company will grant the underwriters a 45-day option to purchase up to 10,800,000 additional Units to cover over-allotments at the Proposed Public Offering price, less the underwriting discounts and commissions.</w:t>
      </w:r>
    </w:p>
    <w:p>
      <w:pPr>
        <w:spacing w:after="0" w:line="169"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The underwriters will be entitled to a cash underwriting discount of $14,400,000 in the aggregate, payable upon the closing of the Proposed Public Offering. In addition, the underwriters will be entitled to a deferred fee of $0.35 per Unit, or $25,200,000 in the aggregate (or $28,980,000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14"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Company intends to engage Connaught (UK) Limited (“Connaught”) to provide financial advisory services in connection with the Proposed Public Offering. The Company will pay Connaught a fee in an amount equal to 10% of the underwriting commission payable to the underwriters. The fee to Connaught will be paid in part at the closing of the Proposed Public Offering and in part at the closing of the Business Combination, in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20"/>
          </w:cols>
          <w:pgMar w:left="320" w:top="450" w:right="3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4"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8"/>
          <w:szCs w:val="18"/>
          <w:color w:val="auto"/>
        </w:rPr>
        <w:t>same proportion as the non-deferred and deferred underwriting commission payable to the underwriters. The underwriters have agreed to reimburse the Company for the fee to Connaught as it becomes payable out of the underwriting commission.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Shareholder’s Equity</w:t>
      </w:r>
    </w:p>
    <w:p>
      <w:pPr>
        <w:spacing w:after="0" w:line="108" w:lineRule="exact"/>
        <w:rPr>
          <w:sz w:val="20"/>
          <w:szCs w:val="20"/>
          <w:color w:val="auto"/>
        </w:rPr>
      </w:pPr>
    </w:p>
    <w:p>
      <w:pPr>
        <w:ind w:right="100" w:firstLine="44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Shares </w:t>
      </w:r>
      <w:r>
        <w:rPr>
          <w:rFonts w:ascii="Times New Roman" w:cs="Times New Roman" w:eastAsia="Times New Roman" w:hAnsi="Times New Roman"/>
          <w:sz w:val="18"/>
          <w:szCs w:val="18"/>
          <w:color w:val="auto"/>
        </w:rPr>
        <w:t>— The Company is authorized to issue 5,000,000 preference shares with a par value of $0.0001. The Company’s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2019, there were no preference shares issued or outstanding.</w:t>
      </w:r>
    </w:p>
    <w:p>
      <w:pPr>
        <w:spacing w:after="0" w:line="182" w:lineRule="exact"/>
        <w:rPr>
          <w:sz w:val="20"/>
          <w:szCs w:val="20"/>
          <w:color w:val="auto"/>
        </w:rPr>
      </w:pPr>
    </w:p>
    <w:p>
      <w:pPr>
        <w:ind w:firstLine="449"/>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A Ordinary Shares </w:t>
      </w:r>
      <w:r>
        <w:rPr>
          <w:rFonts w:ascii="Times New Roman" w:cs="Times New Roman" w:eastAsia="Times New Roman" w:hAnsi="Times New Roman"/>
          <w:sz w:val="17"/>
          <w:szCs w:val="17"/>
          <w:color w:val="auto"/>
        </w:rPr>
        <w:t>— The Company is authorized to issue 500,000,000 Class A ordinary shares, with a par value of $0.0001 per share. Holders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Class A ordinary shares are entitled to one vote for each share. At December 31, 2019, there were no Class A ordinary shares issued or outstanding.</w:t>
      </w:r>
    </w:p>
    <w:p>
      <w:pPr>
        <w:spacing w:after="0" w:line="138" w:lineRule="exact"/>
        <w:rPr>
          <w:sz w:val="20"/>
          <w:szCs w:val="20"/>
          <w:color w:val="auto"/>
        </w:rPr>
      </w:pPr>
    </w:p>
    <w:p>
      <w:pPr>
        <w:ind w:right="100" w:firstLine="449"/>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B Ordinary Shares </w:t>
      </w:r>
      <w:r>
        <w:rPr>
          <w:rFonts w:ascii="Times New Roman" w:cs="Times New Roman" w:eastAsia="Times New Roman" w:hAnsi="Times New Roman"/>
          <w:sz w:val="17"/>
          <w:szCs w:val="17"/>
          <w:color w:val="auto"/>
        </w:rPr>
        <w:t>— The Company is authorized to issue 50,000,000 Class B ordinary shares, with a par value of $0.0001 per share. Holders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Class B ordinary shares are entitled to one vote for each share. At December 31, 2019, there was one Class B ordinary share issued and outstanding.</w:t>
      </w:r>
    </w:p>
    <w:p>
      <w:pPr>
        <w:spacing w:after="0" w:line="142"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79"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The Class B Shares will automatically convert into Class A ordinary shares on the first business day following the completion of the Business Combination, or earlier at the option of the holder, on a one-for-one basis, subject to adjustment. In the case that additional Class A ordinary shares, or equity-linked securities, are issued or deemed issued in excess of the amounts issued in the Proposed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Proposed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8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Public Warrants may only be exercised for a whole number of shares. No fractional shares will be issued upon exercise of the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The Public Warrants will become exercisable on the later of (a) 30 days after the completion of a Business Combination and (b) 12 months from the closing of the Proposed Public Offering. The Public Warrants will expire five years from the completion of a Business Combination or earlier upon redemption or liquidation.</w:t>
      </w:r>
    </w:p>
    <w:p>
      <w:pPr>
        <w:spacing w:after="0" w:line="182" w:lineRule="exact"/>
        <w:rPr>
          <w:sz w:val="20"/>
          <w:szCs w:val="20"/>
          <w:color w:val="auto"/>
        </w:rPr>
      </w:pPr>
    </w:p>
    <w:p>
      <w:pPr>
        <w:ind w:right="280" w:firstLine="449"/>
        <w:spacing w:after="0" w:line="270"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450" w:right="3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4"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68"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 Business Combination, it will use its commercially reasonable efforts to file with the SEC a registration statement registering the issuance, under the Securities Act, of the Class A ordinary shares issuable upon exercise of the Public Warrants. The Company will use it commercially reasonable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commercially reasonable efforts to qualify the shares under applicable blue sky laws to the extent an exemption is not available.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$18.00. </w:t>
      </w:r>
      <w:r>
        <w:rPr>
          <w:rFonts w:ascii="Times New Roman" w:cs="Times New Roman" w:eastAsia="Times New Roman" w:hAnsi="Times New Roman"/>
          <w:sz w:val="18"/>
          <w:szCs w:val="18"/>
          <w:color w:val="auto"/>
        </w:rPr>
        <w:t>Once the Public Warrants become exercisable,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Public Warrants:</w:t>
      </w:r>
    </w:p>
    <w:p>
      <w:pPr>
        <w:spacing w:after="0" w:line="106" w:lineRule="exact"/>
        <w:rPr>
          <w:sz w:val="20"/>
          <w:szCs w:val="20"/>
          <w:color w:val="auto"/>
        </w:rPr>
      </w:pPr>
    </w:p>
    <w:p>
      <w:pPr>
        <w:ind w:left="1000" w:hanging="439"/>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23" w:lineRule="exact"/>
        <w:rPr>
          <w:rFonts w:ascii="Times New Roman" w:cs="Times New Roman" w:eastAsia="Times New Roman" w:hAnsi="Times New Roman"/>
          <w:sz w:val="18"/>
          <w:szCs w:val="18"/>
          <w:color w:val="auto"/>
        </w:rPr>
      </w:pPr>
    </w:p>
    <w:p>
      <w:pPr>
        <w:ind w:left="1000" w:hanging="439"/>
        <w:spacing w:after="0" w:line="253"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ordinary shares for any 20 trading days within a 30-trading day period ending on the third trading day prior to the date on which the Company sends the notice of redemption to the warrant holders (the “Reference Value”) equals or exceeds $18.00 per share (as adjusted for share splits, share dividends, rights issuances, subdivisions, reorganizations, recapitalizations and the like).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$10.00. </w:t>
      </w:r>
      <w:r>
        <w:rPr>
          <w:rFonts w:ascii="Times New Roman" w:cs="Times New Roman" w:eastAsia="Times New Roman" w:hAnsi="Times New Roman"/>
          <w:sz w:val="18"/>
          <w:szCs w:val="18"/>
          <w:color w:val="auto"/>
        </w:rPr>
        <w:t>Once the Public Warrants become exercisable,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Public Warrants:</w:t>
      </w:r>
    </w:p>
    <w:p>
      <w:pPr>
        <w:spacing w:after="0" w:line="106" w:lineRule="exact"/>
        <w:rPr>
          <w:sz w:val="20"/>
          <w:szCs w:val="20"/>
          <w:color w:val="auto"/>
        </w:rPr>
      </w:pPr>
    </w:p>
    <w:p>
      <w:pPr>
        <w:ind w:left="1000" w:hanging="439"/>
        <w:spacing w:after="0"/>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3" w:lineRule="exact"/>
        <w:rPr>
          <w:rFonts w:ascii="Times New Roman" w:cs="Times New Roman" w:eastAsia="Times New Roman" w:hAnsi="Times New Roman"/>
          <w:sz w:val="18"/>
          <w:szCs w:val="18"/>
          <w:color w:val="auto"/>
        </w:rPr>
      </w:pPr>
    </w:p>
    <w:p>
      <w:pPr>
        <w:ind w:left="1000" w:right="80" w:hanging="439"/>
        <w:spacing w:after="0" w:line="258"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Class A ordinary shares;</w:t>
      </w:r>
    </w:p>
    <w:p>
      <w:pPr>
        <w:spacing w:after="0" w:line="85" w:lineRule="exact"/>
        <w:rPr>
          <w:rFonts w:ascii="Times New Roman" w:cs="Times New Roman" w:eastAsia="Times New Roman" w:hAnsi="Times New Roman"/>
          <w:sz w:val="18"/>
          <w:szCs w:val="18"/>
          <w:color w:val="auto"/>
        </w:rPr>
      </w:pPr>
    </w:p>
    <w:p>
      <w:pPr>
        <w:ind w:left="1000" w:right="880" w:hanging="439"/>
        <w:spacing w:after="0" w:line="270"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share splits, share dividends, rights issuances, subdivisions, reorganizations, recapitalizations and the like); and</w:t>
      </w:r>
    </w:p>
    <w:p>
      <w:pPr>
        <w:spacing w:after="0" w:line="76" w:lineRule="exact"/>
        <w:rPr>
          <w:rFonts w:ascii="Times New Roman" w:cs="Times New Roman" w:eastAsia="Times New Roman" w:hAnsi="Times New Roman"/>
          <w:sz w:val="18"/>
          <w:szCs w:val="18"/>
          <w:color w:val="auto"/>
        </w:rPr>
      </w:pPr>
    </w:p>
    <w:p>
      <w:pPr>
        <w:ind w:left="1000" w:right="100" w:hanging="439"/>
        <w:spacing w:after="0" w:line="270"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share splits, share dividends, rights issuances, subdivisions, reorganizations, recapitalizations and the like) the Private Placement Warrants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450" w:right="3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must also be concurrently called for redemption on the same terms as the outstanding Public Warrants, as described above.</w:t>
      </w:r>
    </w:p>
    <w:p>
      <w:pPr>
        <w:spacing w:after="0" w:line="216"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69"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76"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prices described above will be adjusted (to the nearest cent) to be equal to 180% of the higher of the Market Value and the Newly Issued Price.</w:t>
      </w:r>
    </w:p>
    <w:p>
      <w:pPr>
        <w:spacing w:after="0" w:line="188"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Private Placement Warrants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w:t>
      </w:r>
    </w:p>
    <w:p>
      <w:pPr>
        <w:spacing w:after="0" w:line="179"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auto"/>
        </w:rPr>
        <w:t>Additionally, the Private Placement Warrants will be exercisable on a cashless basis and be non-redeemable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12"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January 31, 2020, the date that the financial statements were available to be issued. Other than as described below, the Company did not identify any subsequent events that would have required adjustment or disclosure in the financial statements.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20"/>
          </w:cols>
          <w:pgMar w:left="320" w:top="450" w:right="3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CAPITAL HEDOSOPHIA HOLDINGS CORP. III</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1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On January 21, 2020, the Company cancelled the one share issued in October 2019 and the Sponsor purchased 17,250,000 Founder Shares for an aggregate purchase price of $25,000. On April 21, 2020, the Company effected a share capitalization, resulting in 20,700,000 Founder Shares issued and outstanding as of such date. The Founder Shares will automatically convert into Class A ordinary shares on the first business day following the completion of a Business Combination on a one-for-one basis, subject to certain adjustments, as described in Note 7.</w:t>
      </w:r>
    </w:p>
    <w:p>
      <w:pPr>
        <w:spacing w:after="0" w:line="185" w:lineRule="exact"/>
        <w:rPr>
          <w:sz w:val="20"/>
          <w:szCs w:val="20"/>
          <w:color w:val="auto"/>
        </w:rPr>
      </w:pPr>
    </w:p>
    <w:p>
      <w:pPr>
        <w:ind w:right="360" w:firstLine="449"/>
        <w:spacing w:after="0" w:line="258" w:lineRule="auto"/>
        <w:rPr>
          <w:sz w:val="20"/>
          <w:szCs w:val="20"/>
          <w:color w:val="auto"/>
        </w:rPr>
      </w:pPr>
      <w:r>
        <w:rPr>
          <w:rFonts w:ascii="Times New Roman" w:cs="Times New Roman" w:eastAsia="Times New Roman" w:hAnsi="Times New Roman"/>
          <w:sz w:val="18"/>
          <w:szCs w:val="18"/>
          <w:color w:val="auto"/>
        </w:rPr>
        <w:t>The Founder Shares include an aggregate of up to 2,700,000 shares subject to forfeiture by the Sponsor to the extent that the underwriters’ over-allotment is not exercised in full or in part, so that the number of Founder Shares will collectively represent 20% of the Company’s issued and outstanding shares upon the completion of the Proposed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1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On January 21, 2020, the Company issued an unsecured promissory note to the Sponsor, pursuant to which the Company may borrow up to an aggregate principal amount of $300,000, of which $300,000 was outstanding under the Promissory Note as of January 21, 2020. The note is non-interest bearing and payable on the earlier of (i) June 30, 2020 and (ii) the completion of the Proposed Public Offering.</w:t>
      </w:r>
    </w:p>
    <w:p>
      <w:pPr>
        <w:spacing w:after="0" w:line="179"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As a result of the execution of the underwriting agreement on April 21, 2020, the financial statements have been modified to reflect the final terms of the agreement.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450" w:right="3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30"/>
        </w:trPr>
        <w:tc>
          <w:tcPr>
            <w:tcW w:w="105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600" w:type="dxa"/>
            <w:vAlign w:val="bottom"/>
          </w:tcPr>
          <w:p>
            <w:pPr>
              <w:spacing w:after="0"/>
              <w:rPr>
                <w:sz w:val="20"/>
                <w:szCs w:val="20"/>
                <w:color w:val="auto"/>
              </w:rPr>
            </w:pPr>
          </w:p>
        </w:tc>
      </w:tr>
      <w:tr>
        <w:trPr>
          <w:trHeight w:val="483"/>
        </w:trPr>
        <w:tc>
          <w:tcPr>
            <w:tcW w:w="1058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tc>
        <w:tc>
          <w:tcPr>
            <w:tcW w:w="600" w:type="dxa"/>
            <w:vAlign w:val="bottom"/>
          </w:tcPr>
          <w:p>
            <w:pPr>
              <w:spacing w:after="0"/>
              <w:rPr>
                <w:sz w:val="24"/>
                <w:szCs w:val="24"/>
                <w:color w:val="auto"/>
              </w:rPr>
            </w:pPr>
          </w:p>
        </w:tc>
      </w:tr>
      <w:tr>
        <w:trPr>
          <w:trHeight w:val="231"/>
        </w:trPr>
        <w:tc>
          <w:tcPr>
            <w:tcW w:w="105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00" w:type="dxa"/>
            <w:vAlign w:val="bottom"/>
          </w:tcPr>
          <w:p>
            <w:pPr>
              <w:spacing w:after="0"/>
              <w:rPr>
                <w:sz w:val="20"/>
                <w:szCs w:val="20"/>
                <w:color w:val="auto"/>
              </w:rPr>
            </w:pPr>
          </w:p>
        </w:tc>
      </w:tr>
      <w:tr>
        <w:trPr>
          <w:trHeight w:val="449"/>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 (audited)</w:t>
            </w:r>
          </w:p>
        </w:tc>
        <w:tc>
          <w:tcPr>
            <w:tcW w:w="600" w:type="dxa"/>
            <w:vAlign w:val="bottom"/>
          </w:tcPr>
          <w:p>
            <w:pPr>
              <w:spacing w:after="0"/>
              <w:rPr>
                <w:sz w:val="24"/>
                <w:szCs w:val="24"/>
                <w:color w:val="auto"/>
              </w:rPr>
            </w:pPr>
          </w:p>
        </w:tc>
      </w:tr>
      <w:tr>
        <w:trPr>
          <w:trHeight w:val="278"/>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Years ended December 31, 2018 and December 31, 2019</w:t>
            </w:r>
          </w:p>
        </w:tc>
        <w:tc>
          <w:tcPr>
            <w:tcW w:w="600" w:type="dxa"/>
            <w:vAlign w:val="bottom"/>
          </w:tcPr>
          <w:p>
            <w:pPr>
              <w:spacing w:after="0"/>
              <w:rPr>
                <w:sz w:val="24"/>
                <w:szCs w:val="24"/>
                <w:color w:val="auto"/>
              </w:rPr>
            </w:pP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43">
              <w:r>
                <w:rPr>
                  <w:rFonts w:ascii="Times New Roman" w:cs="Times New Roman" w:eastAsia="Times New Roman" w:hAnsi="Times New Roman"/>
                  <w:sz w:val="18"/>
                  <w:szCs w:val="18"/>
                  <w:u w:val="single" w:color="auto"/>
                  <w:color w:val="0000EE"/>
                </w:rPr>
                <w:t>Report of independent registered public accounting firm</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F-38</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44">
              <w:r>
                <w:rPr>
                  <w:rFonts w:ascii="Times New Roman" w:cs="Times New Roman" w:eastAsia="Times New Roman" w:hAnsi="Times New Roman"/>
                  <w:sz w:val="18"/>
                  <w:szCs w:val="18"/>
                  <w:u w:val="single" w:color="auto"/>
                  <w:color w:val="0000EE"/>
                </w:rPr>
                <w:t>Consolidated balance sheets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F-39</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45">
              <w:r>
                <w:rPr>
                  <w:rFonts w:ascii="Times New Roman" w:cs="Times New Roman" w:eastAsia="Times New Roman" w:hAnsi="Times New Roman"/>
                  <w:sz w:val="18"/>
                  <w:szCs w:val="18"/>
                  <w:u w:val="single" w:color="auto"/>
                  <w:color w:val="0000EE"/>
                </w:rPr>
                <w:t>Consolidated statements of operations and comprehensive loss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F-40</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Consolidated statements of changes in convertible preferred stock and stockholders’ deficit</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47">
              <w:r>
                <w:rPr>
                  <w:rFonts w:ascii="Times New Roman" w:cs="Times New Roman" w:eastAsia="Times New Roman" w:hAnsi="Times New Roman"/>
                  <w:sz w:val="18"/>
                  <w:szCs w:val="18"/>
                  <w:u w:val="single" w:color="auto"/>
                  <w:color w:val="0000EE"/>
                </w:rPr>
                <w:t>Consolidated statements of cash flows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F-42</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48">
              <w:r>
                <w:rPr>
                  <w:rFonts w:ascii="Times New Roman" w:cs="Times New Roman" w:eastAsia="Times New Roman" w:hAnsi="Times New Roman"/>
                  <w:sz w:val="18"/>
                  <w:szCs w:val="18"/>
                  <w:u w:val="single" w:color="auto"/>
                  <w:color w:val="0000EE"/>
                </w:rPr>
                <w:t>Notes to consolidated financial statements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F-43</w:t>
            </w:r>
          </w:p>
        </w:tc>
      </w:tr>
      <w:tr>
        <w:trPr>
          <w:trHeight w:val="317"/>
        </w:trPr>
        <w:tc>
          <w:tcPr>
            <w:tcW w:w="10580" w:type="dxa"/>
            <w:vAlign w:val="bottom"/>
          </w:tcPr>
          <w:p>
            <w:pPr>
              <w:spacing w:after="0"/>
              <w:rPr>
                <w:rFonts w:ascii="Times New Roman" w:cs="Times New Roman" w:eastAsia="Times New Roman" w:hAnsi="Times New Roman"/>
                <w:sz w:val="18"/>
                <w:szCs w:val="18"/>
                <w:u w:val="single" w:color="auto"/>
                <w:color w:val="0000EE"/>
              </w:rPr>
            </w:pPr>
            <w:hyperlink w:anchor="page290">
              <w:r>
                <w:rPr>
                  <w:rFonts w:ascii="Times New Roman" w:cs="Times New Roman" w:eastAsia="Times New Roman" w:hAnsi="Times New Roman"/>
                  <w:sz w:val="18"/>
                  <w:szCs w:val="18"/>
                  <w:u w:val="single" w:color="auto"/>
                  <w:color w:val="0000EE"/>
                </w:rPr>
                <w:t>Schedule II—condensed financial information of registrant—parent company only</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F-85</w:t>
            </w:r>
          </w:p>
        </w:tc>
      </w:tr>
      <w:tr>
        <w:trPr>
          <w:trHeight w:val="317"/>
        </w:trPr>
        <w:tc>
          <w:tcPr>
            <w:tcW w:w="10580" w:type="dxa"/>
            <w:vAlign w:val="bottom"/>
          </w:tcPr>
          <w:p>
            <w:pPr>
              <w:spacing w:after="0"/>
              <w:rPr>
                <w:rFonts w:ascii="Times New Roman" w:cs="Times New Roman" w:eastAsia="Times New Roman" w:hAnsi="Times New Roman"/>
                <w:sz w:val="18"/>
                <w:szCs w:val="18"/>
                <w:u w:val="single" w:color="auto"/>
                <w:color w:val="0000EE"/>
              </w:rPr>
            </w:pPr>
            <w:hyperlink w:anchor="page294">
              <w:r>
                <w:rPr>
                  <w:rFonts w:ascii="Times New Roman" w:cs="Times New Roman" w:eastAsia="Times New Roman" w:hAnsi="Times New Roman"/>
                  <w:sz w:val="18"/>
                  <w:szCs w:val="18"/>
                  <w:u w:val="single" w:color="auto"/>
                  <w:color w:val="0000EE"/>
                </w:rPr>
                <w:t>Schedule V—valuation and qualifying accounts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F-89</w:t>
            </w:r>
          </w:p>
        </w:tc>
      </w:tr>
      <w:tr>
        <w:trPr>
          <w:trHeight w:val="278"/>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600" w:type="dxa"/>
            <w:vAlign w:val="bottom"/>
          </w:tcPr>
          <w:p>
            <w:pPr>
              <w:spacing w:after="0"/>
              <w:rPr>
                <w:sz w:val="24"/>
                <w:szCs w:val="24"/>
                <w:color w:val="auto"/>
              </w:rPr>
            </w:pPr>
          </w:p>
        </w:tc>
      </w:tr>
      <w:tr>
        <w:trPr>
          <w:trHeight w:val="260"/>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2019 and September 30, 2020 (unaudited) and for the nine months period ended September 30, 2019 and September 30, 2020</w:t>
            </w:r>
          </w:p>
        </w:tc>
        <w:tc>
          <w:tcPr>
            <w:tcW w:w="600" w:type="dxa"/>
            <w:vAlign w:val="bottom"/>
          </w:tcPr>
          <w:p>
            <w:pPr>
              <w:spacing w:after="0"/>
              <w:rPr>
                <w:sz w:val="22"/>
                <w:szCs w:val="22"/>
                <w:color w:val="auto"/>
              </w:rPr>
            </w:pPr>
          </w:p>
        </w:tc>
      </w:tr>
      <w:tr>
        <w:trPr>
          <w:trHeight w:val="229"/>
        </w:trPr>
        <w:tc>
          <w:tcPr>
            <w:tcW w:w="10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600" w:type="dxa"/>
            <w:vAlign w:val="bottom"/>
          </w:tcPr>
          <w:p>
            <w:pPr>
              <w:spacing w:after="0"/>
              <w:rPr>
                <w:sz w:val="19"/>
                <w:szCs w:val="19"/>
                <w:color w:val="auto"/>
              </w:rPr>
            </w:pP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95">
              <w:r>
                <w:rPr>
                  <w:rFonts w:ascii="Times New Roman" w:cs="Times New Roman" w:eastAsia="Times New Roman" w:hAnsi="Times New Roman"/>
                  <w:sz w:val="18"/>
                  <w:szCs w:val="18"/>
                  <w:u w:val="single" w:color="auto"/>
                  <w:color w:val="0000EE"/>
                </w:rPr>
                <w:t>Condensed consolidated balance sheets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F-90</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96">
              <w:r>
                <w:rPr>
                  <w:rFonts w:ascii="Times New Roman" w:cs="Times New Roman" w:eastAsia="Times New Roman" w:hAnsi="Times New Roman"/>
                  <w:sz w:val="18"/>
                  <w:szCs w:val="18"/>
                  <w:u w:val="single" w:color="auto"/>
                  <w:color w:val="0000EE"/>
                </w:rPr>
                <w:t>Condensed consolidated statements of operations and comprehensive loss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F-91</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97">
              <w:r>
                <w:rPr>
                  <w:rFonts w:ascii="Times New Roman" w:cs="Times New Roman" w:eastAsia="Times New Roman" w:hAnsi="Times New Roman"/>
                  <w:sz w:val="18"/>
                  <w:szCs w:val="18"/>
                  <w:u w:val="single" w:color="auto"/>
                  <w:color w:val="0000EE"/>
                </w:rPr>
                <w:t>Condensed consolidated statements of changes in convertible preferred stock and stockholders’ deficit</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F-92</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98">
              <w:r>
                <w:rPr>
                  <w:rFonts w:ascii="Times New Roman" w:cs="Times New Roman" w:eastAsia="Times New Roman" w:hAnsi="Times New Roman"/>
                  <w:sz w:val="18"/>
                  <w:szCs w:val="18"/>
                  <w:u w:val="single" w:color="auto"/>
                  <w:color w:val="0000EE"/>
                </w:rPr>
                <w:t>Condensed consolidated statements of cash flows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F-93</w:t>
            </w:r>
          </w:p>
        </w:tc>
      </w:tr>
      <w:tr>
        <w:trPr>
          <w:trHeight w:val="278"/>
        </w:trPr>
        <w:tc>
          <w:tcPr>
            <w:tcW w:w="10580" w:type="dxa"/>
            <w:vAlign w:val="bottom"/>
          </w:tcPr>
          <w:p>
            <w:pPr>
              <w:ind w:left="360"/>
              <w:spacing w:after="0"/>
              <w:rPr>
                <w:rFonts w:ascii="Times New Roman" w:cs="Times New Roman" w:eastAsia="Times New Roman" w:hAnsi="Times New Roman"/>
                <w:sz w:val="18"/>
                <w:szCs w:val="18"/>
                <w:u w:val="single" w:color="auto"/>
                <w:color w:val="0000EE"/>
              </w:rPr>
            </w:pPr>
            <w:hyperlink w:anchor="page299">
              <w:r>
                <w:rPr>
                  <w:rFonts w:ascii="Times New Roman" w:cs="Times New Roman" w:eastAsia="Times New Roman" w:hAnsi="Times New Roman"/>
                  <w:sz w:val="18"/>
                  <w:szCs w:val="18"/>
                  <w:u w:val="single" w:color="auto"/>
                  <w:color w:val="0000EE"/>
                </w:rPr>
                <w:t>Notes to condensed consolidated financial statements</w:t>
              </w:r>
            </w:hyperlink>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3"/>
              </w:rPr>
              <w:t>F-94</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p>
    <w:p>
      <w:pPr>
        <w:ind w:right="140" w:firstLine="449"/>
        <w:spacing w:after="0" w:line="270" w:lineRule="auto"/>
        <w:rPr>
          <w:sz w:val="20"/>
          <w:szCs w:val="20"/>
          <w:color w:val="auto"/>
        </w:rPr>
      </w:pPr>
      <w:r>
        <w:rPr>
          <w:rFonts w:ascii="Times New Roman" w:cs="Times New Roman" w:eastAsia="Times New Roman" w:hAnsi="Times New Roman"/>
          <w:sz w:val="18"/>
          <w:szCs w:val="18"/>
          <w:color w:val="auto"/>
        </w:rPr>
        <w:t>Schedules other than those listed above are omitted for the reason that they are not required, are not applicable or that equivalent information has been included in the financial statements or notes thereto or elsewhere herein.</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80"/>
          </w:cols>
          <w:pgMar w:left="320" w:top="450" w:right="39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Clover Health Investments, Corp.</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2" w:lineRule="exact"/>
        <w:rPr>
          <w:sz w:val="20"/>
          <w:szCs w:val="20"/>
          <w:color w:val="auto"/>
        </w:rPr>
      </w:pPr>
    </w:p>
    <w:p>
      <w:pPr>
        <w:ind w:right="540" w:firstLine="449"/>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Clover Health Investments, Corp. and subsidiaries (the Company) as of December 31, 2019 and 2018, the related consolidated statements of operations and comprehensive loss, changes in convertible preferred stock and stockholders’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2"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2020</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20"/>
          </w:cols>
          <w:pgMar w:left="320" w:top="450" w:right="35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9"/>
        </w:trPr>
        <w:tc>
          <w:tcPr>
            <w:tcW w:w="9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1"/>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4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Assets: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75,403</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Investment securities, held-to-maturity (Fair value: 2018: $9,208; 2019: $0)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retrospective premiums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20,771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receivables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Reinsurance recoverable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64,091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Healthcare receivables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11,308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assets, current</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194,463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Investment securities, available-for-sale, at fair value (Amortized cost: 2018: $0; 2019: $56,382)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 held-to-maturity (Fair value: 2018: $696; 2019: $685)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9,238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11,097</w:t>
            </w: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 assets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210,597</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Unpaid claims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54,004</w:t>
            </w:r>
          </w:p>
        </w:tc>
        <w:tc>
          <w:tcPr>
            <w:tcW w:w="1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13,741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6,027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portion of notes and securities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39,292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Premium deficiency reserve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Reinsurance premium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64,414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liabilities, current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187,092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11,566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11,729</w:t>
            </w: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and securities payable, net of discounts and deferred issuance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14,836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265,424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377,811</w:t>
            </w:r>
          </w:p>
        </w:tc>
        <w:tc>
          <w:tcPr>
            <w:tcW w:w="0" w:type="dxa"/>
            <w:vAlign w:val="bottom"/>
          </w:tcPr>
          <w:p>
            <w:pPr>
              <w:spacing w:after="0"/>
              <w:rPr>
                <w:sz w:val="1"/>
                <w:szCs w:val="1"/>
                <w:color w:val="auto"/>
              </w:rPr>
            </w:pPr>
          </w:p>
        </w:tc>
      </w:tr>
      <w:tr>
        <w:trPr>
          <w:trHeight w:val="202"/>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21)</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 (Series Seed A, A-1, B, C, and D), $0.0001 par value; 75,136,086 shares authorized as of December 31, 2018 and</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2019; 67,427,138 shares issued and outstanding as of December 31, 2018 and 2019; aggregate liquidation preference of $470,256 as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447,747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170,000,000 shares authorized; 42,565,459 and 42,877,665 shares issued; and 42,243,445 and 42,686,624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in 2018 and 2019,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25,318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gain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8"/>
              </w:rPr>
              <w:t>(527,896)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8"/>
              </w:rPr>
              <w:t>(891,633)</w:t>
            </w:r>
          </w:p>
        </w:tc>
        <w:tc>
          <w:tcPr>
            <w:tcW w:w="0" w:type="dxa"/>
            <w:vAlign w:val="bottom"/>
          </w:tcPr>
          <w:p>
            <w:pPr>
              <w:spacing w:after="0"/>
              <w:rPr>
                <w:sz w:val="1"/>
                <w:szCs w:val="1"/>
                <w:color w:val="auto"/>
              </w:rPr>
            </w:pPr>
          </w:p>
        </w:tc>
      </w:tr>
      <w:tr>
        <w:trPr>
          <w:trHeight w:val="26"/>
        </w:trPr>
        <w:tc>
          <w:tcPr>
            <w:tcW w:w="9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8"/>
              </w:rPr>
              <w:t>(502,574)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8"/>
              </w:rPr>
              <w:t>(488,537)</w:t>
            </w:r>
          </w:p>
        </w:tc>
        <w:tc>
          <w:tcPr>
            <w:tcW w:w="0" w:type="dxa"/>
            <w:vAlign w:val="bottom"/>
          </w:tcPr>
          <w:p>
            <w:pPr>
              <w:spacing w:after="0"/>
              <w:rPr>
                <w:sz w:val="1"/>
                <w:szCs w:val="1"/>
                <w:color w:val="auto"/>
              </w:rPr>
            </w:pPr>
          </w:p>
        </w:tc>
      </w:tr>
      <w:tr>
        <w:trPr>
          <w:trHeight w:val="203"/>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210,597</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450" w:right="3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9"/>
        </w:trPr>
        <w:tc>
          <w:tcPr>
            <w:tcW w:w="80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 earned, net (Net of ceded premiums: 2018: $67,403; 2019: $832)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286,515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456,926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3,052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290,627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462,266</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279,050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450,645</w:t>
            </w:r>
          </w:p>
        </w:tc>
        <w:tc>
          <w:tcPr>
            <w:tcW w:w="0" w:type="dxa"/>
            <w:vAlign w:val="bottom"/>
          </w:tcPr>
          <w:p>
            <w:pPr>
              <w:spacing w:after="0"/>
              <w:rPr>
                <w:sz w:val="1"/>
                <w:szCs w:val="1"/>
                <w:color w:val="auto"/>
              </w:rPr>
            </w:pPr>
          </w:p>
        </w:tc>
      </w:tr>
      <w:tr>
        <w:trPr>
          <w:trHeight w:val="21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85,117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91,626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103,040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94,757</w:t>
            </w:r>
          </w:p>
        </w:tc>
        <w:tc>
          <w:tcPr>
            <w:tcW w:w="0" w:type="dxa"/>
            <w:vAlign w:val="bottom"/>
          </w:tcPr>
          <w:p>
            <w:pPr>
              <w:spacing w:after="0"/>
              <w:rPr>
                <w:sz w:val="1"/>
                <w:szCs w:val="1"/>
                <w:color w:val="auto"/>
              </w:rPr>
            </w:pPr>
          </w:p>
        </w:tc>
      </w:tr>
      <w:tr>
        <w:trPr>
          <w:trHeight w:val="212"/>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477,299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645,465</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(186,672)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23,155</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15,913</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Loss on derivative</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(201,928)</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(363,737)</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 and common share equivalents outstanding</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42,011,938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42,469,175</w:t>
            </w:r>
          </w:p>
        </w:tc>
        <w:tc>
          <w:tcPr>
            <w:tcW w:w="0" w:type="dxa"/>
            <w:vAlign w:val="bottom"/>
          </w:tcPr>
          <w:p>
            <w:pPr>
              <w:spacing w:after="0"/>
              <w:rPr>
                <w:sz w:val="1"/>
                <w:szCs w:val="1"/>
                <w:color w:val="auto"/>
              </w:rPr>
            </w:pPr>
          </w:p>
        </w:tc>
      </w:tr>
      <w:tr>
        <w:trPr>
          <w:trHeight w:val="22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loss</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(201,928)</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(363,691)</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F-40</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0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left="2520"/>
        <w:spacing w:after="0" w:line="256" w:lineRule="auto"/>
        <w:rPr>
          <w:sz w:val="20"/>
          <w:szCs w:val="20"/>
          <w:color w:val="auto"/>
        </w:rPr>
      </w:pPr>
      <w:r>
        <w:rPr>
          <w:rFonts w:ascii="Times New Roman" w:cs="Times New Roman" w:eastAsia="Times New Roman" w:hAnsi="Times New Roman"/>
          <w:sz w:val="18"/>
          <w:szCs w:val="18"/>
          <w:b w:val="1"/>
          <w:bCs w:val="1"/>
          <w:color w:val="auto"/>
        </w:rPr>
        <w:t>Clover Health Investments, Corp. and subsidiaries Consolidated statements of changes in convertible preferred stock and stockholders’ deficit For the years then ended December 31, 2018 and 2019 (Dollars in thousands, except share amounts)</w:t>
      </w:r>
    </w:p>
    <w:p>
      <w:pPr>
        <w:sectPr>
          <w:pgSz w:w="11900" w:h="16838" w:orient="portrait"/>
          <w:cols w:equalWidth="0" w:num="1">
            <w:col w:w="11200"/>
          </w:cols>
          <w:pgMar w:left="320" w:top="45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3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16"/>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January 1, 2018</w:t>
            </w:r>
          </w:p>
        </w:tc>
        <w:tc>
          <w:tcPr>
            <w:tcW w:w="680" w:type="dxa"/>
            <w:vAlign w:val="bottom"/>
            <w:tcBorders>
              <w:top w:val="single" w:sz="8" w:color="auto"/>
            </w:tcBorders>
          </w:tcPr>
          <w:p>
            <w:pPr>
              <w:jc w:val="right"/>
              <w:ind w:right="70"/>
              <w:spacing w:after="0" w:line="11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60" w:type="dxa"/>
            <w:vAlign w:val="bottom"/>
            <w:vMerge w:val="continue"/>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62,628,572</w:t>
            </w:r>
          </w:p>
        </w:tc>
        <w:tc>
          <w:tcPr>
            <w:tcW w:w="68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$402,747</w:t>
            </w: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Series D preferred stock, net of issuance costs of $541</w:t>
            </w: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4,798,566</w:t>
            </w:r>
          </w:p>
        </w:tc>
        <w:tc>
          <w:tcPr>
            <w:tcW w:w="68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issuance for exercise of stock options, net of early exercise</w:t>
            </w: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416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liability</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Equity type warrant activity</w:t>
            </w:r>
          </w:p>
        </w:tc>
        <w:tc>
          <w:tcPr>
            <w:tcW w:w="68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Unrealized holdings gain on investments securities, available-for-sale</w:t>
            </w:r>
          </w:p>
        </w:tc>
        <w:tc>
          <w:tcPr>
            <w:tcW w:w="68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41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Balance, December 31, 2018</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67,427,138</w:t>
            </w:r>
          </w:p>
        </w:tc>
        <w:tc>
          <w:tcPr>
            <w:tcW w:w="1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447,747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issuance for exercise of stock options, net of early exercise</w:t>
            </w: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416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liability</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Unrealized holdings gain on investments securities, available-for-sale</w:t>
            </w:r>
          </w:p>
        </w:tc>
        <w:tc>
          <w:tcPr>
            <w:tcW w:w="68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41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Beneficial conversion feature</w:t>
            </w:r>
          </w:p>
        </w:tc>
        <w:tc>
          <w:tcPr>
            <w:tcW w:w="68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41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 December 31, 2019</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67,427,138</w:t>
            </w: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447,747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-2005330</wp:posOffset>
            </wp:positionV>
            <wp:extent cx="7134860" cy="20148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4860" cy="2014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80" w:type="dxa"/>
            <w:vAlign w:val="bottom"/>
            <w:gridSpan w:val="3"/>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0"/>
        </w:trPr>
        <w:tc>
          <w:tcPr>
            <w:tcW w:w="124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00" w:type="dxa"/>
            <w:vAlign w:val="bottom"/>
            <w:gridSpan w:val="3"/>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21,810</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(325,968)</w:t>
            </w:r>
          </w:p>
        </w:tc>
        <w:tc>
          <w:tcPr>
            <w:tcW w:w="18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(280)</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(304,434)</w:t>
            </w:r>
          </w:p>
        </w:tc>
        <w:tc>
          <w:tcPr>
            <w:tcW w:w="0" w:type="dxa"/>
            <w:vAlign w:val="bottom"/>
          </w:tcPr>
          <w:p>
            <w:pPr>
              <w:spacing w:after="0"/>
              <w:rPr>
                <w:sz w:val="1"/>
                <w:szCs w:val="1"/>
                <w:color w:val="auto"/>
              </w:rPr>
            </w:pPr>
          </w:p>
        </w:tc>
      </w:tr>
      <w:tr>
        <w:trPr>
          <w:trHeight w:val="145"/>
        </w:trPr>
        <w:tc>
          <w:tcPr>
            <w:tcW w:w="6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41,728,836</w:t>
            </w:r>
          </w:p>
        </w:tc>
        <w:tc>
          <w:tcPr>
            <w:tcW w:w="120" w:type="dxa"/>
            <w:vAlign w:val="bottom"/>
          </w:tcPr>
          <w:p>
            <w:pPr>
              <w:spacing w:after="0"/>
              <w:rPr>
                <w:sz w:val="12"/>
                <w:szCs w:val="12"/>
                <w:color w:val="auto"/>
              </w:rPr>
            </w:pPr>
          </w:p>
        </w:tc>
        <w:tc>
          <w:tcPr>
            <w:tcW w:w="4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2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253"/>
        </w:trPr>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514,609</w:t>
            </w:r>
          </w:p>
        </w:tc>
        <w:tc>
          <w:tcPr>
            <w:tcW w:w="120" w:type="dxa"/>
            <w:vAlign w:val="bottom"/>
          </w:tcPr>
          <w:p>
            <w:pPr>
              <w:spacing w:after="0"/>
              <w:rPr>
                <w:sz w:val="21"/>
                <w:szCs w:val="21"/>
                <w:color w:val="auto"/>
              </w:rPr>
            </w:pP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45"/>
        </w:trPr>
        <w:tc>
          <w:tcPr>
            <w:tcW w:w="80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5"/>
        </w:trPr>
        <w:tc>
          <w:tcPr>
            <w:tcW w:w="80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3,556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3,556</w:t>
            </w:r>
          </w:p>
        </w:tc>
        <w:tc>
          <w:tcPr>
            <w:tcW w:w="0" w:type="dxa"/>
            <w:vAlign w:val="bottom"/>
          </w:tcPr>
          <w:p>
            <w:pPr>
              <w:spacing w:after="0"/>
              <w:rPr>
                <w:sz w:val="1"/>
                <w:szCs w:val="1"/>
                <w:color w:val="auto"/>
              </w:rPr>
            </w:pPr>
          </w:p>
        </w:tc>
      </w:tr>
      <w:tr>
        <w:trPr>
          <w:trHeight w:val="145"/>
        </w:trPr>
        <w:tc>
          <w:tcPr>
            <w:tcW w:w="80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w w:val="95"/>
              </w:rPr>
              <w:t>280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68"/>
        </w:trPr>
        <w:tc>
          <w:tcPr>
            <w:tcW w:w="8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(201,928)</w:t>
            </w:r>
          </w:p>
        </w:tc>
        <w:tc>
          <w:tcPr>
            <w:tcW w:w="180" w:type="dxa"/>
            <w:vAlign w:val="bottom"/>
          </w:tcPr>
          <w:p>
            <w:pPr>
              <w:spacing w:after="0"/>
              <w:rPr>
                <w:sz w:val="14"/>
                <w:szCs w:val="14"/>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(201,928)</w:t>
            </w:r>
          </w:p>
        </w:tc>
        <w:tc>
          <w:tcPr>
            <w:tcW w:w="0" w:type="dxa"/>
            <w:vAlign w:val="bottom"/>
          </w:tcPr>
          <w:p>
            <w:pPr>
              <w:spacing w:after="0"/>
              <w:rPr>
                <w:sz w:val="1"/>
                <w:szCs w:val="1"/>
                <w:color w:val="auto"/>
              </w:rPr>
            </w:pPr>
          </w:p>
        </w:tc>
      </w:tr>
      <w:tr>
        <w:trPr>
          <w:trHeight w:val="177"/>
        </w:trPr>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42,243,445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w w:val="91"/>
              </w:rPr>
              <w:t>(527,896)</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(502,574)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443,179</w:t>
            </w:r>
          </w:p>
        </w:tc>
        <w:tc>
          <w:tcPr>
            <w:tcW w:w="120" w:type="dxa"/>
            <w:vAlign w:val="bottom"/>
          </w:tcPr>
          <w:p>
            <w:pPr>
              <w:spacing w:after="0"/>
              <w:rPr>
                <w:sz w:val="21"/>
                <w:szCs w:val="21"/>
                <w:color w:val="auto"/>
              </w:rPr>
            </w:pP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45"/>
        </w:trPr>
        <w:tc>
          <w:tcPr>
            <w:tcW w:w="80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3,301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3,301</w:t>
            </w:r>
          </w:p>
        </w:tc>
        <w:tc>
          <w:tcPr>
            <w:tcW w:w="0" w:type="dxa"/>
            <w:vAlign w:val="bottom"/>
          </w:tcPr>
          <w:p>
            <w:pPr>
              <w:spacing w:after="0"/>
              <w:rPr>
                <w:sz w:val="1"/>
                <w:szCs w:val="1"/>
                <w:color w:val="auto"/>
              </w:rPr>
            </w:pPr>
          </w:p>
        </w:tc>
      </w:tr>
      <w:tr>
        <w:trPr>
          <w:trHeight w:val="145"/>
        </w:trPr>
        <w:tc>
          <w:tcPr>
            <w:tcW w:w="80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5"/>
        </w:trPr>
        <w:tc>
          <w:tcPr>
            <w:tcW w:w="80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373,826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ind w:left="5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373,826</w:t>
            </w:r>
          </w:p>
        </w:tc>
        <w:tc>
          <w:tcPr>
            <w:tcW w:w="0" w:type="dxa"/>
            <w:vAlign w:val="bottom"/>
          </w:tcPr>
          <w:p>
            <w:pPr>
              <w:spacing w:after="0"/>
              <w:rPr>
                <w:sz w:val="1"/>
                <w:szCs w:val="1"/>
                <w:color w:val="auto"/>
              </w:rPr>
            </w:pPr>
          </w:p>
        </w:tc>
      </w:tr>
      <w:tr>
        <w:trPr>
          <w:trHeight w:val="168"/>
        </w:trPr>
        <w:tc>
          <w:tcPr>
            <w:tcW w:w="8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(363,737)</w:t>
            </w:r>
          </w:p>
        </w:tc>
        <w:tc>
          <w:tcPr>
            <w:tcW w:w="180" w:type="dxa"/>
            <w:vAlign w:val="bottom"/>
          </w:tcPr>
          <w:p>
            <w:pPr>
              <w:spacing w:after="0"/>
              <w:rPr>
                <w:sz w:val="14"/>
                <w:szCs w:val="14"/>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(363,737)</w:t>
            </w:r>
          </w:p>
        </w:tc>
        <w:tc>
          <w:tcPr>
            <w:tcW w:w="0" w:type="dxa"/>
            <w:vAlign w:val="bottom"/>
          </w:tcPr>
          <w:p>
            <w:pPr>
              <w:spacing w:after="0"/>
              <w:rPr>
                <w:sz w:val="1"/>
                <w:szCs w:val="1"/>
                <w:color w:val="auto"/>
              </w:rPr>
            </w:pPr>
          </w:p>
        </w:tc>
      </w:tr>
      <w:tr>
        <w:trPr>
          <w:trHeight w:val="152"/>
        </w:trPr>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42,686,624</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403,046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ind w:left="140"/>
              <w:spacing w:after="0" w:line="152" w:lineRule="exact"/>
              <w:rPr>
                <w:sz w:val="20"/>
                <w:szCs w:val="20"/>
                <w:color w:val="auto"/>
              </w:rPr>
            </w:pPr>
            <w:r>
              <w:rPr>
                <w:rFonts w:ascii="Times New Roman" w:cs="Times New Roman" w:eastAsia="Times New Roman" w:hAnsi="Times New Roman"/>
                <w:sz w:val="14"/>
                <w:szCs w:val="14"/>
                <w:color w:val="auto"/>
                <w:w w:val="99"/>
              </w:rPr>
              <w:t>(891,633</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(488,537</w:t>
            </w:r>
          </w:p>
        </w:tc>
        <w:tc>
          <w:tcPr>
            <w:tcW w:w="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2">
            <w:col w:w="5500" w:space="500"/>
            <w:col w:w="5200"/>
          </w:cols>
          <w:pgMar w:left="320" w:top="450"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200"/>
          </w:cols>
          <w:pgMar w:left="320" w:top="450" w:right="379" w:bottom="1440" w:gutter="0" w:footer="0" w:header="0"/>
          <w:type w:val="continuous"/>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9"/>
        </w:trPr>
        <w:tc>
          <w:tcPr>
            <w:tcW w:w="666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0"/>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0"/>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6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66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244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(201,928)</w:t>
            </w:r>
          </w:p>
        </w:tc>
        <w:tc>
          <w:tcPr>
            <w:tcW w:w="42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(363,737)</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487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Amortization of notes and securities discounts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15,913</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3,680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3,301</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Change in fair value of warrants expense</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8,251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2,909</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Loss on derivative</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138,561</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Accretion, net of amortization</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(2,857)</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Net realized (gains) losses on investment securities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Asset impairment charges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1,632</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color w:val="auto"/>
              </w:rPr>
              <w:t>Accrued retrospective premiums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(7,709)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7,546</w:t>
            </w:r>
          </w:p>
        </w:tc>
        <w:tc>
          <w:tcPr>
            <w:tcW w:w="0" w:type="dxa"/>
            <w:vAlign w:val="bottom"/>
          </w:tcPr>
          <w:p>
            <w:pPr>
              <w:spacing w:after="0"/>
              <w:rPr>
                <w:sz w:val="1"/>
                <w:szCs w:val="1"/>
                <w:color w:val="auto"/>
              </w:rPr>
            </w:pPr>
          </w:p>
        </w:tc>
      </w:tr>
      <w:tr>
        <w:trPr>
          <w:trHeight w:val="145"/>
        </w:trPr>
        <w:tc>
          <w:tcPr>
            <w:tcW w:w="6660" w:type="dxa"/>
            <w:vAlign w:val="bottom"/>
          </w:tcPr>
          <w:p>
            <w:pPr>
              <w:ind w:left="860"/>
              <w:spacing w:after="0" w:line="145" w:lineRule="exact"/>
              <w:rPr>
                <w:sz w:val="20"/>
                <w:szCs w:val="20"/>
                <w:color w:val="auto"/>
              </w:rPr>
            </w:pPr>
            <w:r>
              <w:rPr>
                <w:rFonts w:ascii="Times New Roman" w:cs="Times New Roman" w:eastAsia="Times New Roman" w:hAnsi="Times New Roman"/>
                <w:sz w:val="14"/>
                <w:szCs w:val="14"/>
                <w:color w:val="auto"/>
              </w:rPr>
              <w:t>Other receivables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10,980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color w:val="auto"/>
              </w:rPr>
              <w:t>Reinsurance recoverable</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(61,942)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63,610</w:t>
            </w:r>
          </w:p>
        </w:tc>
        <w:tc>
          <w:tcPr>
            <w:tcW w:w="0" w:type="dxa"/>
            <w:vAlign w:val="bottom"/>
          </w:tcPr>
          <w:p>
            <w:pPr>
              <w:spacing w:after="0"/>
              <w:rPr>
                <w:sz w:val="1"/>
                <w:szCs w:val="1"/>
                <w:color w:val="auto"/>
              </w:rPr>
            </w:pPr>
          </w:p>
        </w:tc>
      </w:tr>
      <w:tr>
        <w:trPr>
          <w:trHeight w:val="145"/>
        </w:trPr>
        <w:tc>
          <w:tcPr>
            <w:tcW w:w="6660" w:type="dxa"/>
            <w:vAlign w:val="bottom"/>
          </w:tcPr>
          <w:p>
            <w:pPr>
              <w:ind w:left="860"/>
              <w:spacing w:after="0" w:line="145" w:lineRule="exact"/>
              <w:rPr>
                <w:sz w:val="20"/>
                <w:szCs w:val="20"/>
                <w:color w:val="auto"/>
              </w:rPr>
            </w:pPr>
            <w:r>
              <w:rPr>
                <w:rFonts w:ascii="Times New Roman" w:cs="Times New Roman" w:eastAsia="Times New Roman" w:hAnsi="Times New Roman"/>
                <w:sz w:val="14"/>
                <w:szCs w:val="14"/>
                <w:color w:val="auto"/>
              </w:rPr>
              <w:t>Other assets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7,569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color w:val="auto"/>
              </w:rPr>
              <w:t>Healthcare receivables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(3,781)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(14,511)</w:t>
            </w:r>
          </w:p>
        </w:tc>
        <w:tc>
          <w:tcPr>
            <w:tcW w:w="0" w:type="dxa"/>
            <w:vAlign w:val="bottom"/>
          </w:tcPr>
          <w:p>
            <w:pPr>
              <w:spacing w:after="0"/>
              <w:rPr>
                <w:sz w:val="1"/>
                <w:szCs w:val="1"/>
                <w:color w:val="auto"/>
              </w:rPr>
            </w:pPr>
          </w:p>
        </w:tc>
      </w:tr>
      <w:tr>
        <w:trPr>
          <w:trHeight w:val="145"/>
        </w:trPr>
        <w:tc>
          <w:tcPr>
            <w:tcW w:w="6660" w:type="dxa"/>
            <w:vAlign w:val="bottom"/>
          </w:tcPr>
          <w:p>
            <w:pPr>
              <w:ind w:left="860"/>
              <w:spacing w:after="0" w:line="145"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(11,933)</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color w:val="auto"/>
              </w:rPr>
              <w:t>Unpaid claims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10,541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23,882</w:t>
            </w:r>
          </w:p>
        </w:tc>
        <w:tc>
          <w:tcPr>
            <w:tcW w:w="0" w:type="dxa"/>
            <w:vAlign w:val="bottom"/>
          </w:tcPr>
          <w:p>
            <w:pPr>
              <w:spacing w:after="0"/>
              <w:rPr>
                <w:sz w:val="1"/>
                <w:szCs w:val="1"/>
                <w:color w:val="auto"/>
              </w:rPr>
            </w:pPr>
          </w:p>
        </w:tc>
      </w:tr>
      <w:tr>
        <w:trPr>
          <w:trHeight w:val="145"/>
        </w:trPr>
        <w:tc>
          <w:tcPr>
            <w:tcW w:w="6660" w:type="dxa"/>
            <w:vAlign w:val="bottom"/>
          </w:tcPr>
          <w:p>
            <w:pPr>
              <w:ind w:left="860"/>
              <w:spacing w:after="0" w:line="145"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1,263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17,931</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color w:val="auto"/>
              </w:rPr>
              <w:t>Accrued salaries and benefits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1,119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(2,235)</w:t>
            </w:r>
          </w:p>
        </w:tc>
        <w:tc>
          <w:tcPr>
            <w:tcW w:w="0" w:type="dxa"/>
            <w:vAlign w:val="bottom"/>
          </w:tcPr>
          <w:p>
            <w:pPr>
              <w:spacing w:after="0"/>
              <w:rPr>
                <w:sz w:val="1"/>
                <w:szCs w:val="1"/>
                <w:color w:val="auto"/>
              </w:rPr>
            </w:pPr>
          </w:p>
        </w:tc>
      </w:tr>
      <w:tr>
        <w:trPr>
          <w:trHeight w:val="145"/>
        </w:trPr>
        <w:tc>
          <w:tcPr>
            <w:tcW w:w="6660" w:type="dxa"/>
            <w:vAlign w:val="bottom"/>
          </w:tcPr>
          <w:p>
            <w:pPr>
              <w:ind w:left="860"/>
              <w:spacing w:after="0" w:line="145" w:lineRule="exact"/>
              <w:rPr>
                <w:sz w:val="20"/>
                <w:szCs w:val="20"/>
                <w:color w:val="auto"/>
              </w:rPr>
            </w:pPr>
            <w:r>
              <w:rPr>
                <w:rFonts w:ascii="Times New Roman" w:cs="Times New Roman" w:eastAsia="Times New Roman" w:hAnsi="Times New Roman"/>
                <w:sz w:val="14"/>
                <w:szCs w:val="14"/>
                <w:color w:val="auto"/>
              </w:rPr>
              <w:t>Premium deficiency reserve</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9,605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7,523</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color w:val="auto"/>
              </w:rPr>
              <w:t>Reinsurance premium payable</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64,414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(64,414)</w:t>
            </w:r>
          </w:p>
        </w:tc>
        <w:tc>
          <w:tcPr>
            <w:tcW w:w="0" w:type="dxa"/>
            <w:vAlign w:val="bottom"/>
          </w:tcPr>
          <w:p>
            <w:pPr>
              <w:spacing w:after="0"/>
              <w:rPr>
                <w:sz w:val="1"/>
                <w:szCs w:val="1"/>
                <w:color w:val="auto"/>
              </w:rPr>
            </w:pPr>
          </w:p>
        </w:tc>
      </w:tr>
      <w:tr>
        <w:trPr>
          <w:trHeight w:val="145"/>
        </w:trPr>
        <w:tc>
          <w:tcPr>
            <w:tcW w:w="6660" w:type="dxa"/>
            <w:vAlign w:val="bottom"/>
          </w:tcPr>
          <w:p>
            <w:pPr>
              <w:ind w:left="860"/>
              <w:spacing w:after="0" w:line="145" w:lineRule="exact"/>
              <w:rPr>
                <w:sz w:val="20"/>
                <w:szCs w:val="20"/>
                <w:color w:val="auto"/>
              </w:rPr>
            </w:pPr>
            <w:r>
              <w:rPr>
                <w:rFonts w:ascii="Times New Roman" w:cs="Times New Roman" w:eastAsia="Times New Roman" w:hAnsi="Times New Roman"/>
                <w:sz w:val="14"/>
                <w:szCs w:val="14"/>
                <w:color w:val="auto"/>
              </w:rPr>
              <w:t>Deferred rent</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(7,406)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(2,677)</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color w:val="auto"/>
              </w:rPr>
              <w:t>Other liabilities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11,575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45"/>
        </w:trPr>
        <w:tc>
          <w:tcPr>
            <w:tcW w:w="6660" w:type="dxa"/>
            <w:vAlign w:val="bottom"/>
          </w:tcPr>
          <w:p>
            <w:pPr>
              <w:ind w:left="860"/>
              <w:spacing w:after="0" w:line="145"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14,805</w:t>
            </w: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6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(153,282)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(159,875)</w:t>
            </w:r>
          </w:p>
        </w:tc>
        <w:tc>
          <w:tcPr>
            <w:tcW w:w="0" w:type="dxa"/>
            <w:vAlign w:val="bottom"/>
          </w:tcPr>
          <w:p>
            <w:pPr>
              <w:spacing w:after="0"/>
              <w:rPr>
                <w:sz w:val="1"/>
                <w:szCs w:val="1"/>
                <w:color w:val="auto"/>
              </w:rPr>
            </w:pPr>
          </w:p>
        </w:tc>
      </w:tr>
      <w:tr>
        <w:trPr>
          <w:trHeight w:val="145"/>
        </w:trPr>
        <w:tc>
          <w:tcPr>
            <w:tcW w:w="66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Purchases of available-for-sale securities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(9,726)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(505,545)</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Proceeds from sales of available-for-sale securities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71,931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269,205</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36,796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46,415</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Proceeds from maturities of held-to-maturity securities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9,220</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(1,476)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6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97,525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(181,908)</w:t>
            </w:r>
          </w:p>
        </w:tc>
        <w:tc>
          <w:tcPr>
            <w:tcW w:w="0" w:type="dxa"/>
            <w:vAlign w:val="bottom"/>
          </w:tcPr>
          <w:p>
            <w:pPr>
              <w:spacing w:after="0"/>
              <w:rPr>
                <w:sz w:val="1"/>
                <w:szCs w:val="1"/>
                <w:color w:val="auto"/>
              </w:rPr>
            </w:pPr>
          </w:p>
        </w:tc>
      </w:tr>
      <w:tr>
        <w:trPr>
          <w:trHeight w:val="145"/>
        </w:trPr>
        <w:tc>
          <w:tcPr>
            <w:tcW w:w="66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Proceeds from issuance of preferred stock</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45,000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Proceeds from bridge loan</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29,761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Proceeds from issuance of convertible securities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343,410</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Deferred financing costs</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Payment of notes payable principal</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(9,670)</w:t>
            </w:r>
          </w:p>
        </w:tc>
        <w:tc>
          <w:tcPr>
            <w:tcW w:w="0" w:type="dxa"/>
            <w:vAlign w:val="bottom"/>
          </w:tcPr>
          <w:p>
            <w:pPr>
              <w:spacing w:after="0"/>
              <w:rPr>
                <w:sz w:val="1"/>
                <w:szCs w:val="1"/>
                <w:color w:val="auto"/>
              </w:rPr>
            </w:pPr>
          </w:p>
        </w:tc>
      </w:tr>
      <w:tr>
        <w:trPr>
          <w:trHeight w:val="145"/>
        </w:trPr>
        <w:tc>
          <w:tcPr>
            <w:tcW w:w="666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rPr>
              <w:t>Issuance costs for preferred stock</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(541)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Issuance of common stock, net of early exercise liability</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369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52"/>
        </w:trPr>
        <w:tc>
          <w:tcPr>
            <w:tcW w:w="66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74,589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333,978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18,832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(7,805)</w:t>
            </w:r>
          </w:p>
        </w:tc>
        <w:tc>
          <w:tcPr>
            <w:tcW w:w="0" w:type="dxa"/>
            <w:vAlign w:val="bottom"/>
          </w:tcPr>
          <w:p>
            <w:pPr>
              <w:spacing w:after="0"/>
              <w:rPr>
                <w:sz w:val="1"/>
                <w:szCs w:val="1"/>
                <w:color w:val="auto"/>
              </w:rPr>
            </w:pPr>
          </w:p>
        </w:tc>
      </w:tr>
      <w:tr>
        <w:trPr>
          <w:trHeight w:val="145"/>
        </w:trPr>
        <w:tc>
          <w:tcPr>
            <w:tcW w:w="66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56,571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75,403</w:t>
            </w: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6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Cash and cash equivalents, end of year</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75,403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67,598</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disclosures</w:t>
            </w: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6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Cash paid during the year for interest</w:t>
            </w:r>
          </w:p>
        </w:tc>
        <w:tc>
          <w:tcPr>
            <w:tcW w:w="2440" w:type="dxa"/>
            <w:vAlign w:val="bottom"/>
            <w:gridSpan w:val="2"/>
            <w:shd w:val="clear" w:color="auto" w:fill="CCEEFF"/>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6,582</w:t>
            </w:r>
          </w:p>
        </w:tc>
        <w:tc>
          <w:tcPr>
            <w:tcW w:w="420" w:type="dxa"/>
            <w:vAlign w:val="bottom"/>
            <w:gridSpan w:val="2"/>
            <w:shd w:val="clear" w:color="auto" w:fill="CCEEFF"/>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6,257</w:t>
            </w:r>
          </w:p>
        </w:tc>
        <w:tc>
          <w:tcPr>
            <w:tcW w:w="0" w:type="dxa"/>
            <w:vAlign w:val="bottom"/>
          </w:tcPr>
          <w:p>
            <w:pPr>
              <w:spacing w:after="0"/>
              <w:rPr>
                <w:sz w:val="1"/>
                <w:szCs w:val="1"/>
                <w:color w:val="auto"/>
              </w:rPr>
            </w:pPr>
          </w:p>
        </w:tc>
      </w:tr>
      <w:tr>
        <w:trPr>
          <w:trHeight w:val="145"/>
        </w:trPr>
        <w:tc>
          <w:tcPr>
            <w:tcW w:w="666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Cash paid during the year for taxes</w:t>
            </w:r>
          </w:p>
        </w:tc>
        <w:tc>
          <w:tcPr>
            <w:tcW w:w="244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8</w:t>
            </w:r>
          </w:p>
        </w:tc>
        <w:tc>
          <w:tcPr>
            <w:tcW w:w="42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6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Fair value of warrants issued in connection with notes payable</w:t>
            </w:r>
          </w:p>
        </w:tc>
        <w:tc>
          <w:tcPr>
            <w:tcW w:w="244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14,836</w:t>
            </w:r>
          </w:p>
        </w:tc>
        <w:tc>
          <w:tcPr>
            <w:tcW w:w="42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17,672</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Settlement of bridge loan in connection with convertible securities</w:t>
            </w:r>
          </w:p>
        </w:tc>
        <w:tc>
          <w:tcPr>
            <w:tcW w:w="2440" w:type="dxa"/>
            <w:vAlign w:val="bottom"/>
            <w:gridSpan w:val="2"/>
            <w:shd w:val="clear" w:color="auto" w:fill="CCEEFF"/>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30,416</w:t>
            </w:r>
          </w:p>
        </w:tc>
        <w:tc>
          <w:tcPr>
            <w:tcW w:w="0" w:type="dxa"/>
            <w:vAlign w:val="bottom"/>
          </w:tcPr>
          <w:p>
            <w:pPr>
              <w:spacing w:after="0"/>
              <w:rPr>
                <w:sz w:val="1"/>
                <w:szCs w:val="1"/>
                <w:color w:val="auto"/>
              </w:rPr>
            </w:pPr>
          </w:p>
        </w:tc>
      </w:tr>
      <w:tr>
        <w:trPr>
          <w:trHeight w:val="145"/>
        </w:trPr>
        <w:tc>
          <w:tcPr>
            <w:tcW w:w="666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Cash paid during the year for health insurance industry fee</w:t>
            </w:r>
          </w:p>
        </w:tc>
        <w:tc>
          <w:tcPr>
            <w:tcW w:w="244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4,608</w:t>
            </w:r>
          </w:p>
        </w:tc>
        <w:tc>
          <w:tcPr>
            <w:tcW w:w="420" w:type="dxa"/>
            <w:vAlign w:val="bottom"/>
            <w:gridSpan w:val="2"/>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666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Right-of-use assets obtained in exchange for lease liabilities</w:t>
            </w:r>
          </w:p>
        </w:tc>
        <w:tc>
          <w:tcPr>
            <w:tcW w:w="2440" w:type="dxa"/>
            <w:vAlign w:val="bottom"/>
            <w:gridSpan w:val="2"/>
            <w:shd w:val="clear" w:color="auto" w:fill="CCEEFF"/>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450" w:right="3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12"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Clover Health Investments, Corp., incorporated on July 17, 2014, in the state of Delaware, together with its subsidiaries (collectively, the “Corporation” or “Clover”), provides highly affordable, benefit-rich Medicare Advantage (“MA”) plans that improve care through personalized, data-driven care. The Corporation’s regulated insurance subsidiaries, Clover Insurance Company and Clover HMO of New Jersey Inc., operate Preferred Provider Organization (“PPO”) and Health Maintenance Organization (“HMO”) health plans, respectively. Medical Service Professionals of NJ, LLC houses Clover’s employed physicians and the related support staff for Clover’s in-home complex care program. Clover’s administrative functions and insurance operations are primarily operated by the Clover Health, LLC and Clover Health Labs, LLC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4"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The Corporation has prepared these Consolidated Financial Statements in accordance with generally accepted accounting principles in the United States (“U.S. GAAP”), which differs materially from the accounting practices prescribed by various insurance regulatory authorities. The Consolidated Financial Statements include the accounts of the Corporation and its subsidiaries. Intercompany balances and transactions have been eliminated in consolidating these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4"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w:t>
      </w:r>
    </w:p>
    <w:p>
      <w:pPr>
        <w:spacing w:after="0" w:line="169"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 areas involving the most significant use of estimates are the amounts of incurred but not reported (“IBNR”) claims, recoveries from third parties for coordination of benefits, risk adjustment provisions related to Medicare contracts, and final determination of medical cost adjustment pools.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the valuation of investment securities, goodwill and other intangible assets, warrants, the embedded derivative related to the convertible securities, and stock-based compensation.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4" w:lineRule="exact"/>
        <w:rPr>
          <w:sz w:val="20"/>
          <w:szCs w:val="20"/>
          <w:color w:val="auto"/>
        </w:rPr>
      </w:pPr>
    </w:p>
    <w:p>
      <w:pPr>
        <w:ind w:right="540" w:firstLine="449"/>
        <w:spacing w:after="0" w:line="270"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The chief operating decision maker manages operations, allocates resources, and evaluates financial performance on a company-wide basis. The Company operates in one reporting segment.</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00"/>
          </w:cols>
          <w:pgMar w:left="320" w:top="450" w:right="37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4"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17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At December 31, 2018 and 2019, respectively, the Corporation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12"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Short-term investments consist of investments which the Corporation expects to convert into cash within one year, including time deposits and debt securities, which have original maturities greater than 90 days. Short-term investments are measured at their amortized cost. The carrying value of these instruments approximate their respective fair value due to the short-term maturity of these investments.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112"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Investment securities, which consist entirely of debt securities with fixed or determinable payments and fixed maturity dates, that the Corporation purchases with the intent and ability to sell before maturity, are classified as available-for-sale financial assets. Available-for-sale investments are measured at fair value and unrealized gains and losses, if any, are recorded in other comprehensive income, net of applicable income taxes, until realized from a sale or other-than-temporary impairment.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held-to-maturity</w:t>
      </w:r>
    </w:p>
    <w:p>
      <w:pPr>
        <w:spacing w:after="0" w:line="11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Investment securities, which consist entirely of debt securities with fixed or determinable payments and fixed maturity dates, where the Corporation has a positive intent and ability to hold to maturity, are classified as held-to-maturity financial assets. Subsequent to initial measurement, held-to-maturity investments are measured at amortized cost using the effective interest method less impairment. Unrealized holding gains or losses are not recognized.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than temporary impairment</w:t>
      </w:r>
    </w:p>
    <w:p>
      <w:pPr>
        <w:spacing w:after="0" w:line="112" w:lineRule="exact"/>
        <w:rPr>
          <w:sz w:val="20"/>
          <w:szCs w:val="20"/>
          <w:color w:val="auto"/>
        </w:rPr>
      </w:pPr>
    </w:p>
    <w:p>
      <w:pPr>
        <w:ind w:right="40" w:firstLine="449"/>
        <w:spacing w:after="0" w:line="262" w:lineRule="auto"/>
        <w:rPr>
          <w:sz w:val="20"/>
          <w:szCs w:val="20"/>
          <w:color w:val="auto"/>
        </w:rPr>
      </w:pPr>
      <w:r>
        <w:rPr>
          <w:rFonts w:ascii="Times New Roman" w:cs="Times New Roman" w:eastAsia="Times New Roman" w:hAnsi="Times New Roman"/>
          <w:sz w:val="17"/>
          <w:szCs w:val="17"/>
          <w:color w:val="auto"/>
        </w:rPr>
        <w:t>The Corporation has a process in place to identify securities that could potentially have an impairment that is other than 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issues. The Corporation considers relevant facts and circumstances in evaluating whether the impairment of a security is other than temporary. Relevant facts and circumstances considered include (1) the length of time and extent to which the fair value has been below cost or amortized cost, (2) adverse conditions specifically to the financial condition of the issuer or related to the industry, (3) geographic area of the issuer, or the underlying collateral of a security including the current and future impact of any specific events, (4) the payment structure of the security,</w:t>
      </w:r>
    </w:p>
    <w:p>
      <w:pPr>
        <w:spacing w:after="0" w:line="4" w:lineRule="exact"/>
        <w:rPr>
          <w:sz w:val="20"/>
          <w:szCs w:val="20"/>
          <w:color w:val="auto"/>
        </w:rPr>
      </w:pPr>
    </w:p>
    <w:p>
      <w:pPr>
        <w:ind w:right="120" w:firstLine="6"/>
        <w:spacing w:after="0" w:line="250" w:lineRule="auto"/>
        <w:tabs>
          <w:tab w:leader="none" w:pos="2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rating of the security by the rating agencies, (6) the volatility of the fair value changes, and (7) changes in fair value of the security after the balance sheet date and whether it is more likely than not that the Corporation will not be</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80"/>
          </w:cols>
          <w:pgMar w:left="320" w:top="450" w:right="39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required to sell the security until maturity or until it recovers in value. There are a number of significant risks and uncertainties inherent in the process of monitoring impairments and determining if an impairment is other than temporary.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information or fraudulent financial statements could be provided to the Corporation’s management to determine the fair value estimates and other than temporary impairments, and (4) the risk that new information obtained by the Corporation, or changes in other facts and circumstances lead the Corporation to change its intent to hold the security to maturity or until it recovers in value. Any of these situations could result in a charge to operations in a future period.</w:t>
      </w:r>
    </w:p>
    <w:p>
      <w:pPr>
        <w:spacing w:after="0" w:line="18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For a debt security in an unrealized loss position that the Corporation has the intent to sell, or it is more likely than not that the Corporation will have to sell the debt security before recovery of its amortized cost basis, the decline in value is deemed to be other-than-temporary and is recorded to other-than-temporary impairment losses, recognized in income in the Consolidated Statements of Operations and Comprehensive Loss.</w:t>
      </w:r>
    </w:p>
    <w:p>
      <w:pPr>
        <w:spacing w:after="0" w:line="17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For impaired debt securities that the Corporation does not intend to sell or it is more likely than not that it will not have to sell such securities, but the Corporation expects that it will not fully recover the amortized cost basis, the credit component of the other-than-temporary impairment is recognized in other-than temporary impairment losses, recognized in income in the Consolidated Statements of Operations and Comprehensive Loss, and the non-credit component of the other-than-temporary impairment is recognized in other comprehensive income.</w:t>
      </w:r>
    </w:p>
    <w:p>
      <w:pPr>
        <w:spacing w:after="0" w:line="185"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Corporation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2018 and 2019, respectively, there has been no impairment loss reported.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uncollectible receivables</w:t>
      </w:r>
    </w:p>
    <w:p>
      <w:pPr>
        <w:spacing w:after="0" w:line="114" w:lineRule="exact"/>
        <w:rPr>
          <w:sz w:val="20"/>
          <w:szCs w:val="20"/>
          <w:color w:val="auto"/>
        </w:rPr>
      </w:pPr>
    </w:p>
    <w:p>
      <w:pPr>
        <w:ind w:right="420" w:firstLine="449"/>
        <w:spacing w:after="0" w:line="270" w:lineRule="auto"/>
        <w:rPr>
          <w:sz w:val="20"/>
          <w:szCs w:val="20"/>
          <w:color w:val="auto"/>
        </w:rPr>
      </w:pPr>
      <w:r>
        <w:rPr>
          <w:rFonts w:ascii="Times New Roman" w:cs="Times New Roman" w:eastAsia="Times New Roman" w:hAnsi="Times New Roman"/>
          <w:sz w:val="18"/>
          <w:szCs w:val="18"/>
          <w:color w:val="auto"/>
        </w:rPr>
        <w:t>The Company assesses outstanding receivables at each period for collection risk. The majority of collections are from the Center for Medicare and Medicaid Services (“CMS”), an United States government entity that presents very limited credit risk.</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114" w:lineRule="exact"/>
        <w:rPr>
          <w:sz w:val="20"/>
          <w:szCs w:val="20"/>
          <w:color w:val="auto"/>
        </w:rPr>
      </w:pPr>
    </w:p>
    <w:p>
      <w:pPr>
        <w:jc w:val="both"/>
        <w:ind w:right="80" w:firstLine="449"/>
        <w:spacing w:after="0" w:line="258" w:lineRule="auto"/>
        <w:rPr>
          <w:sz w:val="20"/>
          <w:szCs w:val="20"/>
          <w:color w:val="auto"/>
        </w:rPr>
      </w:pPr>
      <w:r>
        <w:rPr>
          <w:rFonts w:ascii="Times New Roman" w:cs="Times New Roman" w:eastAsia="Times New Roman" w:hAnsi="Times New Roman"/>
          <w:sz w:val="18"/>
          <w:szCs w:val="18"/>
          <w:color w:val="auto"/>
        </w:rPr>
        <w:t>Investment income includes interest and dividends received or accrued on investments. Investment income is reported as earned and is presented net of related investment expenses. Realized gains or losses are recognized based on the specific identification method. Purchases and sales are recorded on a trade-date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4"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00"/>
          </w:cols>
          <w:pgMar w:left="320" w:top="450" w:right="37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40" w:firstLine="449"/>
        <w:spacing w:after="0" w:line="248" w:lineRule="auto"/>
        <w:rPr>
          <w:sz w:val="20"/>
          <w:szCs w:val="20"/>
          <w:color w:val="auto"/>
        </w:rPr>
      </w:pPr>
      <w:r>
        <w:rPr>
          <w:rFonts w:ascii="Times New Roman" w:cs="Times New Roman" w:eastAsia="Times New Roman" w:hAnsi="Times New Roman"/>
          <w:sz w:val="18"/>
          <w:szCs w:val="18"/>
          <w:color w:val="auto"/>
        </w:rPr>
        <w:t>To determine the fair value of its investments, the Corporation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market observable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market observable data is limited, the extent to which judgment is applied in determining fair value is greatly increased.</w:t>
      </w:r>
    </w:p>
    <w:p>
      <w:pPr>
        <w:spacing w:after="0" w:line="190" w:lineRule="exact"/>
        <w:rPr>
          <w:sz w:val="20"/>
          <w:szCs w:val="20"/>
          <w:color w:val="auto"/>
        </w:rPr>
      </w:pPr>
    </w:p>
    <w:p>
      <w:pPr>
        <w:ind w:right="460" w:firstLine="449"/>
        <w:spacing w:after="0" w:line="253" w:lineRule="auto"/>
        <w:rPr>
          <w:sz w:val="20"/>
          <w:szCs w:val="20"/>
          <w:color w:val="auto"/>
        </w:rPr>
      </w:pPr>
      <w:r>
        <w:rPr>
          <w:rFonts w:ascii="Times New Roman" w:cs="Times New Roman" w:eastAsia="Times New Roman" w:hAnsi="Times New Roman"/>
          <w:sz w:val="18"/>
          <w:szCs w:val="18"/>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Corporation would use in pricing the Corporation’s assets or liabilities based on independently derived and observable market data. Unobservable inputs are inputs that cannot be sourced from a broad active market in which assets or liabilities identical or similar to those of the Corporation are traded.</w:t>
      </w:r>
    </w:p>
    <w:p>
      <w:pPr>
        <w:spacing w:after="0" w:line="185"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The fair value hierarchy includes three levels of inputs based on the degree to which the exit price is independently observable or determinable that may be used to measure fair value as described below:</w:t>
      </w:r>
    </w:p>
    <w:p>
      <w:pPr>
        <w:spacing w:after="0" w:line="6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—Valuations are based on quoted (unadjusted) market prices in active markets for identical assets or liabilities. Since valuations are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181" w:lineRule="exact"/>
        <w:rPr>
          <w:sz w:val="20"/>
          <w:szCs w:val="20"/>
          <w:color w:val="auto"/>
        </w:rPr>
      </w:pPr>
    </w:p>
    <w:p>
      <w:pPr>
        <w:ind w:right="60" w:firstLine="449"/>
        <w:spacing w:after="0" w:line="259"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—Valuations are based on observable inputs other than Level 1 prices such as quoted prices in active markets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Valuations are based on techniques that use significant inputs that are unobservable and reflect management’s best estimate of what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when pricing the asset or liability, including assumptions about risk. The valuation of Level 3 assets and liabilities requires the greatest degree of judgment. These measurements may be made under circumstances in which there is little, if any, market activity for the asset or liability. The Corporation’s assessment of the significance of a particular input to the fair value measurement in its entirety requires judgment. In making the assessment, the Corporation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9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20"/>
          </w:cols>
          <w:pgMar w:left="320" w:top="450" w:right="35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approach, and are generally classified as Level 2. Clover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87" w:lineRule="exact"/>
        <w:rPr>
          <w:sz w:val="20"/>
          <w:szCs w:val="20"/>
          <w:color w:val="auto"/>
        </w:rPr>
      </w:pPr>
    </w:p>
    <w:p>
      <w:pPr>
        <w:ind w:right="40" w:firstLine="449"/>
        <w:spacing w:after="0" w:line="264" w:lineRule="auto"/>
        <w:rPr>
          <w:sz w:val="20"/>
          <w:szCs w:val="20"/>
          <w:color w:val="auto"/>
        </w:rPr>
      </w:pPr>
      <w:r>
        <w:rPr>
          <w:rFonts w:ascii="Times New Roman" w:cs="Times New Roman" w:eastAsia="Times New Roman" w:hAnsi="Times New Roman"/>
          <w:sz w:val="17"/>
          <w:szCs w:val="17"/>
          <w:color w:val="auto"/>
        </w:rPr>
        <w:t>Fair values of warrants and derivative liabilities related to convertible securities are estimated using a probability-weighted expected return method, where the values of various instruments are estimated based on an analysis of future values for the Corporation, assuming various future outcomes. The resulting instruments’ values are based upon the probability-weighted present value of expected future investment returns, considering each of the possible future outcomes available to the Corporation,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the most recent financing by the Corporation, comparing the subject instrument with similar instruments of publicly traded companies in similar lines of business, and reviewing the underlying financial performance of the Corporation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4" w:lineRule="exact"/>
        <w:rPr>
          <w:sz w:val="20"/>
          <w:szCs w:val="20"/>
          <w:color w:val="auto"/>
        </w:rPr>
      </w:pPr>
    </w:p>
    <w:p>
      <w:pPr>
        <w:ind w:right="140" w:firstLine="449"/>
        <w:spacing w:after="0" w:line="270" w:lineRule="auto"/>
        <w:rPr>
          <w:sz w:val="20"/>
          <w:szCs w:val="20"/>
          <w:color w:val="auto"/>
        </w:rPr>
      </w:pPr>
      <w:r>
        <w:rPr>
          <w:rFonts w:ascii="Times New Roman" w:cs="Times New Roman" w:eastAsia="Times New Roman" w:hAnsi="Times New Roman"/>
          <w:sz w:val="18"/>
          <w:szCs w:val="18"/>
          <w:color w:val="auto"/>
        </w:rPr>
        <w:t>Financial instruments that potentially subject the Corporation to concentrations of credit risk consist principally of cash and cash equivalents. Cash and cash equivalents are held with financial institutions of high quality. Balances may exceed the amount of insurance provided on such balances.</w:t>
      </w:r>
    </w:p>
    <w:p>
      <w:pPr>
        <w:spacing w:after="0" w:line="16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ceding of insurance does not legally discharge the Corporation from its primary liability for the full amount of the policy coverage, and therefore the Corporation will be required to pay the loss and bear collection risk if the reinsurer fails to meet its obligations under the reinsurance agreement. To minimize exposure to significant losses from reinsurance insolvencies, the Corporation evaluates the financial condition of its reinsurers and monitors concentrations of credit risk.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Costs</w:t>
      </w:r>
    </w:p>
    <w:p>
      <w:pPr>
        <w:spacing w:after="0" w:line="114" w:lineRule="exact"/>
        <w:rPr>
          <w:sz w:val="20"/>
          <w:szCs w:val="20"/>
          <w:color w:val="auto"/>
        </w:rPr>
      </w:pPr>
    </w:p>
    <w:p>
      <w:pPr>
        <w:ind w:right="180" w:firstLine="449"/>
        <w:spacing w:after="0" w:line="253" w:lineRule="auto"/>
        <w:rPr>
          <w:sz w:val="20"/>
          <w:szCs w:val="20"/>
          <w:color w:val="auto"/>
        </w:rPr>
      </w:pPr>
      <w:r>
        <w:rPr>
          <w:rFonts w:ascii="Times New Roman" w:cs="Times New Roman" w:eastAsia="Times New Roman" w:hAnsi="Times New Roman"/>
          <w:sz w:val="18"/>
          <w:szCs w:val="18"/>
          <w:color w:val="auto"/>
        </w:rPr>
        <w:t>Acquisition costs that vary with and are directly related to the acquisition of new and renewal business, including commissions, are deferred and subsequently amortized. Deferred acquisition costs are recorded as other assets on the Consolidated Balance Sheets and are amortized over the estimated life of the contracts. The amortization of deferred acquisition costs is recorded in general and administrative expenses in the Consolidated Statements of Operations and Comprehensive Loss.</w:t>
      </w:r>
    </w:p>
    <w:p>
      <w:pPr>
        <w:spacing w:after="0" w:line="185" w:lineRule="exact"/>
        <w:rPr>
          <w:sz w:val="20"/>
          <w:szCs w:val="20"/>
          <w:color w:val="auto"/>
        </w:rPr>
      </w:pPr>
    </w:p>
    <w:p>
      <w:pPr>
        <w:ind w:right="500" w:firstLine="449"/>
        <w:spacing w:after="0" w:line="270" w:lineRule="auto"/>
        <w:rPr>
          <w:sz w:val="20"/>
          <w:szCs w:val="20"/>
          <w:color w:val="auto"/>
        </w:rPr>
      </w:pPr>
      <w:r>
        <w:rPr>
          <w:rFonts w:ascii="Times New Roman" w:cs="Times New Roman" w:eastAsia="Times New Roman" w:hAnsi="Times New Roman"/>
          <w:sz w:val="18"/>
          <w:szCs w:val="18"/>
          <w:color w:val="auto"/>
        </w:rPr>
        <w:t>To the extent that a premium deficiency is identified after writing down unamortized deferred acquisition costs, a liability for premium deficiency reserve is established and reported on the Consolidated Balance Sheets.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14"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Property and equipment, net is reported at cost less accumulated depreciation. Depreciation is recorded using the straight-line method over the estimated useful lives of the respective assets, which are generally three to</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450" w:right="3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in operating costs.</w:t>
      </w:r>
    </w:p>
    <w:p>
      <w:pPr>
        <w:spacing w:after="0" w:line="179"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14"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187"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Goodwill is assigned to the reporting units that are expected to benefit from the specific synergies of the business combination. Management uses a two-step process to review goodwill for impairment to determine both the existence and amount of goodwill impairment, if any. Impairment tests are performed, at a minimum, in the fourth quarter of each year. Management uses the future discounted cash flows valuation approach to determine the fair value of reporting units and determines whether the fair value of reporting units exceeded its carrying amounts. If the fair value is less than the carrying amount,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revenues, operating margins, growth rates and discount rates. There was no impairment of goodwill during the year ended December 31, 2019.</w:t>
      </w:r>
    </w:p>
    <w:p>
      <w:pPr>
        <w:spacing w:after="0" w:line="193"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Corporation may elect to bypass the qualitative assessment, or if a qualitative assessment indicates it is more likely than not that the estimated carrying value exceeds the fair value, the Corporation will test for impairment using a quantitative process. If the Corporation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Corporation and the resulting cash flows. As of December 31, 2018, and 2019, respectively, there were no circumstances that indicate that the carrying amount of intangible assets deemed to have an indefinite useful life may not be recoverable.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14" w:lineRule="exact"/>
        <w:rPr>
          <w:sz w:val="20"/>
          <w:szCs w:val="20"/>
          <w:color w:val="auto"/>
        </w:rPr>
      </w:pPr>
    </w:p>
    <w:p>
      <w:pPr>
        <w:ind w:right="320" w:firstLine="449"/>
        <w:spacing w:after="0" w:line="270" w:lineRule="auto"/>
        <w:rPr>
          <w:sz w:val="20"/>
          <w:szCs w:val="20"/>
          <w:color w:val="auto"/>
        </w:rPr>
      </w:pPr>
      <w:r>
        <w:rPr>
          <w:rFonts w:ascii="Times New Roman" w:cs="Times New Roman" w:eastAsia="Times New Roman" w:hAnsi="Times New Roman"/>
          <w:sz w:val="18"/>
          <w:szCs w:val="18"/>
          <w:color w:val="auto"/>
        </w:rPr>
        <w:t>In the normal course of business, the Corporation seeks to reduce losses by reinsuring certain levels of risk in areas of exposure with other insurance enterprises or reinsurers. Amounts recoverable from reinsurers are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450" w:right="3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collectability of the reinsurance recoverable is evaluated based upon a number of factors. Such factors include if the balance is subject to legal collection, the amounts outstanding, length of collection periods, disputes, any collateral or letters of credit held and other relevant factors. To the extent that an allowance for uncollectible reinsurance recoverable is established, amounts deemed to be uncollectible would be written off against the allowance for estimated uncollectible reinsurance recoverable. The Corporation had no allowances for uncollectible reinsurance recoverable as of December 31, 2018 and 2019, respectively. Amounts recoverable from reinsurers are estimated in a manner consistent with the liability associated with the reinsured business and consistent with the terms of the underlying contracts. Although reinsurance agreements contractually obligate reinsurers to reimburse the Corporation for their share of losses, they do not discharge the primary liability of the Corporation. The Corporation remains liable for unpaid claims and claims adjustment expenses associated with ceded insured risks in the event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Unpaid claims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Unpaid claims and unpaid claims adjustment expenses include reported claims and IBNR, as well as the estimated expense of processing these claims.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develops an estimate for IBNR using actuarial methodologies and assumptions, primarily based upon historical claim experience.</w:t>
      </w:r>
    </w:p>
    <w:p>
      <w:pPr>
        <w:spacing w:after="0" w:line="19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185"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Liabilities for both reported claims and IBNR not yet processed through the Corporation’s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Corporation reserving practice is to consistently recognize an actuarial best estimate inclusive of a provision for moderately adverse conditions. This provision is reported as part of incurred claims.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Claim Expense</w:t>
      </w:r>
    </w:p>
    <w:p>
      <w:pPr>
        <w:spacing w:after="0" w:line="114" w:lineRule="exact"/>
        <w:rPr>
          <w:sz w:val="20"/>
          <w:szCs w:val="20"/>
          <w:color w:val="auto"/>
        </w:rPr>
      </w:pPr>
    </w:p>
    <w:p>
      <w:pPr>
        <w:jc w:val="both"/>
        <w:ind w:right="240" w:firstLine="449"/>
        <w:spacing w:after="0" w:line="258" w:lineRule="auto"/>
        <w:rPr>
          <w:sz w:val="20"/>
          <w:szCs w:val="20"/>
          <w:color w:val="auto"/>
        </w:rPr>
      </w:pPr>
      <w:r>
        <w:rPr>
          <w:rFonts w:ascii="Times New Roman" w:cs="Times New Roman" w:eastAsia="Times New Roman" w:hAnsi="Times New Roman"/>
          <w:sz w:val="18"/>
          <w:szCs w:val="18"/>
          <w:color w:val="auto"/>
        </w:rPr>
        <w:t>The Company recognizes the cost of medical claims in the period in which services are provided, including an estimate of the cost of medical claims incurred but not reported (“IBNR”). Medical claim expense reported in the Consolidated Statements of Operations and Comprehensive Loss includes direct medical expenses.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20"/>
          </w:cols>
          <w:pgMar w:left="320" w:top="450" w:right="3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Direct medical expenses include amounts paid or payable to hospitals, physicians, pharmacy benefit managers, providers of ancillary services, mandatory supplemental benefits, and is inclusive of the medical expense related to the Company’s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in healthcare receivable in the Consolidated Balance Sheets. Overpayments to providers are recognized as a contra medical expense and reported as other receivables in the Consolidated Balance Sheets.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deficiency reserve</w:t>
      </w:r>
    </w:p>
    <w:p>
      <w:pPr>
        <w:spacing w:after="0" w:line="114" w:lineRule="exact"/>
        <w:rPr>
          <w:sz w:val="20"/>
          <w:szCs w:val="20"/>
          <w:color w:val="auto"/>
        </w:rPr>
      </w:pPr>
    </w:p>
    <w:p>
      <w:pPr>
        <w:ind w:right="560" w:firstLine="449"/>
        <w:spacing w:after="0" w:line="270" w:lineRule="auto"/>
        <w:rPr>
          <w:sz w:val="20"/>
          <w:szCs w:val="20"/>
          <w:color w:val="auto"/>
        </w:rPr>
      </w:pPr>
      <w:r>
        <w:rPr>
          <w:rFonts w:ascii="Times New Roman" w:cs="Times New Roman" w:eastAsia="Times New Roman" w:hAnsi="Times New Roman"/>
          <w:sz w:val="18"/>
          <w:szCs w:val="18"/>
          <w:color w:val="auto"/>
        </w:rPr>
        <w:t>A liability for premium deficiency reserve is an actuarial estimate for anticipated losses on the Corporation’s Medicare Advantage and Medicare Advantage Part D (“MAPD”) business.</w:t>
      </w:r>
    </w:p>
    <w:p>
      <w:pPr>
        <w:spacing w:after="0" w:line="16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Management reassesses the profitability of contracts for providing insurance coverage to members when operating results or forecasts indicate probable future losses. Management establishes a premium deficiency reserve in current operations to the extent that the sum of expected future costs, claim adjustment expenses, and maintenance costs exceeds related future premiums under contracts without consideration of investment income.</w:t>
      </w:r>
    </w:p>
    <w:p>
      <w:pPr>
        <w:spacing w:after="0" w:line="179"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For purposes of calculating premium deficiency reserves, management groups contracts in a manner consistent with the method of acquiring, servicing, and measuring the profitability of such contracts.</w:t>
      </w:r>
    </w:p>
    <w:p>
      <w:pPr>
        <w:spacing w:after="0" w:line="16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Losses recognized as a premium deficiency are recorded in the period in which such losses were identified and reflected in the Consolidated Statements of Operations and Comprehensive Loss. Losses recognized as a premium deficiency result in a beneficial effect in subsequent periods as operating losses under these contracts are charged to the liability previously established.</w:t>
      </w:r>
    </w:p>
    <w:p>
      <w:pPr>
        <w:spacing w:after="0" w:line="179"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The Patient Protection and Affordable Care Act and The Health Care and Education Reconciliation Act of 2010 (the “Health Care Reform Law”) enacted significant reforms to various aspects of the U.S. health insurance industry. As part of the Health Care Reform Law insurance industry assessments were established, including an annual health insurance industry fee (“HIF”), which became effective in 2014. The HIF was applicable in 2018, suspended in 2019, and will resume for calendar year 2020. The HIF is not deductible for income tax purposes. The 2019 premium deficiency reserve is inclusive of the HIF. The Corporation estimates a liability for the HIF and records it in full once qualifying insurance coverage is provided in the applicable calendar year in which the fee is payable, with a corresponding deferred cost that is amortized ratably to expense over the same calendar year. The deferred cost is recorded in other assets on the Consolidated Balance Sheets. The Corporation paid the federal government approximately $4.6 million for the HIF in 2018, reflected in general and administrative expenses in the Consolidated Statements of Operations and Comprehensive Loss.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and securities payable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2"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Corporation’s debt financings are capitalized and amortized to interest expense over the life of the related debt using the effective interest method. Debt issuance costs are presented as a direct deduction from the carrying amount of the related debt liability, consistent with the presentation of debt discounts. As of December 31, 2018 and 2019, unamortized debt issuance costs of approximately $0.2 million and $0.1 million, respectively, are netted against the notes and securities payable on the Consolidated Balance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80"/>
          </w:cols>
          <w:pgMar w:left="320" w:top="450" w:right="39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7"/>
          <w:szCs w:val="17"/>
          <w:color w:val="auto"/>
        </w:rPr>
        <w:t>Sheets. Total interest expense for debt issuance costs is approximately $0.1 million and $0.1 million, for the years ended December 31, 2018 and 2019, respectively. Separately, as the carrying amount of the convertible securities was $0 at issuance, the respective debt issuance costs of approximately $0.4 million were expensed on the Consolidated Statements of Operations and Comprehensive Loss during the year ended December 31,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Non-convertible notes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Corporation records the non-convertible notes at carrying value, net of discounts on the Consolidated Balance Sheets.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securities</w:t>
      </w:r>
    </w:p>
    <w:p>
      <w:pPr>
        <w:spacing w:after="0" w:line="112" w:lineRule="exact"/>
        <w:rPr>
          <w:sz w:val="20"/>
          <w:szCs w:val="20"/>
          <w:color w:val="auto"/>
        </w:rPr>
      </w:pPr>
    </w:p>
    <w:p>
      <w:pPr>
        <w:ind w:right="560" w:firstLine="449"/>
        <w:spacing w:after="0" w:line="270" w:lineRule="auto"/>
        <w:rPr>
          <w:sz w:val="20"/>
          <w:szCs w:val="20"/>
          <w:color w:val="auto"/>
        </w:rPr>
      </w:pPr>
      <w:r>
        <w:rPr>
          <w:rFonts w:ascii="Times New Roman" w:cs="Times New Roman" w:eastAsia="Times New Roman" w:hAnsi="Times New Roman"/>
          <w:sz w:val="18"/>
          <w:szCs w:val="18"/>
          <w:color w:val="auto"/>
        </w:rPr>
        <w:t>The Corporation accounts for convertible securities in accordance with the accounting guidance for debt with conversion and other options, after determining whether embedded conversion options should be bifurcated from their host instruments.</w:t>
      </w:r>
    </w:p>
    <w:p>
      <w:pPr>
        <w:spacing w:after="0" w:line="16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Conversion options that are not bifurcated as a derivative and not accounted for as a separate equity component are evaluated to determine whether they are beneficial to the investor at inception, a beneficial conversion feature (“BCF”), or may become beneficial in the future due to potential adjustments. A BCF is defined as a nondetachable conversion feature that is in the money at the commitment date and the applicable accounting guidance requires recognition of the conversion option’s intrinsic value in equity, with an offsetting reduction to the carrying amount of the instrument. The Corporation accretes the resulting discount using the effective interest method over the life of the instrument.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Corporation records, as applicable, discounts to convertible securities for the intrinsic value of conversion options embedded in debt instruments.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 on the debt are amortized over the term of the securities, using the effective interest method.</w:t>
      </w:r>
    </w:p>
    <w:p>
      <w:pPr>
        <w:spacing w:after="0" w:line="199" w:lineRule="exact"/>
        <w:rPr>
          <w:sz w:val="20"/>
          <w:szCs w:val="20"/>
          <w:color w:val="auto"/>
        </w:rPr>
      </w:pPr>
    </w:p>
    <w:p>
      <w:pPr>
        <w:ind w:right="320" w:firstLine="449"/>
        <w:spacing w:after="0" w:line="270" w:lineRule="auto"/>
        <w:rPr>
          <w:sz w:val="20"/>
          <w:szCs w:val="20"/>
          <w:color w:val="auto"/>
        </w:rPr>
      </w:pPr>
      <w:r>
        <w:rPr>
          <w:rFonts w:ascii="Times New Roman" w:cs="Times New Roman" w:eastAsia="Times New Roman" w:hAnsi="Times New Roman"/>
          <w:sz w:val="18"/>
          <w:szCs w:val="18"/>
          <w:color w:val="auto"/>
        </w:rPr>
        <w:t>Convertible securities are recorded at carrying value, net of discounts on the Consolidated Balance Sheets. The fair value of convertible securities is calculated for the purposes of determining the fair value of the related derivative liabilities.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payable</w:t>
      </w:r>
    </w:p>
    <w:p>
      <w:pPr>
        <w:spacing w:after="0" w:line="114" w:lineRule="exact"/>
        <w:rPr>
          <w:sz w:val="20"/>
          <w:szCs w:val="20"/>
          <w:color w:val="auto"/>
        </w:rPr>
      </w:pPr>
    </w:p>
    <w:p>
      <w:pPr>
        <w:ind w:right="100" w:firstLine="449"/>
        <w:spacing w:after="0" w:line="251" w:lineRule="auto"/>
        <w:rPr>
          <w:sz w:val="20"/>
          <w:szCs w:val="20"/>
          <w:color w:val="auto"/>
        </w:rPr>
      </w:pPr>
      <w:r>
        <w:rPr>
          <w:rFonts w:ascii="Times New Roman" w:cs="Times New Roman" w:eastAsia="Times New Roman" w:hAnsi="Times New Roman"/>
          <w:sz w:val="18"/>
          <w:szCs w:val="18"/>
          <w:color w:val="auto"/>
        </w:rPr>
        <w:t>For warrants issued in connection with notes payable, the Corporation determines whether the warrants are considered freestanding instruments. The warrants are considered to be freestanding instruments if they meet either of the following conditions: (1) they are entered into separately and apart from any of the Corporation’s other financial instruments or equity transactions or (2) they are entered into in conjunction with some other transaction and are legally detachable and separately exercisable. The Corporation considers its warrants to be legally detachable and separately exercisable from the simultaneous notes payable transactions they were issued with, and therefore accounts for them separately.</w:t>
      </w:r>
    </w:p>
    <w:p>
      <w:pPr>
        <w:spacing w:after="0" w:line="187"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To determine the balance sheet classification for these warrants, the Corporation evaluates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the Consolidated Statements of Operations and Comprehensive Loss.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20"/>
          </w:cols>
          <w:pgMar w:left="320" w:top="450" w:right="35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14" w:lineRule="exact"/>
        <w:rPr>
          <w:sz w:val="20"/>
          <w:szCs w:val="20"/>
          <w:color w:val="auto"/>
        </w:rPr>
      </w:pPr>
    </w:p>
    <w:p>
      <w:pPr>
        <w:jc w:val="both"/>
        <w:ind w:right="40" w:firstLine="449"/>
        <w:spacing w:after="0" w:line="253" w:lineRule="auto"/>
        <w:rPr>
          <w:sz w:val="20"/>
          <w:szCs w:val="20"/>
          <w:color w:val="auto"/>
        </w:rPr>
      </w:pPr>
      <w:r>
        <w:rPr>
          <w:rFonts w:ascii="Times New Roman" w:cs="Times New Roman" w:eastAsia="Times New Roman" w:hAnsi="Times New Roman"/>
          <w:sz w:val="18"/>
          <w:szCs w:val="18"/>
          <w:color w:val="auto"/>
        </w:rPr>
        <w:t>The Corporation evaluates the embedded features of its convertible securities by applying the derivatives accounting guidance. Derivatives embedded within non-derivative instruments, such as the convertible securities, are bifurcated from the host instrument when the embedded derivative is not clearly and closely related to the host instrument. The Corporation’s embedded derivatives associated with its convertible securities are recognized as derivative liabilities and recorded at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12"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as other liabilities on the Consolidated Balance Sheets and recognized as revenue when earned.</w:t>
      </w:r>
    </w:p>
    <w:p>
      <w:pPr>
        <w:spacing w:after="0" w:line="185"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Premiums anticipated to be received within twelve months based on the documented diagnostic criteria of the Corporation’s enrollees are estimated and included in revenue for the period including the member months for which the payment is designated by the CMS.</w:t>
      </w:r>
    </w:p>
    <w:p>
      <w:pPr>
        <w:spacing w:after="0" w:line="169"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CMS uses a risk-adjustment model which adjusts premiums paid to MA contracts, based on risk scores that are compared with the overall average risk scores for the relevant state and market pool. Generally, if a risk score is below the average risk score the Corporation is required to make a risk adjustment payment into the risk pool, and if a risk score is above the average risk score the Corporation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Corporation’s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in the Corporation’s Consolidated Statements of Operations and Comprehensive Loss, based upon available information.</w:t>
      </w:r>
    </w:p>
    <w:p>
      <w:pPr>
        <w:spacing w:after="0" w:line="190" w:lineRule="exact"/>
        <w:rPr>
          <w:sz w:val="20"/>
          <w:szCs w:val="20"/>
          <w:color w:val="auto"/>
        </w:rPr>
      </w:pPr>
    </w:p>
    <w:p>
      <w:pPr>
        <w:ind w:right="200" w:firstLine="449"/>
        <w:spacing w:after="0" w:line="270" w:lineRule="auto"/>
        <w:rPr>
          <w:sz w:val="20"/>
          <w:szCs w:val="20"/>
          <w:color w:val="auto"/>
        </w:rPr>
      </w:pPr>
      <w:r>
        <w:rPr>
          <w:rFonts w:ascii="Times New Roman" w:cs="Times New Roman" w:eastAsia="Times New Roman" w:hAnsi="Times New Roman"/>
          <w:sz w:val="18"/>
          <w:szCs w:val="18"/>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MAPD revenue</w:t>
      </w:r>
    </w:p>
    <w:p>
      <w:pPr>
        <w:spacing w:after="0" w:line="112" w:lineRule="exact"/>
        <w:rPr>
          <w:sz w:val="20"/>
          <w:szCs w:val="20"/>
          <w:color w:val="auto"/>
        </w:rPr>
      </w:pPr>
    </w:p>
    <w:p>
      <w:pPr>
        <w:ind w:right="160" w:firstLine="449"/>
        <w:spacing w:after="0" w:line="250" w:lineRule="auto"/>
        <w:rPr>
          <w:sz w:val="20"/>
          <w:szCs w:val="20"/>
          <w:color w:val="auto"/>
        </w:rPr>
      </w:pPr>
      <w:r>
        <w:rPr>
          <w:rFonts w:ascii="Times New Roman" w:cs="Times New Roman" w:eastAsia="Times New Roman" w:hAnsi="Times New Roman"/>
          <w:sz w:val="18"/>
          <w:szCs w:val="18"/>
          <w:color w:val="auto"/>
        </w:rPr>
        <w:t>Payments received from CMS and members from Clover participation in the MAPD program are determined from the Corporation’s annual bid and represent amounts for providing prescription drug insurance coverage are recognized as premium revenue for providing this insurance coverage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Corporation or require the Corporation to refund to CMS a portion of the premiums received. As risk corridor provisions are considered in the overall</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00"/>
          </w:cols>
          <w:pgMar w:left="320" w:top="450" w:right="37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8"/>
          <w:szCs w:val="18"/>
          <w:color w:val="auto"/>
        </w:rPr>
        <w:t>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69" w:lineRule="exact"/>
        <w:rPr>
          <w:sz w:val="20"/>
          <w:szCs w:val="20"/>
          <w:color w:val="auto"/>
        </w:rPr>
      </w:pPr>
    </w:p>
    <w:p>
      <w:pPr>
        <w:ind w:right="280" w:firstLine="449"/>
        <w:spacing w:after="0" w:line="253" w:lineRule="auto"/>
        <w:rPr>
          <w:sz w:val="20"/>
          <w:szCs w:val="20"/>
          <w:color w:val="auto"/>
        </w:rPr>
      </w:pPr>
      <w:r>
        <w:rPr>
          <w:rFonts w:ascii="Times New Roman" w:cs="Times New Roman" w:eastAsia="Times New Roman" w:hAnsi="Times New Roman"/>
          <w:sz w:val="18"/>
          <w:szCs w:val="18"/>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185"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Payments from CMS for reinsurance and low-income cost subsidies are based on assumptions submitted with the annual bid. A reconciliation and related settlement of CMS’s prospective subsidies against actual prescription drug costs paid is made after the end of the year. Consumer discounts of 50% on brand name prescription drugs for participants in the coverage gap are funded by CMS and pharmaceutical manufacturers. The Corporation accounts for these subsidies and discounts in other assets in the Consolidated Balance Sheets and as an operating activity in the Consolidated Statements of Cash Flows. The Corporation does not recognize premiums revenue or claim expenses for these subsidies or discounts.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Effective January 1, 2019, the Corporation adopted Accounting Standard Update (“ASU”) 2016-02, Leases Accounting Standards Codification (“ASC”) 842, as amended, using the required modified retrospective approach and utilizing the effective date as its date of initial application. Results and disclosure requirements for reporting periods after January 1, 2019 are presented in accordance with ASC 842, while prior period amounts have not been adjusted and continue to be reported in accordance with the historical accounting per ASC 840, Leases.</w:t>
      </w:r>
    </w:p>
    <w:p>
      <w:pPr>
        <w:spacing w:after="0" w:line="185"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the Corporation determines whether the arrangement is or contains a lease based on the unique facts and circumstances present in the arrangement including the use of an identified asset(s) and the Corporation’s control over the use of that identified asset. The Corporation does not recognize leases with a lease term of one year or less on its balance sheet. Leases with a term greater than one year are recognized on the balance sheet as right-of-use (“ROU”) assets and lease liabilities. As of December 31, 2019, the Corporation does not have any financing leases.</w:t>
      </w:r>
    </w:p>
    <w:p>
      <w:pPr>
        <w:spacing w:after="0" w:line="185"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As of December 31, 2019, the Corporation has not included optional extension periods in the measurement of its leases as they are not reasonably certain of exercise. The Corporation monitors its plans to renew its material leases on a quarterly basis.</w:t>
      </w:r>
    </w:p>
    <w:p>
      <w:pPr>
        <w:spacing w:after="0" w:line="187" w:lineRule="exact"/>
        <w:rPr>
          <w:sz w:val="20"/>
          <w:szCs w:val="20"/>
          <w:color w:val="auto"/>
        </w:rPr>
      </w:pPr>
    </w:p>
    <w:p>
      <w:pPr>
        <w:ind w:right="260" w:firstLine="449"/>
        <w:spacing w:after="0" w:line="251" w:lineRule="auto"/>
        <w:rPr>
          <w:sz w:val="20"/>
          <w:szCs w:val="20"/>
          <w:color w:val="auto"/>
        </w:rPr>
      </w:pPr>
      <w:r>
        <w:rPr>
          <w:rFonts w:ascii="Times New Roman" w:cs="Times New Roman" w:eastAsia="Times New Roman" w:hAnsi="Times New Roman"/>
          <w:sz w:val="18"/>
          <w:szCs w:val="18"/>
          <w:color w:val="auto"/>
        </w:rPr>
        <w:t>Where the rates implicit in the Corporation’s leases are not readily determinable, the Corporation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Corporation is estimated using a synthetic credit rating analysis since the Corporation does not currently have a rating agency-based credit rating.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20"/>
          </w:cols>
          <w:pgMar w:left="320" w:top="450" w:right="3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Corporation has elected to account for lease and non-lease components together as a single lease component for all underlying assets and allocate all of the contract consideration to the lease component only.</w:t>
      </w:r>
    </w:p>
    <w:p>
      <w:pPr>
        <w:spacing w:after="0" w:line="185"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8"/>
          <w:szCs w:val="18"/>
          <w:color w:val="auto"/>
        </w:rPr>
        <w:t>In determining the classification of a lease as operating or finance, ASC 842 allows for the use of judgment in determining whether the assumed lease term is for a major part of the remaining economic life of the underlying asset and whether the present value of lease payments represents substantially all of the fair value of the underlying asset. The Corporation applies the bright line thresholds referenced in the lease guidance of 75 percent to represent “a major part” and 90 percent to represent “substantially all” as allowed in ASC 842 in evaluating leases for appropriate classification. These are applied consistently to the Corporation’s entire portfolio of leases.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4" w:lineRule="exact"/>
        <w:rPr>
          <w:sz w:val="20"/>
          <w:szCs w:val="20"/>
          <w:color w:val="auto"/>
        </w:rPr>
      </w:pPr>
    </w:p>
    <w:p>
      <w:pPr>
        <w:ind w:right="60" w:firstLine="449"/>
        <w:spacing w:after="0" w:line="249" w:lineRule="auto"/>
        <w:rPr>
          <w:sz w:val="20"/>
          <w:szCs w:val="20"/>
          <w:color w:val="auto"/>
        </w:rPr>
      </w:pPr>
      <w:r>
        <w:rPr>
          <w:rFonts w:ascii="Times New Roman" w:cs="Times New Roman" w:eastAsia="Times New Roman" w:hAnsi="Times New Roman"/>
          <w:sz w:val="18"/>
          <w:szCs w:val="18"/>
          <w:color w:val="auto"/>
        </w:rPr>
        <w:t>The Corporation accounts for all stock-based payment awards granted to employees and non-employees as stock-based compensation expense at fair value. The Corporation’s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accompanying Consolidated Statements of Operations and Comprehensive Loss in salaries and benefits. The Corporation recognizes stock-based compensation expense for the portion of awards that have vested. Forfeitures are recorded as they occur.</w:t>
      </w:r>
    </w:p>
    <w:p>
      <w:pPr>
        <w:spacing w:after="0" w:line="189"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Corporation is a private entity and lacks entity-specific historical and implied volatility information. Therefore, it estimates its expected stock volatility based on the historical volatility of a publicly traded set of peer companies. The expected term of the Corporation’s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Corporation has never paid cash dividends on common stock and does not expect to pay any cash dividends in the foreseeable future.</w:t>
      </w:r>
    </w:p>
    <w:p>
      <w:pPr>
        <w:spacing w:after="0" w:line="187"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For warrants issued to non-employees as payments for services, the Corporation considers the warrants to be in scope of stock-based compensation guidance to non-employees. To determine whether the warrants should be classified as liabilities or equity awards, the Corporation evaluates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450" w:right="3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14" w:lineRule="exact"/>
        <w:rPr>
          <w:sz w:val="20"/>
          <w:szCs w:val="20"/>
          <w:color w:val="auto"/>
        </w:rPr>
      </w:pPr>
    </w:p>
    <w:p>
      <w:pPr>
        <w:ind w:right="80" w:firstLine="449"/>
        <w:spacing w:after="0" w:line="270" w:lineRule="auto"/>
        <w:rPr>
          <w:sz w:val="20"/>
          <w:szCs w:val="20"/>
          <w:color w:val="auto"/>
        </w:rPr>
      </w:pPr>
      <w:r>
        <w:rPr>
          <w:rFonts w:ascii="Times New Roman" w:cs="Times New Roman" w:eastAsia="Times New Roman" w:hAnsi="Times New Roman"/>
          <w:sz w:val="18"/>
          <w:szCs w:val="18"/>
          <w:color w:val="auto"/>
        </w:rPr>
        <w:t>Comprehensive income is a measurement of certain changes in stockholders’ deficit that results from transactions and other economic events other than transactions with the stockholders. The cumulative amount of these changes is reported on the Consolidated Balance Sheets.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1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The Corporation accounts for its contingent liabilities in accordance with the contingencies accounting guidance.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taxes</w:t>
      </w:r>
    </w:p>
    <w:p>
      <w:pPr>
        <w:spacing w:after="0" w:line="114"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8"/>
          <w:szCs w:val="18"/>
          <w:color w:val="auto"/>
        </w:rPr>
        <w:t>The Corporation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Corporation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As of December 31, 2018 and 2019, respectively, sufficient doubt existed over the Corporation’s ability to generate sufficient taxable income to realize its deferred income tax assets, and accordingly, the Corporation has provided a full valuation allowance against its deferred tax assets.</w:t>
      </w:r>
    </w:p>
    <w:p>
      <w:pPr>
        <w:spacing w:after="0" w:line="193" w:lineRule="exact"/>
        <w:rPr>
          <w:sz w:val="20"/>
          <w:szCs w:val="20"/>
          <w:color w:val="auto"/>
        </w:rPr>
      </w:pPr>
    </w:p>
    <w:p>
      <w:pPr>
        <w:ind w:right="100" w:firstLine="449"/>
        <w:spacing w:after="0" w:line="250" w:lineRule="auto"/>
        <w:rPr>
          <w:sz w:val="20"/>
          <w:szCs w:val="20"/>
          <w:color w:val="auto"/>
        </w:rPr>
      </w:pPr>
      <w:r>
        <w:rPr>
          <w:rFonts w:ascii="Times New Roman" w:cs="Times New Roman" w:eastAsia="Times New Roman" w:hAnsi="Times New Roman"/>
          <w:sz w:val="18"/>
          <w:szCs w:val="18"/>
          <w:color w:val="auto"/>
        </w:rPr>
        <w:t>The Corporation records tax benefits when it is more likely than not that the tax return position taken with respect to a particular transaction will be sustained. A liability, if recorded, is not considered resolved until the statute of limitations for the relevant taxing authority to examine and challenge the tax position has expired, or the tax position is ultimately settled through examination, negotiation, or litigation. The Corporation did not have any uncertain tax positions during the years ended December 31, 2018 and 2019, respectively. The Corporation classifies interest and penalties associated with uncertain tax positions in its provision for income taxes. The Corporation did not incur or record any interest and penalties related to uncertain tax positions as of or during, the years ended December 31, 2018 and 2019,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14" w:lineRule="exact"/>
        <w:rPr>
          <w:sz w:val="20"/>
          <w:szCs w:val="20"/>
          <w:color w:val="auto"/>
        </w:rPr>
      </w:pPr>
    </w:p>
    <w:p>
      <w:pPr>
        <w:ind w:right="880" w:firstLine="449"/>
        <w:spacing w:after="0" w:line="270"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450" w:right="3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9"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attributable to common stockholders, such losses are not allocated to such participating securities.</w:t>
      </w:r>
    </w:p>
    <w:p>
      <w:pPr>
        <w:spacing w:after="0" w:line="179" w:lineRule="exact"/>
        <w:rPr>
          <w:sz w:val="20"/>
          <w:szCs w:val="20"/>
          <w:color w:val="auto"/>
        </w:rPr>
      </w:pPr>
    </w:p>
    <w:p>
      <w:pPr>
        <w:jc w:val="both"/>
        <w:ind w:right="20" w:firstLine="449"/>
        <w:spacing w:after="0" w:line="280" w:lineRule="auto"/>
        <w:rPr>
          <w:sz w:val="20"/>
          <w:szCs w:val="20"/>
          <w:color w:val="auto"/>
        </w:rPr>
      </w:pPr>
      <w:r>
        <w:rPr>
          <w:rFonts w:ascii="Times New Roman" w:cs="Times New Roman" w:eastAsia="Times New Roman" w:hAnsi="Times New Roman"/>
          <w:sz w:val="17"/>
          <w:szCs w:val="17"/>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2018 and 2019.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0" w:lineRule="exact"/>
        <w:rPr>
          <w:sz w:val="20"/>
          <w:szCs w:val="20"/>
          <w:color w:val="auto"/>
        </w:rPr>
      </w:pPr>
    </w:p>
    <w:p>
      <w:pPr>
        <w:ind w:right="260" w:firstLine="449"/>
        <w:spacing w:after="0" w:line="250"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 modified by subsequently issued ASU’s 2015-14, 2016-08, 2016-10, 2016-12 and 2016-20 (collectively ASU 2014-09). ASU 2014-09 superseded existing revenue recognition standards with a single model unless those contracts are within the scope of other standards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insurance entity’s insurance contracts). The revenue recognition principle in ASU 2014-09 is that an entity should recognize revenue to depict the transfer of goods or services to customers in an amount that reflects the consideration to which the entity expects to be entitled in exchange for those goods or services. Adoption of ASU 2014-09 did not have a material impact on the Corporation’s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ASC 842, as amended, which superseded the lease accounting requirements in ASC 840 and created ASC 842. The Corporation elected to early adopt ASC 842, using the required modified retrospective approach and utilizing the effective date of January 1, 2019 as its date of initial application. As a result, prior periods are presented in accordance with the previous guidance in ASC 840.</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80"/>
          </w:cols>
          <w:pgMar w:left="320" w:top="450" w:right="39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Corporation elected the short-term lease expedient for leases with a term of one year or less, which permits a lessee to not recognize lease assets and lease liabilities for those leases. Lessees continue to differentiate between finance leases (previously referred to as capital leases) and operating leases using classification criteria that are substantially similar to the previous guidance. In addition, the Corporation elected to utilize the package of practical expedients which allowed it to not reassess the following: (i) whether any expired or existing contracts contained leases; (ii) the lease classification for any expired or existing leases; and (iii) the treatment of initial direct costs for any existing leases.</w:t>
      </w:r>
    </w:p>
    <w:p>
      <w:pPr>
        <w:spacing w:after="0" w:line="187"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In transition, the Corporation elected to utilize the remaining lease term of its leases, as of the effective date, in determining the appropriate incremental borrowing rate. Lease cost for operating leases is recognized on a straight-line basis over the lease term as an operating expense. Variable lease costs are expensed as incurred as an operating expense.</w:t>
      </w:r>
    </w:p>
    <w:p>
      <w:pPr>
        <w:spacing w:after="0" w:line="179"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8"/>
          <w:szCs w:val="18"/>
          <w:color w:val="auto"/>
        </w:rPr>
        <w:t>The adoption of this standard resulted in the recognition of operating lease ROU assets of approximately $14.3 million and lease liabilities of approximately $17.4 million, on the Corporation’s Consolidated Balance Sheets at adoption relating to its office leases in New Jersey and San Francisco. The difference between the ROU assets and lease liabilities was due to previously recorded net deferred rent liabilities and incentives that were de-recognized and reclassified into the ROU assets. The adoption of ASU 2016-02 did not have a material impact on the Corporation’s liquidity or the Consolidated Statements of Operations and Comprehensive Loss.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110" w:lineRule="exact"/>
        <w:rPr>
          <w:sz w:val="20"/>
          <w:szCs w:val="20"/>
          <w:color w:val="auto"/>
        </w:rPr>
      </w:pPr>
    </w:p>
    <w:p>
      <w:pPr>
        <w:ind w:right="2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This update addresses eight specific cash flow issues with the objective of reducing the existing diversity in practice in how certain cash receipts and cash payments are presented and classified. ASU 2016-15 is effective for nonpublic entities in fiscal years beginning after December 15, 2018. Adoption of ASU 2016-15 did not have a material impact on the Corporation’s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0"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ASU 2016-18 is intended to clarify how entities present restricted cash in the statement of cash flows. The guidance requires entities to show the changes in the total of cash and cash equivalents and restricted cash in the statement of cash flows. As a result, entities will no longer present transfers between cash and cash equivalents and restricted cash in the statement of cash flows. When cash and cash equivalents and restricted cash are presented in more than one line-item on the balance sheet, the new guidance requires a reconciliation of the totals in the statement of cash flows to the related captions in the balance sheet. This reconciliation can be presented either on the face of the statement of cash flows or in the notes to the financial statements. ASU 2016-18 is effective for nonpublic entities in fiscal years beginning after December 15, 2018, and is to be applied retrospectively. The Corporation adopted ASC 2016-18 effective January 1, 2019. Adoption of ASU 2016-18 did not have a material impact on the Corporation’s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0" w:lineRule="exact"/>
        <w:rPr>
          <w:sz w:val="20"/>
          <w:szCs w:val="20"/>
          <w:color w:val="auto"/>
        </w:rPr>
      </w:pPr>
    </w:p>
    <w:p>
      <w:pPr>
        <w:ind w:right="540" w:firstLine="449"/>
        <w:spacing w:after="0" w:line="259"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ASU 2017-09 clarifies which changes to the terms or conditions of a share-based payment award must be accounted for as modifications. An entity should apply modification accounting if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450" w:right="3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 vesting conditions or classification of the award (as an equity instrument or liability instrument) changes as a result of the change in terms or conditions of the award. The new standard was early adopted by the Corporation on January 1, 2018, on a prospective basis. The adoption of ASU 2017-09 did not have a material impact on the Corporation’s Consolidated Financial Statements.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comprehensive income</w:t>
      </w:r>
    </w:p>
    <w:p>
      <w:pPr>
        <w:spacing w:after="0" w:line="110" w:lineRule="exact"/>
        <w:rPr>
          <w:sz w:val="20"/>
          <w:szCs w:val="20"/>
          <w:color w:val="auto"/>
        </w:rPr>
      </w:pPr>
    </w:p>
    <w:p>
      <w:pPr>
        <w:jc w:val="both"/>
        <w:ind w:right="80" w:firstLine="449"/>
        <w:spacing w:after="0" w:line="267" w:lineRule="auto"/>
        <w:rPr>
          <w:sz w:val="20"/>
          <w:szCs w:val="20"/>
          <w:color w:val="auto"/>
        </w:rPr>
      </w:pPr>
      <w:r>
        <w:rPr>
          <w:rFonts w:ascii="Times New Roman" w:cs="Times New Roman" w:eastAsia="Times New Roman" w:hAnsi="Times New Roman"/>
          <w:sz w:val="17"/>
          <w:szCs w:val="17"/>
          <w:color w:val="auto"/>
        </w:rPr>
        <w:t xml:space="preserve">In February 2018, the FASB issued ASU 2018-02, </w:t>
      </w:r>
      <w:r>
        <w:rPr>
          <w:rFonts w:ascii="Times New Roman" w:cs="Times New Roman" w:eastAsia="Times New Roman" w:hAnsi="Times New Roman"/>
          <w:sz w:val="17"/>
          <w:szCs w:val="17"/>
          <w:i w:val="1"/>
          <w:iCs w:val="1"/>
          <w:color w:val="auto"/>
        </w:rPr>
        <w:t>Reclassification of Certain Tax Effects from Accumulated Other Comprehensive Income</w:t>
      </w:r>
      <w:r>
        <w:rPr>
          <w:rFonts w:ascii="Times New Roman" w:cs="Times New Roman" w:eastAsia="Times New Roman" w:hAnsi="Times New Roman"/>
          <w:sz w:val="17"/>
          <w:szCs w:val="17"/>
          <w:color w:val="auto"/>
        </w:rPr>
        <w:t>. This update allows entities to make an election to reclassify from accumulated other comprehensive income to retained earnings the stranded tax effects resulting from the Tax Cuts and Jobs Act of 2017. This ASU is effective for nonpublic entities in fiscal years beginning after December 15, 2018. Early adoption is permitted.</w:t>
      </w:r>
    </w:p>
    <w:p>
      <w:pPr>
        <w:spacing w:after="0" w:line="2" w:lineRule="exact"/>
        <w:rPr>
          <w:sz w:val="20"/>
          <w:szCs w:val="20"/>
          <w:color w:val="auto"/>
        </w:rPr>
      </w:pPr>
    </w:p>
    <w:p>
      <w:pPr>
        <w:ind w:right="720"/>
        <w:spacing w:after="0" w:line="250" w:lineRule="auto"/>
        <w:rPr>
          <w:sz w:val="20"/>
          <w:szCs w:val="20"/>
          <w:color w:val="auto"/>
        </w:rPr>
      </w:pPr>
      <w:r>
        <w:rPr>
          <w:rFonts w:ascii="Times New Roman" w:cs="Times New Roman" w:eastAsia="Times New Roman" w:hAnsi="Times New Roman"/>
          <w:sz w:val="18"/>
          <w:szCs w:val="18"/>
          <w:color w:val="auto"/>
        </w:rPr>
        <w:t>The Corporation elected to early adopt ASU 2018-02 on July 1, 2018. Adoption of ASU 2018-02 did not have a material impact on the Corporation’s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share-based payments</w:t>
      </w:r>
    </w:p>
    <w:p>
      <w:pPr>
        <w:spacing w:after="0" w:line="110"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Compensation—Stock Compensation (Topic 718)—Improvements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This ASU expands the scope of Topic 718 to include share-based payment transactions for acquiring goods and services from nonemployees.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This ASU also includes nonpublic entity-specific amendments for calculated value and intrinsic value. For nonpublic entities, ASU 2018-07 is effective for nonpublic entities in fiscal years beginning after December 15, 2019. Early adoption is permitted, but no earlier than an entity’s adoption date of Topic 606. The new standard was early adopted by the Corporation on January 1, 2018. Adoption of ASU 2018-07 did not have a material impact on the Corporation’s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110" w:lineRule="exact"/>
        <w:rPr>
          <w:sz w:val="20"/>
          <w:szCs w:val="20"/>
          <w:color w:val="auto"/>
        </w:rPr>
      </w:pPr>
    </w:p>
    <w:p>
      <w:pPr>
        <w:ind w:right="280" w:firstLine="449"/>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was subsequently modified by several ASUs issued in 2018 and 2019. This standard introduces a new current expected credit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Early adoption is permitted. The Corporation is currently evaluating the impact of ASU 2016-13 on the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10" w:lineRule="exact"/>
        <w:rPr>
          <w:sz w:val="20"/>
          <w:szCs w:val="20"/>
          <w:color w:val="auto"/>
        </w:rPr>
      </w:pPr>
    </w:p>
    <w:p>
      <w:pPr>
        <w:ind w:right="340" w:firstLine="449"/>
        <w:spacing w:after="0" w:line="273"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This update removes Step 2 of the goodwill impairment test under current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450" w:right="3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with early adoption permitted for interim or annual goodwill impairment tests performed on testing dates after January 1, 2017. The Corporation is currently evaluating the impact of the adoption of ASU 2017-04 on the Consolidated Financial Statements.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0"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Changes to Disclosure Requirements for Fair Value Measurements</w:t>
      </w:r>
      <w:r>
        <w:rPr>
          <w:rFonts w:ascii="Times New Roman" w:cs="Times New Roman" w:eastAsia="Times New Roman" w:hAnsi="Times New Roman"/>
          <w:sz w:val="18"/>
          <w:szCs w:val="18"/>
          <w:color w:val="auto"/>
        </w:rPr>
        <w:t>, which will improve the effectiveness of disclosure requirements for recurring and nonrecurring fair value measurements. The standard removes, modifies, and adds certain disclosure requirements, and is effective for all entities in fiscal years beginning after December 15, 2019. The Corporation is currently evaluating the impact of ASU 2018-13 on the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0" w:lineRule="exact"/>
        <w:rPr>
          <w:sz w:val="20"/>
          <w:szCs w:val="20"/>
          <w:color w:val="auto"/>
        </w:rPr>
      </w:pPr>
    </w:p>
    <w:p>
      <w:pPr>
        <w:ind w:right="120" w:firstLine="449"/>
        <w:spacing w:after="0" w:line="250"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Income Taxes (Topic 740):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with early adoption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ASU 2019-12 on the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carrying value and fair value of investment securities are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2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5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36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860"/>
              <w:spacing w:after="0" w:line="157" w:lineRule="exact"/>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4"/>
                <w:szCs w:val="14"/>
                <w:color w:val="auto"/>
              </w:rPr>
            </w:pPr>
          </w:p>
        </w:tc>
        <w:tc>
          <w:tcPr>
            <w:tcW w:w="860" w:type="dxa"/>
            <w:vAlign w:val="bottom"/>
            <w:gridSpan w:val="2"/>
          </w:tcPr>
          <w:p>
            <w:pPr>
              <w:jc w:val="right"/>
              <w:ind w:right="500"/>
              <w:spacing w:after="0" w:line="157" w:lineRule="exact"/>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803"/>
              <w:spacing w:after="0" w:line="157" w:lineRule="exact"/>
              <w:rPr>
                <w:sz w:val="20"/>
                <w:szCs w:val="20"/>
                <w:color w:val="auto"/>
              </w:rPr>
            </w:pPr>
            <w:r>
              <w:rPr>
                <w:rFonts w:ascii="Times New Roman" w:cs="Times New Roman" w:eastAsia="Times New Roman" w:hAnsi="Times New Roman"/>
                <w:sz w:val="14"/>
                <w:szCs w:val="14"/>
                <w:b w:val="1"/>
                <w:bCs w:val="1"/>
                <w:color w:val="auto"/>
              </w:rPr>
              <w:t>losses</w:t>
            </w:r>
          </w:p>
        </w:tc>
        <w:tc>
          <w:tcPr>
            <w:tcW w:w="540" w:type="dxa"/>
            <w:vAlign w:val="bottom"/>
            <w:gridSpan w:val="2"/>
          </w:tcPr>
          <w:p>
            <w:pPr>
              <w:jc w:val="right"/>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5"/>
        </w:trPr>
        <w:tc>
          <w:tcPr>
            <w:tcW w:w="1140" w:type="dxa"/>
            <w:vAlign w:val="bottom"/>
            <w:tcBorders>
              <w:top w:val="single" w:sz="8" w:color="auto"/>
            </w:tcBorders>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ind w:left="38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7,919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83"/>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7,912</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of government-sponsored entities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3"/>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1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2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Pr>
          <w:p>
            <w:pPr>
              <w:jc w:val="right"/>
              <w:ind w:right="58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00" w:type="dxa"/>
            <w:vAlign w:val="bottom"/>
            <w:gridSpan w:val="2"/>
          </w:tcPr>
          <w:p>
            <w:pPr>
              <w:jc w:val="right"/>
              <w:ind w:right="563"/>
              <w:spacing w:after="0"/>
              <w:rPr>
                <w:sz w:val="20"/>
                <w:szCs w:val="20"/>
                <w:color w:val="auto"/>
              </w:rPr>
            </w:pPr>
            <w:r>
              <w:rPr>
                <w:rFonts w:ascii="Times New Roman" w:cs="Times New Roman" w:eastAsia="Times New Roman" w:hAnsi="Times New Roman"/>
                <w:sz w:val="18"/>
                <w:szCs w:val="18"/>
                <w:color w:val="auto"/>
              </w:rPr>
              <w:t>F-59</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2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1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3"/>
          </w:tcPr>
          <w:p>
            <w:pPr>
              <w:jc w:val="right"/>
              <w:ind w:right="700"/>
              <w:spacing w:after="0" w:line="145" w:lineRule="exact"/>
              <w:rPr>
                <w:sz w:val="20"/>
                <w:szCs w:val="20"/>
                <w:color w:val="auto"/>
              </w:rPr>
            </w:pPr>
            <w:r>
              <w:rPr>
                <w:rFonts w:ascii="Times New Roman" w:cs="Times New Roman" w:eastAsia="Times New Roman" w:hAnsi="Times New Roman"/>
                <w:sz w:val="14"/>
                <w:szCs w:val="14"/>
                <w:b w:val="1"/>
                <w:bCs w:val="1"/>
                <w:color w:val="auto"/>
                <w:w w:val="95"/>
              </w:rPr>
              <w:t>unrealized</w:t>
            </w:r>
          </w:p>
        </w:tc>
        <w:tc>
          <w:tcPr>
            <w:tcW w:w="6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8"/>
              </w:rPr>
              <w:t>unrealized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60" w:type="dxa"/>
            <w:vAlign w:val="bottom"/>
            <w:gridSpan w:val="3"/>
            <w:vMerge w:val="continue"/>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900"/>
              <w:spacing w:after="0" w:line="157" w:lineRule="exact"/>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4"/>
                <w:szCs w:val="14"/>
                <w:color w:val="auto"/>
              </w:rPr>
            </w:pPr>
          </w:p>
        </w:tc>
        <w:tc>
          <w:tcPr>
            <w:tcW w:w="1220" w:type="dxa"/>
            <w:vAlign w:val="bottom"/>
            <w:gridSpan w:val="2"/>
          </w:tcPr>
          <w:p>
            <w:pPr>
              <w:jc w:val="right"/>
              <w:ind w:right="860"/>
              <w:spacing w:after="0" w:line="157"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4"/>
                <w:szCs w:val="14"/>
                <w:color w:val="auto"/>
              </w:rPr>
            </w:pPr>
          </w:p>
        </w:tc>
        <w:tc>
          <w:tcPr>
            <w:tcW w:w="52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losses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42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12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56,382</w:t>
            </w:r>
          </w:p>
        </w:tc>
        <w:tc>
          <w:tcPr>
            <w:tcW w:w="10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56,428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2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57,045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57,113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amortized cost and fair value of debt securities at December 31, 2019, by contractual maturity, are shown below:</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40" w:type="dxa"/>
            <w:vAlign w:val="bottom"/>
          </w:tcPr>
          <w:p>
            <w:pPr>
              <w:spacing w:after="0"/>
              <w:rPr>
                <w:sz w:val="14"/>
                <w:szCs w:val="14"/>
                <w:color w:val="auto"/>
              </w:rPr>
            </w:pPr>
          </w:p>
        </w:tc>
        <w:tc>
          <w:tcPr>
            <w:tcW w:w="17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0" w:type="dxa"/>
            <w:vAlign w:val="bottom"/>
          </w:tcPr>
          <w:p>
            <w:pPr>
              <w:spacing w:after="0"/>
              <w:rPr>
                <w:sz w:val="1"/>
                <w:szCs w:val="1"/>
                <w:color w:val="auto"/>
              </w:rPr>
            </w:pPr>
          </w:p>
        </w:tc>
      </w:tr>
      <w:tr>
        <w:trPr>
          <w:trHeight w:val="114"/>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80" w:type="dxa"/>
            <w:vAlign w:val="bottom"/>
          </w:tcPr>
          <w:p>
            <w:pPr>
              <w:spacing w:after="0"/>
              <w:rPr>
                <w:sz w:val="9"/>
                <w:szCs w:val="9"/>
                <w:color w:val="auto"/>
              </w:rPr>
            </w:pPr>
          </w:p>
        </w:tc>
        <w:tc>
          <w:tcPr>
            <w:tcW w:w="1180" w:type="dxa"/>
            <w:vAlign w:val="bottom"/>
            <w:tcBorders>
              <w:top w:val="single" w:sz="8" w:color="auto"/>
            </w:tcBorders>
            <w:gridSpan w:val="3"/>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Fair</w:t>
            </w:r>
          </w:p>
        </w:tc>
        <w:tc>
          <w:tcPr>
            <w:tcW w:w="540" w:type="dxa"/>
            <w:vAlign w:val="bottom"/>
          </w:tcPr>
          <w:p>
            <w:pPr>
              <w:spacing w:after="0"/>
              <w:rPr>
                <w:sz w:val="9"/>
                <w:szCs w:val="9"/>
                <w:color w:val="auto"/>
              </w:rPr>
            </w:pPr>
          </w:p>
        </w:tc>
        <w:tc>
          <w:tcPr>
            <w:tcW w:w="920" w:type="dxa"/>
            <w:vAlign w:val="bottom"/>
            <w:tcBorders>
              <w:top w:val="single" w:sz="8" w:color="auto"/>
            </w:tcBorders>
            <w:gridSpan w:val="3"/>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center"/>
              <w:ind w:right="18"/>
              <w:spacing w:after="0" w:line="114" w:lineRule="exact"/>
              <w:rPr>
                <w:sz w:val="20"/>
                <w:szCs w:val="20"/>
                <w:color w:val="auto"/>
              </w:rPr>
            </w:pPr>
            <w:r>
              <w:rPr>
                <w:rFonts w:ascii="Times New Roman" w:cs="Times New Roman" w:eastAsia="Times New Roman" w:hAnsi="Times New Roman"/>
                <w:sz w:val="13"/>
                <w:szCs w:val="13"/>
                <w:b w:val="1"/>
                <w:bCs w:val="1"/>
                <w:color w:val="auto"/>
              </w:rPr>
              <w:t>Fair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54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2"/>
          </w:tcPr>
          <w:p>
            <w:pPr>
              <w:jc w:val="right"/>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4"/>
                <w:szCs w:val="14"/>
                <w:color w:val="auto"/>
              </w:rPr>
            </w:pPr>
          </w:p>
        </w:tc>
        <w:tc>
          <w:tcPr>
            <w:tcW w:w="78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5"/>
        </w:trPr>
        <w:tc>
          <w:tcPr>
            <w:tcW w:w="1140" w:type="dxa"/>
            <w:vAlign w:val="bottom"/>
            <w:tcBorders>
              <w:top w:val="single" w:sz="8" w:color="auto"/>
            </w:tcBorders>
          </w:tcPr>
          <w:p>
            <w:pPr>
              <w:spacing w:after="0"/>
              <w:rPr>
                <w:sz w:val="12"/>
                <w:szCs w:val="12"/>
                <w:color w:val="auto"/>
              </w:rPr>
            </w:pPr>
          </w:p>
        </w:tc>
        <w:tc>
          <w:tcPr>
            <w:tcW w:w="3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ind w:left="32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0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553</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56,428</w:t>
            </w:r>
          </w:p>
        </w:tc>
        <w:tc>
          <w:tcPr>
            <w:tcW w:w="0" w:type="dxa"/>
            <w:vAlign w:val="bottom"/>
          </w:tcPr>
          <w:p>
            <w:pPr>
              <w:spacing w:after="0"/>
              <w:rPr>
                <w:sz w:val="1"/>
                <w:szCs w:val="1"/>
                <w:color w:val="auto"/>
              </w:rPr>
            </w:pPr>
          </w:p>
        </w:tc>
      </w:tr>
      <w:tr>
        <w:trPr>
          <w:trHeight w:val="21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110</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663</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685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56,382</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56,428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2018 and 2019, respectively, net investment income was derived from the following sources: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5"/>
                <w:szCs w:val="15"/>
                <w:color w:val="auto"/>
              </w:rPr>
            </w:pPr>
          </w:p>
        </w:tc>
        <w:tc>
          <w:tcPr>
            <w:tcW w:w="9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145"/>
        </w:trPr>
        <w:tc>
          <w:tcPr>
            <w:tcW w:w="820" w:type="dxa"/>
            <w:vAlign w:val="bottom"/>
            <w:tcBorders>
              <w:top w:val="single" w:sz="8" w:color="auto"/>
            </w:tcBorders>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212"/>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2"/>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r>
      <w:tr>
        <w:trPr>
          <w:trHeight w:val="21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2,904</w:t>
            </w:r>
          </w:p>
        </w:tc>
      </w:tr>
      <w:tr>
        <w:trPr>
          <w:trHeight w:val="212"/>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r>
      <w:tr>
        <w:trPr>
          <w:trHeight w:val="218"/>
        </w:trPr>
        <w:tc>
          <w:tcPr>
            <w:tcW w:w="7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1,060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4,539</w:t>
            </w:r>
          </w:p>
        </w:tc>
        <w:tc>
          <w:tcPr>
            <w:tcW w:w="6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issues.</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60"/>
          </w:cols>
          <w:pgMar w:left="320" w:top="450" w:right="51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320" w:firstLine="449"/>
        <w:spacing w:after="0" w:line="300" w:lineRule="auto"/>
        <w:rPr>
          <w:sz w:val="20"/>
          <w:szCs w:val="20"/>
          <w:color w:val="auto"/>
        </w:rPr>
      </w:pPr>
      <w:r>
        <w:rPr>
          <w:rFonts w:ascii="Times New Roman" w:cs="Times New Roman" w:eastAsia="Times New Roman" w:hAnsi="Times New Roman"/>
          <w:sz w:val="17"/>
          <w:szCs w:val="17"/>
          <w:color w:val="auto"/>
        </w:rPr>
        <w:t>There were no investment securities in an unrealized loss position as of December 31, 2019. Gross unrealized losses and fair values aggregated by investment category and length of time that individual securities have been in a continuous unrealized loss position were as follows at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40" w:type="dxa"/>
            <w:vAlign w:val="bottom"/>
            <w:tcBorders>
              <w:top w:val="single" w:sz="8" w:color="auto"/>
            </w:tcBorders>
            <w:gridSpan w:val="2"/>
          </w:tcPr>
          <w:p>
            <w:pPr>
              <w:jc w:val="center"/>
              <w:ind w:right="440"/>
              <w:spacing w:after="0" w:line="114" w:lineRule="exact"/>
              <w:rPr>
                <w:sz w:val="20"/>
                <w:szCs w:val="20"/>
                <w:color w:val="auto"/>
              </w:rPr>
            </w:pPr>
            <w:r>
              <w:rPr>
                <w:rFonts w:ascii="Times New Roman" w:cs="Times New Roman" w:eastAsia="Times New Roman" w:hAnsi="Times New Roman"/>
                <w:sz w:val="13"/>
                <w:szCs w:val="13"/>
                <w:b w:val="1"/>
                <w:bCs w:val="1"/>
                <w:color w:val="auto"/>
              </w:rPr>
              <w:t>Fair</w:t>
            </w:r>
          </w:p>
        </w:tc>
        <w:tc>
          <w:tcPr>
            <w:tcW w:w="660" w:type="dxa"/>
            <w:vAlign w:val="bottom"/>
            <w:tcBorders>
              <w:top w:val="single" w:sz="8" w:color="auto"/>
            </w:tcBorders>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520"/>
              <w:spacing w:after="0" w:line="114"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19"/>
              <w:spacing w:after="0" w:line="114"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500" w:type="dxa"/>
            <w:vAlign w:val="bottom"/>
          </w:tcPr>
          <w:p>
            <w:pPr>
              <w:spacing w:after="0"/>
              <w:rPr>
                <w:sz w:val="9"/>
                <w:szCs w:val="9"/>
                <w:color w:val="auto"/>
              </w:rPr>
            </w:pPr>
          </w:p>
        </w:tc>
        <w:tc>
          <w:tcPr>
            <w:tcW w:w="560" w:type="dxa"/>
            <w:vAlign w:val="bottom"/>
            <w:tcBorders>
              <w:top w:val="single" w:sz="8" w:color="auto"/>
            </w:tcBorders>
            <w:gridSpan w:val="2"/>
          </w:tcPr>
          <w:p>
            <w:pPr>
              <w:jc w:val="right"/>
              <w:ind w:right="180"/>
              <w:spacing w:after="0" w:line="114" w:lineRule="exact"/>
              <w:rPr>
                <w:sz w:val="20"/>
                <w:szCs w:val="20"/>
                <w:color w:val="auto"/>
              </w:rPr>
            </w:pPr>
            <w:r>
              <w:rPr>
                <w:rFonts w:ascii="Times New Roman" w:cs="Times New Roman" w:eastAsia="Times New Roman" w:hAnsi="Times New Roman"/>
                <w:sz w:val="13"/>
                <w:szCs w:val="13"/>
                <w:b w:val="1"/>
                <w:bCs w:val="1"/>
                <w:color w:val="auto"/>
              </w:rPr>
              <w:t>Fair</w:t>
            </w:r>
          </w:p>
        </w:tc>
        <w:tc>
          <w:tcPr>
            <w:tcW w:w="3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180" w:type="dxa"/>
            <w:vAlign w:val="bottom"/>
            <w:gridSpan w:val="2"/>
            <w:vMerge w:val="continue"/>
          </w:tcPr>
          <w:p>
            <w:pPr>
              <w:spacing w:after="0"/>
              <w:rPr>
                <w:sz w:val="14"/>
                <w:szCs w:val="14"/>
                <w:color w:val="auto"/>
              </w:rPr>
            </w:pPr>
          </w:p>
        </w:tc>
        <w:tc>
          <w:tcPr>
            <w:tcW w:w="940" w:type="dxa"/>
            <w:vAlign w:val="bottom"/>
            <w:gridSpan w:val="2"/>
          </w:tcPr>
          <w:p>
            <w:pPr>
              <w:jc w:val="center"/>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4"/>
                <w:szCs w:val="14"/>
                <w:color w:val="auto"/>
              </w:rPr>
            </w:pPr>
          </w:p>
        </w:tc>
        <w:tc>
          <w:tcPr>
            <w:tcW w:w="58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loss</w:t>
            </w:r>
          </w:p>
        </w:tc>
        <w:tc>
          <w:tcPr>
            <w:tcW w:w="420" w:type="dxa"/>
            <w:vAlign w:val="bottom"/>
          </w:tcPr>
          <w:p>
            <w:pPr>
              <w:spacing w:after="0"/>
              <w:rPr>
                <w:sz w:val="14"/>
                <w:szCs w:val="14"/>
                <w:color w:val="auto"/>
              </w:rPr>
            </w:pPr>
          </w:p>
        </w:tc>
        <w:tc>
          <w:tcPr>
            <w:tcW w:w="920" w:type="dxa"/>
            <w:vAlign w:val="bottom"/>
            <w:gridSpan w:val="3"/>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4"/>
                <w:szCs w:val="14"/>
                <w:color w:val="auto"/>
              </w:rPr>
            </w:pPr>
          </w:p>
        </w:tc>
        <w:tc>
          <w:tcPr>
            <w:tcW w:w="1240" w:type="dxa"/>
            <w:vAlign w:val="bottom"/>
            <w:gridSpan w:val="2"/>
          </w:tcPr>
          <w:p>
            <w:pPr>
              <w:jc w:val="right"/>
              <w:ind w:right="820"/>
              <w:spacing w:after="0" w:line="157" w:lineRule="exact"/>
              <w:rPr>
                <w:sz w:val="20"/>
                <w:szCs w:val="20"/>
                <w:color w:val="auto"/>
              </w:rPr>
            </w:pPr>
            <w:r>
              <w:rPr>
                <w:rFonts w:ascii="Times New Roman" w:cs="Times New Roman" w:eastAsia="Times New Roman" w:hAnsi="Times New Roman"/>
                <w:sz w:val="14"/>
                <w:szCs w:val="14"/>
                <w:b w:val="1"/>
                <w:bCs w:val="1"/>
                <w:color w:val="auto"/>
              </w:rPr>
              <w:t>loss</w:t>
            </w:r>
          </w:p>
        </w:tc>
        <w:tc>
          <w:tcPr>
            <w:tcW w:w="56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5"/>
        </w:trPr>
        <w:tc>
          <w:tcPr>
            <w:tcW w:w="1140" w:type="dxa"/>
            <w:vAlign w:val="bottom"/>
            <w:tcBorders>
              <w:top w:val="single" w:sz="8" w:color="auto"/>
            </w:tcBorders>
          </w:tcPr>
          <w:p>
            <w:pPr>
              <w:spacing w:after="0"/>
              <w:rPr>
                <w:sz w:val="12"/>
                <w:szCs w:val="12"/>
                <w:color w:val="auto"/>
              </w:rPr>
            </w:pPr>
          </w:p>
        </w:tc>
        <w:tc>
          <w:tcPr>
            <w:tcW w:w="40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7"/>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 except number of positions)</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$4,527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2"/>
              </w:rPr>
              <w:t>$4,825</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2"/>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government-sponsored entities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6,519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6,817</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Number of positions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80" w:firstLine="449"/>
        <w:spacing w:after="0" w:line="300" w:lineRule="auto"/>
        <w:rPr>
          <w:sz w:val="20"/>
          <w:szCs w:val="20"/>
          <w:color w:val="auto"/>
        </w:rPr>
      </w:pPr>
      <w:r>
        <w:rPr>
          <w:rFonts w:ascii="Times New Roman" w:cs="Times New Roman" w:eastAsia="Times New Roman" w:hAnsi="Times New Roman"/>
          <w:sz w:val="17"/>
          <w:szCs w:val="17"/>
          <w:color w:val="auto"/>
        </w:rPr>
        <w:t>As of December 31, 2018 and 2019, all securities were investment grade, with credit ratings of AA+ or higher by S&amp;P. Unrealized losses on investment grade securities are principally related to changes in interest rates or changes in issuer or sector related credit spreads since the securities were acquired.</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gross unrealized investment losses as of December 31, 2018, were deemed to be temporary, based on, among other things:</w:t>
      </w:r>
    </w:p>
    <w:p>
      <w:pPr>
        <w:spacing w:after="0" w:line="124" w:lineRule="exact"/>
        <w:rPr>
          <w:sz w:val="20"/>
          <w:szCs w:val="20"/>
          <w:color w:val="auto"/>
        </w:rPr>
      </w:pPr>
    </w:p>
    <w:p>
      <w:pPr>
        <w:ind w:left="1000" w:right="20" w:hanging="439"/>
        <w:spacing w:after="0" w:line="270"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time and the relative magnitude to which fair values of these investments have been below their amortized cost was not indicative of an other-than-temporary impairment (“OTTI”) loss;</w:t>
      </w:r>
    </w:p>
    <w:p>
      <w:pPr>
        <w:spacing w:after="0" w:line="76" w:lineRule="exact"/>
        <w:rPr>
          <w:rFonts w:ascii="Times New Roman" w:cs="Times New Roman" w:eastAsia="Times New Roman" w:hAnsi="Times New Roman"/>
          <w:sz w:val="18"/>
          <w:szCs w:val="18"/>
          <w:color w:val="auto"/>
        </w:rPr>
      </w:pPr>
    </w:p>
    <w:p>
      <w:pPr>
        <w:ind w:left="1000" w:right="200" w:hanging="439"/>
        <w:spacing w:after="0" w:line="270"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compelling evidence that would cause the Corporation to call into question the financial condition or near-term prospects of the issuer of the investment; and</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ability and intent to hold the investment for a period of time sufficient to allow for any anticipated recovery.</w:t>
      </w:r>
    </w:p>
    <w:p>
      <w:pPr>
        <w:spacing w:after="0" w:line="216"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auto"/>
        </w:rPr>
        <w:t>The Corporation may ultimately record a realized loss after having originally concluded that the decline in value was temporary. Risks and uncertainties are inherent in the methodology the Corporation uses to assess other-than-temporary declines in value. Risks and uncertainties could include, but are not limited to, incorrect assumptions about financial condition, liquidity or future prospects, inadequacy of any underlying collateral, and unfavorable changes in economic conditions or social trends, interest rates or credit ratings.</w:t>
      </w:r>
    </w:p>
    <w:p>
      <w:pPr>
        <w:spacing w:after="0" w:line="185" w:lineRule="exact"/>
        <w:rPr>
          <w:sz w:val="20"/>
          <w:szCs w:val="20"/>
          <w:color w:val="auto"/>
        </w:rPr>
      </w:pPr>
    </w:p>
    <w:p>
      <w:pPr>
        <w:ind w:right="520" w:firstLine="449"/>
        <w:spacing w:after="0" w:line="270"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and related gross capital realized capital gains (losses) included within net investment income were as follows for the years ended December 31, 2018 and 2019, respectively:</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5"/>
        </w:trPr>
        <w:tc>
          <w:tcPr>
            <w:tcW w:w="820" w:type="dxa"/>
            <w:vAlign w:val="bottom"/>
            <w:tcBorders>
              <w:top w:val="single" w:sz="8" w:color="auto"/>
            </w:tcBorders>
          </w:tcPr>
          <w:p>
            <w:pPr>
              <w:spacing w:after="0"/>
              <w:rPr>
                <w:sz w:val="12"/>
                <w:szCs w:val="12"/>
                <w:color w:val="auto"/>
              </w:rPr>
            </w:pPr>
          </w:p>
        </w:tc>
        <w:tc>
          <w:tcPr>
            <w:tcW w:w="4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75"/>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2"/>
              </w:rPr>
              <w:t>71,931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269,205</w:t>
            </w:r>
          </w:p>
        </w:tc>
      </w:t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2"/>
              </w:rPr>
              <w:t>36,796</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55,635</w:t>
            </w:r>
          </w:p>
        </w:tc>
      </w:tr>
      <w:tr>
        <w:trPr>
          <w:trHeight w:val="26"/>
        </w:trPr>
        <w:tc>
          <w:tcPr>
            <w:tcW w:w="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capital gains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realized capital losses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6"/>
        </w:trPr>
        <w:tc>
          <w:tcPr>
            <w:tcW w:w="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capital gains (losses)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80" w:firstLine="449"/>
        <w:spacing w:after="0" w:line="270" w:lineRule="auto"/>
        <w:rPr>
          <w:sz w:val="20"/>
          <w:szCs w:val="20"/>
          <w:color w:val="auto"/>
        </w:rPr>
      </w:pPr>
      <w:r>
        <w:rPr>
          <w:rFonts w:ascii="Times New Roman" w:cs="Times New Roman" w:eastAsia="Times New Roman" w:hAnsi="Times New Roman"/>
          <w:sz w:val="18"/>
          <w:szCs w:val="18"/>
          <w:color w:val="auto"/>
        </w:rPr>
        <w:t>As of December 31, 2018 and 2019, the Corporation had $3.7 million and $3.7 million, respectively, in deposits with various states and regulatory bodies.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450" w:right="33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fair value measurements for items that are measured at fair value on a recurring basis as of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and 2019, respectively:</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50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payable</w:t>
            </w:r>
          </w:p>
        </w:tc>
        <w:tc>
          <w:tcPr>
            <w:tcW w:w="2400" w:type="dxa"/>
            <w:vAlign w:val="bottom"/>
            <w:gridSpan w:val="4"/>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5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80" w:type="dxa"/>
            <w:vAlign w:val="bottom"/>
          </w:tcPr>
          <w:p>
            <w:pPr>
              <w:spacing w:after="0"/>
              <w:rPr>
                <w:sz w:val="24"/>
                <w:szCs w:val="24"/>
                <w:color w:val="auto"/>
              </w:rPr>
            </w:pPr>
          </w:p>
        </w:tc>
        <w:tc>
          <w:tcPr>
            <w:tcW w:w="9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63"/>
        </w:trPr>
        <w:tc>
          <w:tcPr>
            <w:tcW w:w="454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ind w:left="42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5"/>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56,428</w:t>
            </w:r>
          </w:p>
        </w:tc>
        <w:tc>
          <w:tcPr>
            <w:tcW w:w="5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56,428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138,561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138,561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payable</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156,233</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$ 156,233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460" w:firstLine="449"/>
        <w:spacing w:after="0" w:line="270" w:lineRule="auto"/>
        <w:rPr>
          <w:sz w:val="20"/>
          <w:szCs w:val="20"/>
          <w:color w:val="auto"/>
        </w:rPr>
      </w:pPr>
      <w:r>
        <w:rPr>
          <w:rFonts w:ascii="Times New Roman" w:cs="Times New Roman" w:eastAsia="Times New Roman" w:hAnsi="Times New Roman"/>
          <w:sz w:val="18"/>
          <w:szCs w:val="18"/>
          <w:color w:val="auto"/>
        </w:rPr>
        <w:t>See Note 12 “Notes and securities payable”, Note 13 “Warrants payable”, and Note 14 “Derivative liabilities” for additional information regarding liabilities.</w:t>
      </w:r>
    </w:p>
    <w:p>
      <w:pPr>
        <w:spacing w:after="0" w:line="16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The fair value of convertible securities is based on level 3 inputs. The estimated fair value of the convertible securities was $251.9 million at December 31, 2019. The significant unobservable inputs used in the Black-Scholes model to measure the convertible securities and derivative liabilities as of December 31, 2019, are as follows (the stock price and strike price are presented in thousands):</w:t>
      </w:r>
    </w:p>
    <w:p>
      <w:pPr>
        <w:spacing w:after="0" w:line="19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14"/>
                <w:szCs w:val="14"/>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Convertible securities</w:t>
            </w:r>
          </w:p>
        </w:tc>
        <w:tc>
          <w:tcPr>
            <w:tcW w:w="220" w:type="dxa"/>
            <w:vAlign w:val="bottom"/>
          </w:tcPr>
          <w:p>
            <w:pPr>
              <w:spacing w:after="0"/>
              <w:rPr>
                <w:sz w:val="14"/>
                <w:szCs w:val="14"/>
                <w:color w:val="auto"/>
              </w:rPr>
            </w:pP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0"/>
        </w:trPr>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8"/>
        </w:trPr>
        <w:tc>
          <w:tcPr>
            <w:tcW w:w="5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 stock price (total value)</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305,132 - $357,802</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305,132 - $357,802</w:t>
            </w:r>
          </w:p>
        </w:tc>
        <w:tc>
          <w:tcPr>
            <w:tcW w:w="80" w:type="dxa"/>
            <w:vAlign w:val="bottom"/>
            <w:shd w:val="clear" w:color="auto" w:fill="CCEEFF"/>
          </w:tcPr>
          <w:p>
            <w:pPr>
              <w:spacing w:after="0"/>
              <w:rPr>
                <w:sz w:val="17"/>
                <w:szCs w:val="17"/>
                <w:color w:val="auto"/>
              </w:rPr>
            </w:pPr>
          </w:p>
        </w:tc>
      </w:tr>
      <w:tr>
        <w:trPr>
          <w:trHeight w:val="21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Strike price (total value)</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462,012 - $531,315</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462,012 - $965,184</w:t>
            </w:r>
          </w:p>
        </w:tc>
      </w:tr>
      <w:tr>
        <w:trPr>
          <w:trHeight w:val="212"/>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 - 49%</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 - 49%</w:t>
            </w:r>
          </w:p>
        </w:tc>
      </w:tr>
      <w:tr>
        <w:trPr>
          <w:trHeight w:val="21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80" w:type="dxa"/>
            <w:vAlign w:val="bottom"/>
          </w:tcPr>
          <w:p>
            <w:pPr>
              <w:spacing w:after="0"/>
              <w:rPr>
                <w:sz w:val="18"/>
                <w:szCs w:val="18"/>
                <w:color w:val="auto"/>
              </w:rPr>
            </w:pPr>
          </w:p>
        </w:tc>
        <w:tc>
          <w:tcPr>
            <w:tcW w:w="21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2-3 years</w:t>
            </w:r>
          </w:p>
        </w:tc>
        <w:tc>
          <w:tcPr>
            <w:tcW w:w="22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years</w:t>
            </w:r>
          </w:p>
        </w:tc>
      </w:tr>
      <w:tr>
        <w:trPr>
          <w:trHeight w:val="212"/>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1.58% - 1.62%</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- 1.62%</w:t>
            </w:r>
          </w:p>
        </w:tc>
        <w:tc>
          <w:tcPr>
            <w:tcW w:w="80" w:type="dxa"/>
            <w:vAlign w:val="bottom"/>
            <w:shd w:val="clear" w:color="auto" w:fill="CCEEFF"/>
          </w:tcPr>
          <w:p>
            <w:pPr>
              <w:spacing w:after="0"/>
              <w:rPr>
                <w:sz w:val="18"/>
                <w:szCs w:val="18"/>
                <w:color w:val="auto"/>
              </w:rPr>
            </w:pPr>
          </w:p>
        </w:tc>
      </w:tr>
      <w:tr>
        <w:trPr>
          <w:trHeight w:val="22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factor</w:t>
            </w:r>
          </w:p>
        </w:tc>
        <w:tc>
          <w:tcPr>
            <w:tcW w:w="180" w:type="dxa"/>
            <w:vAlign w:val="bottom"/>
          </w:tcPr>
          <w:p>
            <w:pPr>
              <w:spacing w:after="0"/>
              <w:rPr>
                <w:sz w:val="19"/>
                <w:szCs w:val="19"/>
                <w:color w:val="auto"/>
              </w:rPr>
            </w:pPr>
          </w:p>
        </w:tc>
        <w:tc>
          <w:tcPr>
            <w:tcW w:w="2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6"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stock price and strike price were used in multiple scenarios as part of the with and without approach to determine the fair value of convertible securities and the derivative liabilities were calculated on a total value basis. The stock price was calculated as the product of (i) the estimated number of conversion shares under the scenarios and (ii) the value per Series D preferred share at the valuation date. The strike price was equal to the effective value received by the holder upon the conversion of the convertible securities under the scenarios, calculated as the product of (i) principal and accrued interest at the conversion date and (ii) 1 / discount factor.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450" w:right="3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340" w:firstLine="449"/>
        <w:spacing w:after="0" w:line="270" w:lineRule="auto"/>
        <w:rPr>
          <w:sz w:val="20"/>
          <w:szCs w:val="20"/>
          <w:color w:val="auto"/>
        </w:rPr>
      </w:pPr>
      <w:r>
        <w:rPr>
          <w:rFonts w:ascii="Times New Roman" w:cs="Times New Roman" w:eastAsia="Times New Roman" w:hAnsi="Times New Roman"/>
          <w:sz w:val="18"/>
          <w:szCs w:val="18"/>
          <w:color w:val="auto"/>
        </w:rPr>
        <w:t>The significant unobservable inputs used in the Black-Scholes model to measure the warrants payable that are categorized within Level 3 of the fair value hierarchy, as of the years ended December 31, 2018 and December 31, 2019, respectively, are as follows:</w:t>
      </w:r>
    </w:p>
    <w:p>
      <w:pPr>
        <w:spacing w:after="0" w:line="173"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December 31, 2018</w:t>
            </w:r>
          </w:p>
        </w:tc>
        <w:tc>
          <w:tcPr>
            <w:tcW w:w="2200" w:type="dxa"/>
            <w:vAlign w:val="bottom"/>
            <w:vMerge w:val="restart"/>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7"/>
        </w:trPr>
        <w:tc>
          <w:tcPr>
            <w:tcW w:w="114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6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purchase warrants</w:t>
            </w:r>
          </w:p>
        </w:tc>
        <w:tc>
          <w:tcPr>
            <w:tcW w:w="520" w:type="dxa"/>
            <w:vAlign w:val="bottom"/>
          </w:tcPr>
          <w:p>
            <w:pPr>
              <w:spacing w:after="0"/>
              <w:rPr>
                <w:sz w:val="15"/>
                <w:szCs w:val="15"/>
                <w:color w:val="auto"/>
              </w:rPr>
            </w:pPr>
          </w:p>
        </w:tc>
        <w:tc>
          <w:tcPr>
            <w:tcW w:w="1200" w:type="dxa"/>
            <w:vAlign w:val="bottom"/>
            <w:gridSpan w:val="3"/>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purchase warrants</w:t>
            </w:r>
          </w:p>
        </w:tc>
        <w:tc>
          <w:tcPr>
            <w:tcW w:w="0" w:type="dxa"/>
            <w:vAlign w:val="bottom"/>
          </w:tcPr>
          <w:p>
            <w:pPr>
              <w:spacing w:after="0"/>
              <w:rPr>
                <w:sz w:val="1"/>
                <w:szCs w:val="1"/>
                <w:color w:val="auto"/>
              </w:rPr>
            </w:pPr>
          </w:p>
        </w:tc>
      </w:tr>
      <w:tr>
        <w:trPr>
          <w:trHeight w:val="198"/>
        </w:trPr>
        <w:tc>
          <w:tcPr>
            <w:tcW w:w="334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 stock price</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9.14</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9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17.2749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1.04219</w:t>
            </w:r>
          </w:p>
        </w:tc>
        <w:tc>
          <w:tcPr>
            <w:tcW w:w="0" w:type="dxa"/>
            <w:vAlign w:val="bottom"/>
          </w:tcPr>
          <w:p>
            <w:pPr>
              <w:spacing w:after="0"/>
              <w:rPr>
                <w:sz w:val="1"/>
                <w:szCs w:val="1"/>
                <w:color w:val="auto"/>
              </w:rPr>
            </w:pPr>
          </w:p>
        </w:tc>
      </w:tr>
      <w:tr>
        <w:trPr>
          <w:trHeight w:val="212"/>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36.3% - 40.8%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78.2% - 83.1%</w:t>
            </w: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 years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12"/>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2.46% - 2.48%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2.46% - 2.48%</w:t>
            </w:r>
          </w:p>
        </w:tc>
        <w:tc>
          <w:tcPr>
            <w:tcW w:w="0" w:type="dxa"/>
            <w:vAlign w:val="bottom"/>
          </w:tcPr>
          <w:p>
            <w:pPr>
              <w:spacing w:after="0"/>
              <w:rPr>
                <w:sz w:val="1"/>
                <w:szCs w:val="1"/>
                <w:color w:val="auto"/>
              </w:rPr>
            </w:pPr>
          </w:p>
        </w:tc>
      </w:tr>
      <w:tr>
        <w:trPr>
          <w:trHeight w:val="22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factor</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December 31, 2019</w:t>
            </w:r>
          </w:p>
        </w:tc>
        <w:tc>
          <w:tcPr>
            <w:tcW w:w="2200" w:type="dxa"/>
            <w:vAlign w:val="bottom"/>
            <w:vMerge w:val="restart"/>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7"/>
        </w:trPr>
        <w:tc>
          <w:tcPr>
            <w:tcW w:w="114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6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purchase warrants</w:t>
            </w:r>
          </w:p>
        </w:tc>
        <w:tc>
          <w:tcPr>
            <w:tcW w:w="520" w:type="dxa"/>
            <w:vAlign w:val="bottom"/>
          </w:tcPr>
          <w:p>
            <w:pPr>
              <w:spacing w:after="0"/>
              <w:rPr>
                <w:sz w:val="15"/>
                <w:szCs w:val="15"/>
                <w:color w:val="auto"/>
              </w:rPr>
            </w:pPr>
          </w:p>
        </w:tc>
        <w:tc>
          <w:tcPr>
            <w:tcW w:w="1200" w:type="dxa"/>
            <w:vAlign w:val="bottom"/>
            <w:gridSpan w:val="3"/>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purchase warrants</w:t>
            </w:r>
          </w:p>
        </w:tc>
        <w:tc>
          <w:tcPr>
            <w:tcW w:w="0" w:type="dxa"/>
            <w:vAlign w:val="bottom"/>
          </w:tcPr>
          <w:p>
            <w:pPr>
              <w:spacing w:after="0"/>
              <w:rPr>
                <w:sz w:val="1"/>
                <w:szCs w:val="1"/>
                <w:color w:val="auto"/>
              </w:rPr>
            </w:pPr>
          </w:p>
        </w:tc>
      </w:tr>
      <w:tr>
        <w:trPr>
          <w:trHeight w:val="198"/>
        </w:trPr>
        <w:tc>
          <w:tcPr>
            <w:tcW w:w="334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 stock price</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10.27</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9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17.2749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1.04219</w:t>
            </w:r>
          </w:p>
        </w:tc>
        <w:tc>
          <w:tcPr>
            <w:tcW w:w="0" w:type="dxa"/>
            <w:vAlign w:val="bottom"/>
          </w:tcPr>
          <w:p>
            <w:pPr>
              <w:spacing w:after="0"/>
              <w:rPr>
                <w:sz w:val="1"/>
                <w:szCs w:val="1"/>
                <w:color w:val="auto"/>
              </w:rPr>
            </w:pPr>
          </w:p>
        </w:tc>
      </w:tr>
      <w:tr>
        <w:trPr>
          <w:trHeight w:val="212"/>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 - 49%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81.1% - 84.6%</w:t>
            </w:r>
          </w:p>
        </w:tc>
        <w:tc>
          <w:tcPr>
            <w:tcW w:w="0" w:type="dxa"/>
            <w:vAlign w:val="bottom"/>
          </w:tcPr>
          <w:p>
            <w:pPr>
              <w:spacing w:after="0"/>
              <w:rPr>
                <w:sz w:val="1"/>
                <w:szCs w:val="1"/>
                <w:color w:val="auto"/>
              </w:rPr>
            </w:pPr>
          </w:p>
        </w:tc>
      </w:tr>
      <w:tr>
        <w:trPr>
          <w:trHeight w:val="212"/>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 years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12"/>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1.58% - 1.62%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1.58% - 1.62%</w:t>
            </w:r>
          </w:p>
        </w:tc>
        <w:tc>
          <w:tcPr>
            <w:tcW w:w="0" w:type="dxa"/>
            <w:vAlign w:val="bottom"/>
          </w:tcPr>
          <w:p>
            <w:pPr>
              <w:spacing w:after="0"/>
              <w:rPr>
                <w:sz w:val="1"/>
                <w:szCs w:val="1"/>
                <w:color w:val="auto"/>
              </w:rPr>
            </w:pPr>
          </w:p>
        </w:tc>
      </w:tr>
      <w:tr>
        <w:trPr>
          <w:trHeight w:val="22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factor</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balances of Level 3 financial liabilities during 2018 and 2019, respectively, were as follows: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December 31, 2018</w:t>
            </w: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Warrants payable</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6,708</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realized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Pr>
          <w:p>
            <w:pPr>
              <w:spacing w:after="0"/>
              <w:rPr>
                <w:sz w:val="24"/>
                <w:szCs w:val="24"/>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440" w:type="dxa"/>
            <w:vAlign w:val="bottom"/>
          </w:tcPr>
          <w:p>
            <w:pPr>
              <w:spacing w:after="0"/>
              <w:rPr>
                <w:sz w:val="24"/>
                <w:szCs w:val="24"/>
                <w:color w:val="auto"/>
              </w:rPr>
            </w:pPr>
          </w:p>
        </w:tc>
        <w:tc>
          <w:tcPr>
            <w:tcW w:w="11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24"/>
                <w:szCs w:val="24"/>
                <w:color w:val="auto"/>
              </w:rPr>
            </w:pPr>
          </w:p>
        </w:tc>
        <w:tc>
          <w:tcPr>
            <w:tcW w:w="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3"/>
        </w:trPr>
        <w:tc>
          <w:tcPr>
            <w:tcW w:w="59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5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liabilities</w:t>
            </w:r>
          </w:p>
        </w:tc>
        <w:tc>
          <w:tcPr>
            <w:tcW w:w="1100" w:type="dxa"/>
            <w:vAlign w:val="bottom"/>
            <w:gridSpan w:val="3"/>
          </w:tcPr>
          <w:p>
            <w:pPr>
              <w:jc w:val="right"/>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payable</w:t>
            </w: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6"/>
          </w:tcPr>
          <w:p>
            <w:pPr>
              <w:ind w:left="40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$ 14,836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14,836</w:t>
            </w:r>
          </w:p>
        </w:tc>
        <w:tc>
          <w:tcPr>
            <w:tcW w:w="0" w:type="dxa"/>
            <w:vAlign w:val="bottom"/>
          </w:tcPr>
          <w:p>
            <w:pPr>
              <w:spacing w:after="0"/>
              <w:rPr>
                <w:sz w:val="1"/>
                <w:szCs w:val="1"/>
                <w:color w:val="auto"/>
              </w:rPr>
            </w:pPr>
          </w:p>
        </w:tc>
      </w:tr>
      <w:tr>
        <w:trPr>
          <w:trHeight w:val="212"/>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237,362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237,362</w:t>
            </w:r>
          </w:p>
        </w:tc>
        <w:tc>
          <w:tcPr>
            <w:tcW w:w="0" w:type="dxa"/>
            <w:vAlign w:val="bottom"/>
          </w:tcPr>
          <w:p>
            <w:pPr>
              <w:spacing w:after="0"/>
              <w:rPr>
                <w:sz w:val="1"/>
                <w:szCs w:val="1"/>
                <w:color w:val="auto"/>
              </w:rPr>
            </w:pPr>
          </w:p>
        </w:tc>
      </w:tr>
      <w:tr>
        <w:trPr>
          <w:trHeight w:val="212"/>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138,561</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155,920</w:t>
            </w:r>
          </w:p>
        </w:tc>
        <w:tc>
          <w:tcPr>
            <w:tcW w:w="0" w:type="dxa"/>
            <w:vAlign w:val="bottom"/>
          </w:tcPr>
          <w:p>
            <w:pPr>
              <w:spacing w:after="0"/>
              <w:rPr>
                <w:sz w:val="1"/>
                <w:szCs w:val="1"/>
                <w:color w:val="auto"/>
              </w:rPr>
            </w:pPr>
          </w:p>
        </w:tc>
      </w:tr>
      <w:tr>
        <w:trPr>
          <w:trHeight w:val="218"/>
        </w:trPr>
        <w:tc>
          <w:tcPr>
            <w:tcW w:w="59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251,885</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$ 138,561</w:t>
            </w:r>
          </w:p>
        </w:tc>
        <w:tc>
          <w:tcPr>
            <w:tcW w:w="46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$ 17,672</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in and out of Level 3 financial assets or liabilities during the years ended December 31, 2018 or 2019,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11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On February 28, 2019, the Corporation entered into a securities purchase agreement with Censeo Health, LLC to acquire 100% of the outstanding equity interests of Principium Health, LLC (“Principium”) and Medical Service Professionals of NJ, LLC (“MSPNJ”), providers of in-home chronic care management services, for a total purchase price of approximately $1.4 million. The goodwill resulting from the transaction that was recorded by the Corporation was approximately $1.2 million.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20"/>
          </w:cols>
          <w:pgMar w:left="320" w:top="450" w:right="3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Healthcare receivables</w:t>
      </w:r>
    </w:p>
    <w:p>
      <w:pPr>
        <w:spacing w:after="0" w:line="112"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December 31, 2018 and 2019, the Corporation recognized rebate receivables of approximately $10.9 million and $17.5 million, respectively. In addition to pharmaceutical rebates, Medicare Part D settlement receivables, member premium receivables and other CMS receivables included in the balance totaled $0.4 million and $8.3 million at December 31, 2018 and December 31, 2019,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14" w:lineRule="exact"/>
        <w:rPr>
          <w:sz w:val="20"/>
          <w:szCs w:val="20"/>
          <w:color w:val="auto"/>
        </w:rPr>
      </w:pPr>
    </w:p>
    <w:p>
      <w:pPr>
        <w:jc w:val="both"/>
        <w:ind w:right="120" w:firstLine="449"/>
        <w:spacing w:after="0" w:line="263" w:lineRule="auto"/>
        <w:rPr>
          <w:sz w:val="20"/>
          <w:szCs w:val="20"/>
          <w:color w:val="auto"/>
        </w:rPr>
      </w:pPr>
      <w:r>
        <w:rPr>
          <w:rFonts w:ascii="Times New Roman" w:cs="Times New Roman" w:eastAsia="Times New Roman" w:hAnsi="Times New Roman"/>
          <w:sz w:val="17"/>
          <w:szCs w:val="17"/>
          <w:color w:val="auto"/>
        </w:rPr>
        <w:t>The Corporation has various contracts with IJKG Opco LLC (d/b/a CarePoint Health—Bayonne Medical Center), Hudson Hospital Opco LLC (d/b/a CarePoint Health—Christ Hospital) and Hoboken University Medical Center (“HUMC”) Opco LLC (d/b/a CarePoint Health—Hoboken University Medical Center), which collectively do business as the CarePoint Health System (“CarePoint Health”) and are in-network Clover providers in New Jersey. CarePoint Health is ultimately held and controlled by Mr. Vivek Garipalli, the Chief Executive Officer and stockholder of the Corporation. The Corporation has entered into contracts, similar to those with many of its other hospitals, with CarePoint Health for the provision of inpatient and hospital-based outpatient services.</w:t>
      </w:r>
    </w:p>
    <w:p>
      <w:pPr>
        <w:spacing w:after="0" w:line="4" w:lineRule="exact"/>
        <w:rPr>
          <w:sz w:val="20"/>
          <w:szCs w:val="20"/>
          <w:color w:val="auto"/>
        </w:rPr>
      </w:pPr>
    </w:p>
    <w:p>
      <w:pPr>
        <w:ind w:right="600"/>
        <w:spacing w:after="0" w:line="250" w:lineRule="auto"/>
        <w:rPr>
          <w:sz w:val="20"/>
          <w:szCs w:val="20"/>
          <w:color w:val="auto"/>
        </w:rPr>
      </w:pPr>
      <w:r>
        <w:rPr>
          <w:rFonts w:ascii="Times New Roman" w:cs="Times New Roman" w:eastAsia="Times New Roman" w:hAnsi="Times New Roman"/>
          <w:sz w:val="18"/>
          <w:szCs w:val="18"/>
          <w:color w:val="auto"/>
        </w:rPr>
        <w:t>Expenses and fees incurred related to these contracts, recorded in net medical claims incurred, were $12.6 million and $9.7 million for the years ended December 31, 2018 and 2019,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payable to related parties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Corporation has entered into various securities payable with certain related parties as further discussed in Note 12 “Notes and securities payable”.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contract with related party</w:t>
      </w:r>
    </w:p>
    <w:p>
      <w:pPr>
        <w:spacing w:after="0" w:line="11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Corporation had entered into a reinsurance contract with its stockholder, Hudson Structured Capital Management (“HSCM”), to provide quota share reinsurance through a Horseshoe Re Limited (“Horseshoe”) collateralized segregated account cell in 2018, in order to transfer insurance risk from the Corporation to Horseshoe. The details of the Horseshoe contract are further discussed in Note 11 “Reinsurance”.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56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5"/>
                <w:szCs w:val="15"/>
                <w:color w:val="auto"/>
              </w:rPr>
            </w:pPr>
          </w:p>
        </w:tc>
        <w:tc>
          <w:tcPr>
            <w:tcW w:w="7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5"/>
        </w:trPr>
        <w:tc>
          <w:tcPr>
            <w:tcW w:w="820" w:type="dxa"/>
            <w:vAlign w:val="bottom"/>
            <w:tcBorders>
              <w:top w:val="single" w:sz="8" w:color="auto"/>
            </w:tcBorders>
          </w:tcPr>
          <w:p>
            <w:pPr>
              <w:spacing w:after="0"/>
              <w:rPr>
                <w:sz w:val="12"/>
                <w:szCs w:val="12"/>
                <w:color w:val="auto"/>
              </w:rPr>
            </w:pPr>
          </w:p>
        </w:tc>
        <w:tc>
          <w:tcPr>
            <w:tcW w:w="29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60" w:type="dxa"/>
            <w:vAlign w:val="bottom"/>
            <w:tcBorders>
              <w:top w:val="single" w:sz="8" w:color="auto"/>
            </w:tcBorders>
            <w:gridSpan w:val="4"/>
          </w:tcPr>
          <w:p>
            <w:pPr>
              <w:jc w:val="right"/>
              <w:ind w:right="252"/>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2"/>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$3,884</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$ 3,088</w:t>
            </w:r>
          </w:p>
        </w:tc>
      </w:tr>
      <w:tr>
        <w:trPr>
          <w:trHeight w:val="212"/>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3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2"/>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3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r>
      <w:tr>
        <w:trPr>
          <w:trHeight w:val="218"/>
        </w:trPr>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8"/>
                <w:szCs w:val="18"/>
                <w:color w:val="auto"/>
              </w:rPr>
            </w:pPr>
          </w:p>
        </w:tc>
      </w:tr>
      <w:tr>
        <w:trPr>
          <w:trHeight w:val="212"/>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(1,281)</w:t>
            </w:r>
          </w:p>
        </w:tc>
      </w:tr>
      <w:tr>
        <w:trPr>
          <w:trHeight w:val="218"/>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3,211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$ 1,940</w:t>
            </w:r>
          </w:p>
        </w:tc>
        <w:tc>
          <w:tcPr>
            <w:tcW w:w="12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9"/>
        </w:trPr>
        <w:tc>
          <w:tcPr>
            <w:tcW w:w="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60" w:type="dxa"/>
            <w:vAlign w:val="bottom"/>
            <w:gridSpan w:val="3"/>
          </w:tcPr>
          <w:p>
            <w:pPr>
              <w:jc w:val="right"/>
              <w:ind w:right="3200"/>
              <w:spacing w:after="0"/>
              <w:rPr>
                <w:sz w:val="20"/>
                <w:szCs w:val="20"/>
                <w:color w:val="auto"/>
              </w:rPr>
            </w:pPr>
            <w:r>
              <w:rPr>
                <w:rFonts w:ascii="Times New Roman" w:cs="Times New Roman" w:eastAsia="Times New Roman" w:hAnsi="Times New Roman"/>
                <w:sz w:val="18"/>
                <w:szCs w:val="18"/>
                <w:color w:val="auto"/>
              </w:rPr>
              <w:t>F-64</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320" w:top="450" w:right="35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940" w:firstLine="449"/>
        <w:spacing w:after="0" w:line="270" w:lineRule="auto"/>
        <w:rPr>
          <w:sz w:val="20"/>
          <w:szCs w:val="20"/>
          <w:color w:val="auto"/>
        </w:rPr>
      </w:pPr>
      <w:r>
        <w:rPr>
          <w:rFonts w:ascii="Times New Roman" w:cs="Times New Roman" w:eastAsia="Times New Roman" w:hAnsi="Times New Roman"/>
          <w:sz w:val="18"/>
          <w:szCs w:val="18"/>
          <w:color w:val="auto"/>
        </w:rPr>
        <w:t>The Corporation recognized a $0.8 million net loss on disposal of property and equipment in 2018 due to the write-off of certain leasehold improvements. See Note 16 “Leases” for further detail.</w:t>
      </w:r>
    </w:p>
    <w:p>
      <w:pPr>
        <w:spacing w:after="0" w:line="169"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Depreciation and amortization expense recorded by the Corporation was approximately $0.5 million and $0.6 million for the years ended December 31, 2018 and 2019,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intangible assets</w:t>
      </w:r>
    </w:p>
    <w:p>
      <w:pPr>
        <w:spacing w:after="0" w:line="112"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Other intangible assets were $3.0 million and $3.0 million as of December 31, 2018 and 2019, respectively. The other intangible assets consist of licenses with indefinite useful lives that are related to Certificates of Operating Authority in 45 states and the District of Columbia. Goodwill was $0 million and $1.2 million as of December 31, 2018 and 2019, respectively. Intangible assets with indefinite useful lives and goodwill are not amortized but are tested for impairment at least annually, or more frequently if events or changes in circumstances indicate that the assets may be impaired. As of December 31, 2018 and 2019, there were no circumstances that indicate that the carrying amount of intangible assets deemed to have an indefinite useful life may not be recoverable. No impairment was recorded during the years ended December 31, 2018 and 2019,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Unpaid claims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liability for unpaid claims, including claims adjustment expenses is summarized as follows: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5"/>
        </w:trPr>
        <w:tc>
          <w:tcPr>
            <w:tcW w:w="1520" w:type="dxa"/>
            <w:vAlign w:val="bottom"/>
            <w:tcBorders>
              <w:top w:val="single" w:sz="8" w:color="auto"/>
            </w:tcBorders>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5"/>
          </w:tcPr>
          <w:p>
            <w:pPr>
              <w:jc w:val="right"/>
              <w:ind w:right="453"/>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balance</w:t>
            </w:r>
            <w:r>
              <w:rPr>
                <w:rFonts w:ascii="Times New Roman" w:cs="Times New Roman" w:eastAsia="Times New Roman" w:hAnsi="Times New Roman"/>
                <w:sz w:val="18"/>
                <w:szCs w:val="18"/>
                <w:color w:val="auto"/>
              </w:rPr>
              <w:t>, beginning of year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45,595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54,004</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reinsurance recoverable, beginning of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(12,344)</w:t>
            </w:r>
          </w:p>
        </w:tc>
      </w:tr>
      <w:tr>
        <w:trPr>
          <w:trHeight w:val="26"/>
        </w:trPr>
        <w:tc>
          <w:tcPr>
            <w:tcW w:w="15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balance, </w:t>
            </w:r>
            <w:r>
              <w:rPr>
                <w:rFonts w:ascii="Times New Roman" w:cs="Times New Roman" w:eastAsia="Times New Roman" w:hAnsi="Times New Roman"/>
                <w:sz w:val="18"/>
                <w:szCs w:val="18"/>
                <w:color w:val="auto"/>
              </w:rPr>
              <w:t>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41,660</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281,892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453,423</w:t>
            </w:r>
          </w:p>
        </w:tc>
      </w:tr>
      <w:tr>
        <w:trPr>
          <w:trHeight w:val="212"/>
        </w:trPr>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Prior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(2,778)</w:t>
            </w:r>
          </w:p>
        </w:tc>
      </w:tr>
      <w:tr>
        <w:trPr>
          <w:trHeight w:val="26"/>
        </w:trPr>
        <w:tc>
          <w:tcPr>
            <w:tcW w:w="15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incurred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279,050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450,645</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240,232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376,677</w:t>
            </w:r>
          </w:p>
        </w:tc>
      </w:tr>
      <w:tr>
        <w:trPr>
          <w:trHeight w:val="212"/>
        </w:trPr>
        <w:tc>
          <w:tcPr>
            <w:tcW w:w="6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Prior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37,742</w:t>
            </w:r>
          </w:p>
        </w:tc>
      </w:tr>
      <w:tr>
        <w:trPr>
          <w:trHeight w:val="26"/>
        </w:trPr>
        <w:tc>
          <w:tcPr>
            <w:tcW w:w="15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paid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282,985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414,419</w:t>
            </w:r>
          </w:p>
        </w:tc>
      </w:tr>
      <w:tr>
        <w:trPr>
          <w:trHeight w:val="21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Net balance, </w:t>
            </w:r>
            <w:r>
              <w:rPr>
                <w:rFonts w:ascii="Times New Roman" w:cs="Times New Roman" w:eastAsia="Times New Roman" w:hAnsi="Times New Roman"/>
                <w:sz w:val="18"/>
                <w:szCs w:val="18"/>
                <w:color w:val="auto"/>
              </w:rPr>
              <w:t>end of year</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77,886</w:t>
            </w:r>
          </w:p>
        </w:tc>
        <w:tc>
          <w:tcPr>
            <w:tcW w:w="120" w:type="dxa"/>
            <w:vAlign w:val="bottom"/>
          </w:tcPr>
          <w:p>
            <w:pPr>
              <w:spacing w:after="0"/>
              <w:rPr>
                <w:sz w:val="18"/>
                <w:szCs w:val="18"/>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 end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12,344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balance</w:t>
            </w:r>
            <w:r>
              <w:rPr>
                <w:rFonts w:ascii="Times New Roman" w:cs="Times New Roman" w:eastAsia="Times New Roman" w:hAnsi="Times New Roman"/>
                <w:sz w:val="18"/>
                <w:szCs w:val="18"/>
                <w:color w:val="auto"/>
              </w:rPr>
              <w:t>, end of year</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54,004</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77,886</w:t>
            </w:r>
          </w:p>
        </w:tc>
        <w:tc>
          <w:tcPr>
            <w:tcW w:w="1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firstLine="449"/>
        <w:spacing w:after="0" w:line="269" w:lineRule="auto"/>
        <w:rPr>
          <w:sz w:val="20"/>
          <w:szCs w:val="20"/>
          <w:color w:val="auto"/>
        </w:rPr>
      </w:pPr>
      <w:r>
        <w:rPr>
          <w:rFonts w:ascii="Times New Roman" w:cs="Times New Roman" w:eastAsia="Times New Roman" w:hAnsi="Times New Roman"/>
          <w:sz w:val="17"/>
          <w:szCs w:val="17"/>
          <w:color w:val="auto"/>
        </w:rPr>
        <w:t>Unpaid claims as of December 31, 2019, were $77.9 million. As of December 31, 2019, $37.7 million has been paid for incurred claims and claims adjustment expenses attributable to insured events of prior years. The favorable development recognized in 2019 resulted from the actual experience developing differently from estimates as of December 31, 2018. Original estimates are increased or decreased, as additional information becomes known regarding individual claims. The ratio of current year medical claims paid as a percent of current year net medical claims incurred was 85.2% for 2018 and 83.1% for 2019. This ratio serves as an indicator of claims processing speed whereby claims were processed at a slightly faster rate during 2018 than in 2019.</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60"/>
          </w:cols>
          <w:pgMar w:left="320" w:top="450" w:right="41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500" w:firstLine="449"/>
        <w:spacing w:after="0" w:line="270" w:lineRule="auto"/>
        <w:rPr>
          <w:sz w:val="20"/>
          <w:szCs w:val="20"/>
          <w:color w:val="auto"/>
        </w:rPr>
      </w:pPr>
      <w:r>
        <w:rPr>
          <w:rFonts w:ascii="Times New Roman" w:cs="Times New Roman" w:eastAsia="Times New Roman" w:hAnsi="Times New Roman"/>
          <w:sz w:val="18"/>
          <w:szCs w:val="18"/>
          <w:color w:val="auto"/>
        </w:rPr>
        <w:t>The Corporation did not have any significant changes in methodologies or assumptions used in the calculation of the liability for unpaid claims or claims adjustment expenses.</w:t>
      </w:r>
    </w:p>
    <w:p>
      <w:pPr>
        <w:spacing w:after="0" w:line="169"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The Corporation uses a variety of standard actuarial techniques to establish unpaid claims reserves. Management estimates are supported by the Corporation’s annual actuarial analysis. The Corporation utilized an in-house actuary to review the adequacy of unpaid claim and unpaid claim adjustment expense reserves. Management believes that the current reserves are adequate based on the available information. The estimation of claim costs is inherently difficult and requires significant judgement. The estimation has considerable inherent variability can vary significantly depending upon several factors, including medical cost trends and claim payment patterns, general economic conditions and regulatory changes. Only time and the eventual resolution of each claim will determine whether the claim reserves will ultimately prove to be adequate.</w:t>
      </w:r>
    </w:p>
    <w:p>
      <w:pPr>
        <w:spacing w:after="0" w:line="187" w:lineRule="exact"/>
        <w:rPr>
          <w:sz w:val="20"/>
          <w:szCs w:val="20"/>
          <w:color w:val="auto"/>
        </w:rPr>
      </w:pPr>
    </w:p>
    <w:p>
      <w:pPr>
        <w:ind w:right="320" w:firstLine="449"/>
        <w:spacing w:after="0" w:line="270" w:lineRule="auto"/>
        <w:rPr>
          <w:sz w:val="20"/>
          <w:szCs w:val="20"/>
          <w:color w:val="auto"/>
        </w:rPr>
      </w:pPr>
      <w:r>
        <w:rPr>
          <w:rFonts w:ascii="Times New Roman" w:cs="Times New Roman" w:eastAsia="Times New Roman" w:hAnsi="Times New Roman"/>
          <w:sz w:val="18"/>
          <w:szCs w:val="18"/>
          <w:color w:val="auto"/>
        </w:rPr>
        <w:t>The following is information about incurred and paid claims development for medical claims, as well as cumulative claim frequency and the total of incurred but not reported liabilities as of December 31, 2018 and 2019,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Cumulative incurred claims for the years ended December 31,</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 except for</w:t>
            </w:r>
          </w:p>
        </w:tc>
        <w:tc>
          <w:tcPr>
            <w:tcW w:w="0" w:type="dxa"/>
            <w:vAlign w:val="bottom"/>
          </w:tcPr>
          <w:p>
            <w:pPr>
              <w:spacing w:after="0"/>
              <w:rPr>
                <w:sz w:val="1"/>
                <w:szCs w:val="1"/>
                <w:color w:val="auto"/>
              </w:rPr>
            </w:pPr>
          </w:p>
        </w:tc>
      </w:tr>
      <w:tr>
        <w:trPr>
          <w:trHeight w:val="114"/>
        </w:trPr>
        <w:tc>
          <w:tcPr>
            <w:tcW w:w="8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tcPr>
          <w:p>
            <w:pPr>
              <w:spacing w:after="0"/>
              <w:rPr>
                <w:sz w:val="9"/>
                <w:szCs w:val="9"/>
                <w:color w:val="auto"/>
              </w:rPr>
            </w:pPr>
          </w:p>
        </w:tc>
        <w:tc>
          <w:tcPr>
            <w:tcW w:w="11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number of reported claims)</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center"/>
              <w:ind w:right="360"/>
              <w:spacing w:after="0" w:line="121" w:lineRule="exact"/>
              <w:rPr>
                <w:sz w:val="20"/>
                <w:szCs w:val="20"/>
                <w:color w:val="auto"/>
              </w:rPr>
            </w:pPr>
            <w:r>
              <w:rPr>
                <w:rFonts w:ascii="Times New Roman" w:cs="Times New Roman" w:eastAsia="Times New Roman" w:hAnsi="Times New Roman"/>
                <w:sz w:val="14"/>
                <w:szCs w:val="14"/>
                <w:b w:val="1"/>
                <w:bCs w:val="1"/>
                <w:color w:val="auto"/>
              </w:rPr>
              <w:t>IBNR plus</w:t>
            </w:r>
          </w:p>
        </w:tc>
        <w:tc>
          <w:tcPr>
            <w:tcW w:w="8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expected</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Incurred year</w:t>
            </w:r>
          </w:p>
        </w:tc>
        <w:tc>
          <w:tcPr>
            <w:tcW w:w="1700" w:type="dxa"/>
            <w:vAlign w:val="bottom"/>
            <w:gridSpan w:val="4"/>
            <w:vMerge w:val="restart"/>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w w:val="97"/>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106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on reported</w:t>
            </w:r>
          </w:p>
        </w:tc>
        <w:tc>
          <w:tcPr>
            <w:tcW w:w="92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0" w:type="dxa"/>
            <w:vAlign w:val="bottom"/>
          </w:tcPr>
          <w:p>
            <w:pPr>
              <w:spacing w:after="0"/>
              <w:rPr>
                <w:sz w:val="1"/>
                <w:szCs w:val="1"/>
                <w:color w:val="auto"/>
              </w:rPr>
            </w:pPr>
          </w:p>
        </w:tc>
      </w:tr>
      <w:tr>
        <w:trPr>
          <w:trHeight w:val="177"/>
        </w:trPr>
        <w:tc>
          <w:tcPr>
            <w:tcW w:w="4840" w:type="dxa"/>
            <w:vAlign w:val="bottom"/>
            <w:gridSpan w:val="7"/>
            <w:vMerge w:val="continue"/>
          </w:tcPr>
          <w:p>
            <w:pPr>
              <w:spacing w:after="0"/>
              <w:rPr>
                <w:sz w:val="15"/>
                <w:szCs w:val="15"/>
                <w:color w:val="auto"/>
              </w:rPr>
            </w:pPr>
          </w:p>
        </w:tc>
        <w:tc>
          <w:tcPr>
            <w:tcW w:w="17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92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0" w:type="dxa"/>
            <w:vAlign w:val="bottom"/>
          </w:tcPr>
          <w:p>
            <w:pPr>
              <w:spacing w:after="0"/>
              <w:rPr>
                <w:sz w:val="1"/>
                <w:szCs w:val="1"/>
                <w:color w:val="auto"/>
              </w:rPr>
            </w:pPr>
          </w:p>
        </w:tc>
      </w:tr>
      <w:tr>
        <w:trPr>
          <w:trHeight w:val="198"/>
        </w:trPr>
        <w:tc>
          <w:tcPr>
            <w:tcW w:w="8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$ 373,441</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$ 370,599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   368,390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3"/>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801,588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281,892</w:t>
            </w:r>
          </w:p>
        </w:tc>
        <w:tc>
          <w:tcPr>
            <w:tcW w:w="11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281,323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1,092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954,764</w:t>
            </w:r>
          </w:p>
        </w:tc>
        <w:tc>
          <w:tcPr>
            <w:tcW w:w="0" w:type="dxa"/>
            <w:vAlign w:val="bottom"/>
          </w:tcPr>
          <w:p>
            <w:pPr>
              <w:spacing w:after="0"/>
              <w:rPr>
                <w:sz w:val="1"/>
                <w:szCs w:val="1"/>
                <w:color w:val="auto"/>
              </w:rPr>
            </w:pPr>
          </w:p>
        </w:tc>
      </w:tr>
      <w:tr>
        <w:trPr>
          <w:trHeight w:val="212"/>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453,423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76,746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1,124,526</w:t>
            </w:r>
          </w:p>
        </w:tc>
        <w:tc>
          <w:tcPr>
            <w:tcW w:w="0" w:type="dxa"/>
            <w:vAlign w:val="bottom"/>
          </w:tcPr>
          <w:p>
            <w:pPr>
              <w:spacing w:after="0"/>
              <w:rPr>
                <w:sz w:val="1"/>
                <w:szCs w:val="1"/>
                <w:color w:val="auto"/>
              </w:rPr>
            </w:pPr>
          </w:p>
        </w:tc>
      </w:tr>
      <w:tr>
        <w:trPr>
          <w:trHeight w:val="218"/>
        </w:trPr>
        <w:tc>
          <w:tcPr>
            <w:tcW w:w="48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$ 373,441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$ 652,491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$ 1,103,136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77,886</w:t>
            </w:r>
          </w:p>
        </w:tc>
        <w:tc>
          <w:tcPr>
            <w:tcW w:w="2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Cumulative net paid claims through December 31,</w:t>
            </w:r>
          </w:p>
        </w:tc>
        <w:tc>
          <w:tcPr>
            <w:tcW w:w="4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tcBorders>
              <w:bottom w:val="single" w:sz="8" w:color="auto"/>
            </w:tcBorders>
            <w:gridSpan w:val="4"/>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Paid year</w:t>
            </w:r>
          </w:p>
        </w:tc>
        <w:tc>
          <w:tcPr>
            <w:tcW w:w="2900" w:type="dxa"/>
            <w:vAlign w:val="bottom"/>
            <w:gridSpan w:val="4"/>
            <w:vMerge w:val="restart"/>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560" w:type="dxa"/>
            <w:vAlign w:val="bottom"/>
            <w:gridSpan w:val="2"/>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2017*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90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80" w:type="dxa"/>
            <w:vAlign w:val="bottom"/>
            <w:tcBorders>
              <w:top w:val="single" w:sz="8" w:color="CCEEFF"/>
            </w:tcBorders>
            <w:gridSpan w:val="5"/>
            <w:shd w:val="clear" w:color="auto" w:fill="CCEEFF"/>
          </w:tcPr>
          <w:p>
            <w:pPr>
              <w:spacing w:after="0" w:line="185" w:lineRule="exact"/>
              <w:rPr>
                <w:sz w:val="20"/>
                <w:szCs w:val="20"/>
                <w:color w:val="auto"/>
              </w:rPr>
            </w:pPr>
            <w:r>
              <w:rPr>
                <w:rFonts w:ascii="Times New Roman" w:cs="Times New Roman" w:eastAsia="Times New Roman" w:hAnsi="Times New Roman"/>
                <w:sz w:val="18"/>
                <w:szCs w:val="18"/>
                <w:i w:val="1"/>
                <w:iCs w:val="1"/>
                <w:color w:val="auto"/>
              </w:rPr>
              <w:t>Incurred year</w:t>
            </w: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60" w:type="dxa"/>
            <w:vAlign w:val="bottom"/>
            <w:gridSpan w:val="2"/>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gridSpan w:val="8"/>
          </w:tcPr>
          <w:p>
            <w:pPr>
              <w:jc w:val="center"/>
              <w:ind w:left="1621"/>
              <w:spacing w:after="0"/>
              <w:rPr>
                <w:sz w:val="20"/>
                <w:szCs w:val="20"/>
                <w:color w:val="auto"/>
              </w:rPr>
            </w:pPr>
            <w:r>
              <w:rPr>
                <w:rFonts w:ascii="Times New Roman" w:cs="Times New Roman" w:eastAsia="Times New Roman" w:hAnsi="Times New Roman"/>
                <w:sz w:val="18"/>
                <w:szCs w:val="18"/>
                <w:color w:val="auto"/>
                <w:w w:val="99"/>
              </w:rPr>
              <w:t>$ 327,846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w w:val="97"/>
              </w:rPr>
              <w:t>$ 370,599</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368,342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60" w:type="dxa"/>
            <w:vAlign w:val="bottom"/>
            <w:gridSpan w:val="2"/>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240,232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280,231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60" w:type="dxa"/>
            <w:vAlign w:val="bottom"/>
            <w:gridSpan w:val="2"/>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376,677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4"/>
            <w:shd w:val="clear" w:color="auto" w:fill="CCEEFF"/>
          </w:tcPr>
          <w:p>
            <w:pPr>
              <w:spacing w:after="0"/>
              <w:rPr>
                <w:sz w:val="18"/>
                <w:szCs w:val="18"/>
                <w:color w:val="auto"/>
              </w:rPr>
            </w:pPr>
          </w:p>
        </w:tc>
        <w:tc>
          <w:tcPr>
            <w:tcW w:w="7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$ 327,846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$ 610,831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1,025,250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Unaudited supplemental information</w:t>
      </w:r>
    </w:p>
    <w:p>
      <w:pPr>
        <w:spacing w:after="0" w:line="216" w:lineRule="exact"/>
        <w:rPr>
          <w:sz w:val="20"/>
          <w:szCs w:val="20"/>
          <w:color w:val="auto"/>
        </w:rPr>
      </w:pPr>
    </w:p>
    <w:p>
      <w:pPr>
        <w:ind w:right="280" w:firstLine="449"/>
        <w:spacing w:after="0" w:line="270" w:lineRule="auto"/>
        <w:rPr>
          <w:sz w:val="20"/>
          <w:szCs w:val="20"/>
          <w:color w:val="auto"/>
        </w:rPr>
      </w:pPr>
      <w:r>
        <w:rPr>
          <w:rFonts w:ascii="Times New Roman" w:cs="Times New Roman" w:eastAsia="Times New Roman" w:hAnsi="Times New Roman"/>
          <w:sz w:val="18"/>
          <w:szCs w:val="18"/>
          <w:color w:val="auto"/>
        </w:rPr>
        <w:t>The reconciliation of net incurred and paid claims development tables to unpaid claims and claims adjustment expenses on the Consolidated Balance Sheets is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0"/>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420" w:type="dxa"/>
            <w:vAlign w:val="bottom"/>
          </w:tcPr>
          <w:p>
            <w:pPr>
              <w:spacing w:after="0"/>
              <w:rPr>
                <w:sz w:val="14"/>
                <w:szCs w:val="14"/>
                <w:color w:val="auto"/>
              </w:rPr>
            </w:pP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39"/>
        </w:trPr>
        <w:tc>
          <w:tcPr>
            <w:tcW w:w="1140" w:type="dxa"/>
            <w:vAlign w:val="bottom"/>
            <w:tcBorders>
              <w:top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incurred claims, net</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1,103,136</w:t>
            </w:r>
          </w:p>
        </w:tc>
        <w:tc>
          <w:tcPr>
            <w:tcW w:w="0" w:type="dxa"/>
            <w:vAlign w:val="bottom"/>
          </w:tcPr>
          <w:p>
            <w:pPr>
              <w:spacing w:after="0"/>
              <w:rPr>
                <w:sz w:val="1"/>
                <w:szCs w:val="1"/>
                <w:color w:val="auto"/>
              </w:rPr>
            </w:pPr>
          </w:p>
        </w:tc>
      </w:tr>
      <w:tr>
        <w:trPr>
          <w:trHeight w:val="21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cumulative paid claims, net</w:t>
            </w: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(1,025,250)</w:t>
            </w:r>
          </w:p>
        </w:tc>
        <w:tc>
          <w:tcPr>
            <w:tcW w:w="0" w:type="dxa"/>
            <w:vAlign w:val="bottom"/>
          </w:tcPr>
          <w:p>
            <w:pPr>
              <w:spacing w:after="0"/>
              <w:rPr>
                <w:sz w:val="1"/>
                <w:szCs w:val="1"/>
                <w:color w:val="auto"/>
              </w:rPr>
            </w:pPr>
          </w:p>
        </w:tc>
      </w:tr>
      <w:tr>
        <w:trPr>
          <w:trHeight w:val="21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Net unpaid claims, including claims adjustment expenses</w:t>
            </w:r>
          </w:p>
        </w:tc>
        <w:tc>
          <w:tcPr>
            <w:tcW w:w="3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60" w:type="dxa"/>
            <w:vAlign w:val="bottom"/>
            <w:gridSpan w:val="2"/>
          </w:tcPr>
          <w:p>
            <w:pPr>
              <w:jc w:val="right"/>
              <w:ind w:right="3101"/>
              <w:spacing w:after="0"/>
              <w:rPr>
                <w:sz w:val="20"/>
                <w:szCs w:val="20"/>
                <w:color w:val="auto"/>
              </w:rPr>
            </w:pPr>
            <w:r>
              <w:rPr>
                <w:rFonts w:ascii="Times New Roman" w:cs="Times New Roman" w:eastAsia="Times New Roman" w:hAnsi="Times New Roman"/>
                <w:sz w:val="18"/>
                <w:szCs w:val="18"/>
                <w:color w:val="auto"/>
              </w:rPr>
              <w:t>F-66</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time value of money is not taken into account for the purposes of calculating the liability for unpaid claims.</w:t>
      </w:r>
    </w:p>
    <w:p>
      <w:pPr>
        <w:spacing w:after="0" w:line="21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Corporation counts a claim when either a claim or claim adjustment expense amount has been paid, or at any period end, when the Corporation has recorded a medical unpaid claim reserve. The cumulative number of reported claims for each claim year has been developed using historical data captured by claim systems. As such, the cumulative number of reported claims may not be comparable to similar measures reported by other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Reinsurance</w:t>
      </w:r>
    </w:p>
    <w:p>
      <w:pPr>
        <w:spacing w:after="0" w:line="11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Effective April 1, 2018, through December 31, 2018, the Corporation entered into a quota share reinsurance agreement with Horseshoe to reinsure 25% of the Corporation’s net liability, remaining after cessions, if any, on policies classified by the Corporation as MA and MAPD business, with a limit of $10 million in excess of the ceded net written premium, less: (1) ceding commission and federal excise tax thereon; (2) profit commission, if any;</w:t>
      </w:r>
    </w:p>
    <w:p>
      <w:pPr>
        <w:ind w:right="160" w:firstLine="6"/>
        <w:spacing w:after="0" w:line="247" w:lineRule="auto"/>
        <w:tabs>
          <w:tab w:leader="none" w:pos="24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and (4) allocated fees incurred in establishing a trust account. Horseshoe was not assigned a rating and underwrote fully collateralized transactions. For the year ended December 31, 2018, premiums earned and claims incurred included $64.0 million and $63.0 million, respectively, of ceded amounts related to Horseshoe. As of December 31, 2018, reinsurance recoverable included $63.0 million related to Horseshoe.</w:t>
      </w:r>
    </w:p>
    <w:p>
      <w:pPr>
        <w:spacing w:after="0" w:line="189" w:lineRule="exact"/>
        <w:rPr>
          <w:sz w:val="20"/>
          <w:szCs w:val="20"/>
          <w:color w:val="auto"/>
        </w:rPr>
      </w:pPr>
    </w:p>
    <w:p>
      <w:pPr>
        <w:jc w:val="both"/>
        <w:ind w:right="380" w:firstLine="449"/>
        <w:spacing w:after="0" w:line="258" w:lineRule="auto"/>
        <w:rPr>
          <w:sz w:val="20"/>
          <w:szCs w:val="20"/>
          <w:color w:val="auto"/>
        </w:rPr>
      </w:pPr>
      <w:r>
        <w:rPr>
          <w:rFonts w:ascii="Times New Roman" w:cs="Times New Roman" w:eastAsia="Times New Roman" w:hAnsi="Times New Roman"/>
          <w:sz w:val="18"/>
          <w:szCs w:val="18"/>
          <w:color w:val="auto"/>
        </w:rPr>
        <w:t>Effective January 1, 2018, the Corporation entered into a specific excess loss reinsurance agreement with PartnerRe America Insurance Company (“PartnerRe”), to reinsure liabilities in excess of approximately $0.4 million and $0.5 million per covered person per agreement term for the years ended December 31, 2018 and 2019, respectively.</w:t>
      </w:r>
    </w:p>
    <w:p>
      <w:pPr>
        <w:spacing w:after="0" w:line="179" w:lineRule="exact"/>
        <w:rPr>
          <w:sz w:val="20"/>
          <w:szCs w:val="20"/>
          <w:color w:val="auto"/>
        </w:rPr>
      </w:pPr>
    </w:p>
    <w:p>
      <w:pPr>
        <w:ind w:right="140" w:firstLine="449"/>
        <w:spacing w:after="0" w:line="270" w:lineRule="auto"/>
        <w:rPr>
          <w:sz w:val="20"/>
          <w:szCs w:val="20"/>
          <w:color w:val="auto"/>
        </w:rPr>
      </w:pPr>
      <w:r>
        <w:rPr>
          <w:rFonts w:ascii="Times New Roman" w:cs="Times New Roman" w:eastAsia="Times New Roman" w:hAnsi="Times New Roman"/>
          <w:sz w:val="18"/>
          <w:szCs w:val="18"/>
          <w:color w:val="auto"/>
        </w:rPr>
        <w:t>The effects of the reinsurance agreements on the accompanying Consolidated Financial Statements for the years ended December 31, 2018 and 2019, respectively, are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5"/>
                <w:szCs w:val="15"/>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820" w:type="dxa"/>
            <w:vAlign w:val="bottom"/>
            <w:tcBorders>
              <w:top w:val="single" w:sz="8" w:color="auto"/>
            </w:tcBorders>
          </w:tcPr>
          <w:p>
            <w:pPr>
              <w:spacing w:after="0"/>
              <w:rPr>
                <w:sz w:val="12"/>
                <w:szCs w:val="12"/>
                <w:color w:val="auto"/>
              </w:rPr>
            </w:pPr>
          </w:p>
        </w:tc>
        <w:tc>
          <w:tcPr>
            <w:tcW w:w="5740" w:type="dxa"/>
            <w:vAlign w:val="bottom"/>
          </w:tcPr>
          <w:p>
            <w:pPr>
              <w:spacing w:after="0"/>
              <w:rPr>
                <w:sz w:val="12"/>
                <w:szCs w:val="12"/>
                <w:color w:val="auto"/>
              </w:rPr>
            </w:pPr>
          </w:p>
        </w:tc>
        <w:tc>
          <w:tcPr>
            <w:tcW w:w="1860" w:type="dxa"/>
            <w:vAlign w:val="bottom"/>
            <w:tcBorders>
              <w:top w:val="single" w:sz="8" w:color="auto"/>
            </w:tcBorders>
            <w:gridSpan w:val="3"/>
          </w:tcPr>
          <w:p>
            <w:pPr>
              <w:jc w:val="right"/>
              <w:ind w:right="416"/>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 gross</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4"/>
              </w:rPr>
              <w:t>$353,918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$457,758</w:t>
            </w:r>
          </w:p>
        </w:tc>
        <w:tc>
          <w:tcPr>
            <w:tcW w:w="0" w:type="dxa"/>
            <w:vAlign w:val="bottom"/>
          </w:tcPr>
          <w:p>
            <w:pPr>
              <w:spacing w:after="0"/>
              <w:rPr>
                <w:sz w:val="1"/>
                <w:szCs w:val="1"/>
                <w:color w:val="auto"/>
              </w:rPr>
            </w:pPr>
          </w:p>
        </w:tc>
      </w:tr>
      <w:tr>
        <w:trPr>
          <w:trHeight w:val="212"/>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 earned, ceded</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(67,403)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premiums earned</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286,515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456,926</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60" w:type="dxa"/>
            <w:vAlign w:val="bottom"/>
            <w:gridSpan w:val="2"/>
            <w:vMerge w:val="continue"/>
          </w:tcPr>
          <w:p>
            <w:pPr>
              <w:spacing w:after="0"/>
              <w:rPr>
                <w:sz w:val="24"/>
                <w:szCs w:val="24"/>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24"/>
                <w:szCs w:val="2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820" w:type="dxa"/>
            <w:vAlign w:val="bottom"/>
            <w:tcBorders>
              <w:top w:val="single" w:sz="8" w:color="auto"/>
            </w:tcBorders>
          </w:tcPr>
          <w:p>
            <w:pPr>
              <w:spacing w:after="0"/>
              <w:rPr>
                <w:sz w:val="12"/>
                <w:szCs w:val="12"/>
                <w:color w:val="auto"/>
              </w:rPr>
            </w:pPr>
          </w:p>
        </w:tc>
        <w:tc>
          <w:tcPr>
            <w:tcW w:w="5740" w:type="dxa"/>
            <w:vAlign w:val="bottom"/>
          </w:tcPr>
          <w:p>
            <w:pPr>
              <w:spacing w:after="0"/>
              <w:rPr>
                <w:sz w:val="12"/>
                <w:szCs w:val="12"/>
                <w:color w:val="auto"/>
              </w:rPr>
            </w:pPr>
          </w:p>
        </w:tc>
        <w:tc>
          <w:tcPr>
            <w:tcW w:w="1860" w:type="dxa"/>
            <w:vAlign w:val="bottom"/>
            <w:tcBorders>
              <w:top w:val="single" w:sz="8" w:color="auto"/>
            </w:tcBorders>
            <w:gridSpan w:val="3"/>
          </w:tcPr>
          <w:p>
            <w:pPr>
              <w:jc w:val="right"/>
              <w:ind w:right="416"/>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Claims incurred, gross</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4"/>
              </w:rPr>
              <w:t>$343,529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$452,261</w:t>
            </w:r>
          </w:p>
        </w:tc>
        <w:tc>
          <w:tcPr>
            <w:tcW w:w="0" w:type="dxa"/>
            <w:vAlign w:val="bottom"/>
          </w:tcPr>
          <w:p>
            <w:pPr>
              <w:spacing w:after="0"/>
              <w:rPr>
                <w:sz w:val="1"/>
                <w:szCs w:val="1"/>
                <w:color w:val="auto"/>
              </w:rPr>
            </w:pPr>
          </w:p>
        </w:tc>
      </w:tr>
      <w:tr>
        <w:trPr>
          <w:trHeight w:val="212"/>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 incurred, ceded</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(64,479)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279,050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450,645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Reinsurance recoverable and reinsurance premium payable as of December 31, 2018 and 2019, respectively, were comprised of the following:</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5"/>
                <w:szCs w:val="15"/>
                <w:color w:val="auto"/>
              </w:rPr>
            </w:pPr>
          </w:p>
        </w:tc>
      </w:tr>
      <w:tr>
        <w:trPr>
          <w:trHeight w:val="145"/>
        </w:trPr>
        <w:tc>
          <w:tcPr>
            <w:tcW w:w="820" w:type="dxa"/>
            <w:vAlign w:val="bottom"/>
            <w:tcBorders>
              <w:top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 on paid claims</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3"/>
              <w:spacing w:after="0"/>
              <w:rPr>
                <w:sz w:val="20"/>
                <w:szCs w:val="20"/>
                <w:color w:val="auto"/>
              </w:rPr>
            </w:pPr>
            <w:r>
              <w:rPr>
                <w:rFonts w:ascii="Times New Roman" w:cs="Times New Roman" w:eastAsia="Times New Roman" w:hAnsi="Times New Roman"/>
                <w:sz w:val="18"/>
                <w:szCs w:val="18"/>
                <w:color w:val="auto"/>
              </w:rPr>
              <w:t>51,747</w:t>
            </w:r>
          </w:p>
        </w:tc>
        <w:tc>
          <w:tcPr>
            <w:tcW w:w="4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$481</w:t>
            </w:r>
          </w:p>
        </w:tc>
      </w:tr>
      <w:tr>
        <w:trPr>
          <w:trHeight w:val="21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Reinsurance recoverable on unpaid claims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3"/>
              <w:spacing w:after="0"/>
              <w:rPr>
                <w:sz w:val="20"/>
                <w:szCs w:val="20"/>
                <w:color w:val="auto"/>
              </w:rPr>
            </w:pPr>
            <w:r>
              <w:rPr>
                <w:rFonts w:ascii="Times New Roman" w:cs="Times New Roman" w:eastAsia="Times New Roman" w:hAnsi="Times New Roman"/>
                <w:sz w:val="18"/>
                <w:szCs w:val="18"/>
                <w:color w:val="auto"/>
              </w:rPr>
              <w:t>12,344</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1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premium payable</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3"/>
              <w:spacing w:after="0"/>
              <w:rPr>
                <w:sz w:val="20"/>
                <w:szCs w:val="20"/>
                <w:color w:val="auto"/>
              </w:rPr>
            </w:pPr>
            <w:r>
              <w:rPr>
                <w:rFonts w:ascii="Times New Roman" w:cs="Times New Roman" w:eastAsia="Times New Roman" w:hAnsi="Times New Roman"/>
                <w:sz w:val="18"/>
                <w:szCs w:val="18"/>
                <w:color w:val="auto"/>
                <w:w w:val="97"/>
              </w:rPr>
              <w:t>(64,414)</w:t>
            </w:r>
          </w:p>
        </w:tc>
        <w:tc>
          <w:tcPr>
            <w:tcW w:w="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18"/>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Reinsurance recoverable (payable), net</w:t>
            </w:r>
          </w:p>
        </w:tc>
        <w:tc>
          <w:tcPr>
            <w:tcW w:w="3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481</w:t>
            </w:r>
          </w:p>
        </w:tc>
        <w:tc>
          <w:tcPr>
            <w:tcW w:w="6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9"/>
        </w:trPr>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360" w:type="dxa"/>
            <w:vAlign w:val="bottom"/>
            <w:gridSpan w:val="2"/>
          </w:tcPr>
          <w:p>
            <w:pPr>
              <w:jc w:val="right"/>
              <w:ind w:right="2432"/>
              <w:spacing w:after="0"/>
              <w:rPr>
                <w:sz w:val="20"/>
                <w:szCs w:val="20"/>
                <w:color w:val="auto"/>
              </w:rPr>
            </w:pPr>
            <w:r>
              <w:rPr>
                <w:rFonts w:ascii="Times New Roman" w:cs="Times New Roman" w:eastAsia="Times New Roman" w:hAnsi="Times New Roman"/>
                <w:sz w:val="18"/>
                <w:szCs w:val="18"/>
                <w:color w:val="auto"/>
              </w:rPr>
              <w:t>F-67</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0" w:right="43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120" w:firstLine="449"/>
        <w:spacing w:after="0" w:line="300" w:lineRule="auto"/>
        <w:rPr>
          <w:sz w:val="20"/>
          <w:szCs w:val="20"/>
          <w:color w:val="auto"/>
        </w:rPr>
      </w:pPr>
      <w:r>
        <w:rPr>
          <w:rFonts w:ascii="Times New Roman" w:cs="Times New Roman" w:eastAsia="Times New Roman" w:hAnsi="Times New Roman"/>
          <w:sz w:val="17"/>
          <w:szCs w:val="17"/>
          <w:color w:val="auto"/>
        </w:rPr>
        <w:t>Reinsurance recoverable represents the portion of paid claims and unpaid claims that are covered by reinsurance. Amounts recoverable from reinsurers are estimated in a manner consistent with the methods used to determine unpaid claims as detailed in Note 2 “Summary of significant accounting policies”.</w:t>
      </w:r>
    </w:p>
    <w:p>
      <w:pPr>
        <w:spacing w:after="0" w:line="146" w:lineRule="exact"/>
        <w:rPr>
          <w:sz w:val="20"/>
          <w:szCs w:val="20"/>
          <w:color w:val="auto"/>
        </w:rPr>
      </w:pPr>
    </w:p>
    <w:p>
      <w:pPr>
        <w:ind w:right="140" w:firstLine="449"/>
        <w:spacing w:after="0" w:line="251" w:lineRule="auto"/>
        <w:rPr>
          <w:sz w:val="20"/>
          <w:szCs w:val="20"/>
          <w:color w:val="auto"/>
        </w:rPr>
      </w:pPr>
      <w:r>
        <w:rPr>
          <w:rFonts w:ascii="Times New Roman" w:cs="Times New Roman" w:eastAsia="Times New Roman" w:hAnsi="Times New Roman"/>
          <w:sz w:val="18"/>
          <w:szCs w:val="18"/>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spacing w:after="0" w:line="187" w:lineRule="exact"/>
        <w:rPr>
          <w:sz w:val="20"/>
          <w:szCs w:val="20"/>
          <w:color w:val="auto"/>
        </w:rPr>
      </w:pPr>
    </w:p>
    <w:p>
      <w:pPr>
        <w:ind w:right="200" w:firstLine="449"/>
        <w:spacing w:after="0" w:line="250" w:lineRule="auto"/>
        <w:rPr>
          <w:sz w:val="20"/>
          <w:szCs w:val="20"/>
          <w:color w:val="auto"/>
        </w:rPr>
      </w:pPr>
      <w:r>
        <w:rPr>
          <w:rFonts w:ascii="Times New Roman" w:cs="Times New Roman" w:eastAsia="Times New Roman" w:hAnsi="Times New Roman"/>
          <w:sz w:val="18"/>
          <w:szCs w:val="18"/>
          <w:color w:val="auto"/>
        </w:rPr>
        <w:t>Approximately $5.0 million and $5.2 million of life insurance reserves, as of December 31, 2018 and 2019,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Corporation’s experience and industry data. Interest rate assumptions used in establishing such reserves range from less than 1% to 4.5%. Under the arrangement, SFLIC is required to hold in trust at Hancock Whitney Bank 100% of the outstanding liabilities as of the reporting date.</w:t>
      </w:r>
    </w:p>
    <w:p>
      <w:pPr>
        <w:spacing w:after="0" w:line="187"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Approximately $1.0 million and $0.9 million of annuity reserves as of December 31, 2018 and 2019, respectively, related to annuity contracts originally issued by Ullico, are 100% ceded to Sagicor Life Insurance Company (“SLIC”), a Texas domestic company, in full transfer of risk related to these contracts. The annuity reserves are computed principally using assumptions based on the Corporation’s experience and industry data. Interest rate assumptions used in establishing such reserves range from less than 1% to 5.5%. Ceded life insurance and annuity reserves are included in other assets and gross life insurance and annuity reserves are included in other liabilities on the Consolidated Balance Sheets, respectively.</w:t>
      </w:r>
    </w:p>
    <w:p>
      <w:pPr>
        <w:spacing w:after="0" w:line="187"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Corporation of its potential liability to the ultimate insured. However, given the transfer of underwriting risk, such potential liability is limited to the credit exposure which exists should the reinsurer be unable to meet its obligations under these reinsurance agreements. The Corporation evaluates its reinsurers on a regular basis including their ratings and financial conditions.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Notes and securities payable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Non-convertible notes</w:t>
      </w:r>
    </w:p>
    <w:p>
      <w:pPr>
        <w:spacing w:after="0" w:line="114"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8"/>
          <w:szCs w:val="18"/>
          <w:color w:val="auto"/>
        </w:rPr>
        <w:t>On March 21, 2017, the Corporation entered into a loan facility (the “Loan Facility) for an aggregate principal amount of $60.0 million. In March 2017, the Corporation drew down $40.0 million under the Loan Facility. The proceeds were used to pay all obligations under a $30.0 million 2015 senior secured note, and to provide additional working capital for the Corporation’s subsidiaries. The Loan Facility is secured by the assets of the Corporation. The initial obligation has a maturity date of March 1, 2022 and is subject to an interest rate of 11%, payable monthly, with the majority of principal payments commencing 36 months prior to the maturity date. In October 2017, the Corporation drew down the remaining $20.0 million under the Loan Facility. The additional obligation has a maturity date of October 1, 2022 and is subject to an interest rate of 11.25%, payable monthly, with the majority of principal payments commencing 36 months prior to the maturity date. In conjunction with the Loan Facility, the Corporation issued warrants. See Note 13 “Warrants payable” for additional information.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20"/>
          </w:cols>
          <w:pgMar w:left="320" w:top="450" w:right="35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260" w:firstLine="449"/>
        <w:spacing w:after="0" w:line="270" w:lineRule="auto"/>
        <w:rPr>
          <w:sz w:val="20"/>
          <w:szCs w:val="20"/>
          <w:color w:val="auto"/>
        </w:rPr>
      </w:pPr>
      <w:r>
        <w:rPr>
          <w:rFonts w:ascii="Times New Roman" w:cs="Times New Roman" w:eastAsia="Times New Roman" w:hAnsi="Times New Roman"/>
          <w:sz w:val="18"/>
          <w:szCs w:val="18"/>
          <w:color w:val="auto"/>
        </w:rPr>
        <w:t>The Corporation capitalized approximately $0.3 million of debt issuance costs associated with the Loan Facility, which are being amortized using the effective interest method over the term of the Loan Facility.</w:t>
      </w:r>
    </w:p>
    <w:p>
      <w:pPr>
        <w:spacing w:after="0" w:line="169"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auto"/>
        </w:rPr>
        <w:t>The carrying amount of the Loan Facility was approximately $58.5 million and $49.3 million at December 31, 2018 and 2019, respectively. Amortization of debt discounts associated with the warrants and debt issuance costs was approximately $0.4 million and $0.4 million during the years ended December 31, 2018 and 2019, respectively. Interest expense was approximately $6.6 million and $6.2 million during the years ended December 31, 2018 and 2019, respectively. The effective interest rate was 11.76% and 11.77% during the years ended December 30, 2018 and 2019,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w:t>
      </w:r>
    </w:p>
    <w:p>
      <w:pPr>
        <w:spacing w:after="0" w:line="114" w:lineRule="exact"/>
        <w:rPr>
          <w:sz w:val="20"/>
          <w:szCs w:val="20"/>
          <w:color w:val="auto"/>
        </w:rPr>
      </w:pPr>
    </w:p>
    <w:p>
      <w:pPr>
        <w:ind w:right="200" w:firstLine="449"/>
        <w:spacing w:after="0" w:line="248" w:lineRule="auto"/>
        <w:rPr>
          <w:sz w:val="20"/>
          <w:szCs w:val="20"/>
          <w:color w:val="auto"/>
        </w:rPr>
      </w:pPr>
      <w:r>
        <w:rPr>
          <w:rFonts w:ascii="Times New Roman" w:cs="Times New Roman" w:eastAsia="Times New Roman" w:hAnsi="Times New Roman"/>
          <w:sz w:val="18"/>
          <w:szCs w:val="18"/>
          <w:color w:val="auto"/>
        </w:rPr>
        <w:t>In connection with the Convertible Securities Purchase Agreement (the “Convertible Agreement”) effective December 27, 2018, discussed in the “Convertible securities” section below, the Corporation entered into a series of non-convertible promissory notes agreements (“Bridge Loan”) with qualified institutional buyers for an aggregate principal amount of $30.0 million for the purpose of providing additional working capital for the Corporation’s subsidiaries. The Bridge Loan was issued to the Corporation on a bridge basis upon execution of the Convertible Agreement and accrued interest at a rate of 10%. The outstanding Bridge Loan balance at February 21, 2019, of approximately $30.4 million, inclusive of accrued interest, was settled through the issuance of convertible securities under the first tranche of the Convertible Agreement. The carrying amount of the Bridge Loan was $30.0 and $0 million at December 31, 2018 and 2019, respectively. Interest expense was approximately $0 million and $0.4 million during the years ended December 31, 2018 and 2019,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w:t>
      </w:r>
    </w:p>
    <w:p>
      <w:pPr>
        <w:spacing w:after="0" w:line="11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On December 27, 2018, the Corporation entered into a Convertible Agreement with qualified institutional buyers, including entities affiliated with the Corporation, for an aggregate principal amount of up to $500.0 million to support the Corporation’s growth in the MA market. The convertible securities were issued during 2019 in multiple tranches and at December 31, 2019, the Corporation’s principal balance of borrowings under the Convertible Agreement was approximately $373.8 million, consisting of $343.4 million proceeds and $30.4 million related to the settlement of the Bridge Loan. The convertible securities bear interest at the increasing rates noted below which compound semi-annually, and mature April 1, 2023 (“End Date”), unless earlier converted, repurchased, or extended, as discussed below.</w:t>
      </w:r>
    </w:p>
    <w:p>
      <w:pPr>
        <w:spacing w:after="0" w:line="187"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 factors begin at 75% for the first twelve-month period through the first anniversary of the security issue date, decreasing ratably on a semi-annual basis, to 55% at the forty-two month anniversary of the security issue date until the convertible securities cease to be outstanding.</w:t>
      </w:r>
    </w:p>
    <w:p>
      <w:pPr>
        <w:spacing w:after="0" w:line="187" w:lineRule="exact"/>
        <w:rPr>
          <w:sz w:val="20"/>
          <w:szCs w:val="20"/>
          <w:color w:val="auto"/>
        </w:rPr>
      </w:pPr>
    </w:p>
    <w:p>
      <w:pPr>
        <w:ind w:right="340" w:firstLine="449"/>
        <w:spacing w:after="0" w:line="253" w:lineRule="auto"/>
        <w:rPr>
          <w:sz w:val="20"/>
          <w:szCs w:val="20"/>
          <w:color w:val="auto"/>
        </w:rPr>
      </w:pPr>
      <w:r>
        <w:rPr>
          <w:rFonts w:ascii="Times New Roman" w:cs="Times New Roman" w:eastAsia="Times New Roman" w:hAnsi="Times New Roman"/>
          <w:sz w:val="18"/>
          <w:szCs w:val="18"/>
          <w:color w:val="auto"/>
        </w:rPr>
        <w:t>The securities issued as part of the Convertible Agreement contain the following embedded features, some of which contain components of both conversion and redemption features: mandatory conversion in a qualified public offering (“QPO”), financing conversion (security holder election), extraordinary event conversion (security holder election), end date conversion (security holder election), redemption upon default, Corporation repurchase (Corporation election), and extended end date conversion (Corporation election).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450" w:right="33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In the mandatory conversion in a QPO, financing conversion, and extraordinary event conversion, the outstanding principal and accrued interest will convert into capital or preferred stock, pursuant to the terms of the Convertible Agreement based on a conversion price calculated as the lesser of (i) the price per share at which the Corporation’s equity securities are issued to the public in the applicable transaction multiplied by the discount factor in effect and (ii) a price per share equal to (x) US$2.5 billion, divided by (y) the number of shares of common stock outstanding as of the closing of the applicable transaction on an as-converted, as-exercised basis as defined in the Convertible Agreement.</w:t>
      </w:r>
    </w:p>
    <w:p>
      <w:pPr>
        <w:spacing w:after="0" w:line="187"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In the end date conversion, the outstanding principal and accrued interest will convert into shares of senior preferred stock or most recent preferred stock. Shares are calculated as principal and accrued interest divided by the applicable conversion price. Conversion price is the lowest of (i) the product obtained by multiplying (x) the lowest price per share at which the Corporation issued applicable preferred stock, by (y) the discount factor, and (ii) the lowest price per share at which the Corporation issued its most recently authorized series of preferred stock and (iii) a price per share equal to (x) US$2.5 billion, divided by (y) the number of shares of common stock outstanding as of the conversion on an as-converted, as-exercised basis as defined in the Convertible Agreement.</w:t>
      </w:r>
    </w:p>
    <w:p>
      <w:pPr>
        <w:spacing w:after="0" w:line="187" w:lineRule="exact"/>
        <w:rPr>
          <w:sz w:val="20"/>
          <w:szCs w:val="20"/>
          <w:color w:val="auto"/>
        </w:rPr>
      </w:pPr>
    </w:p>
    <w:p>
      <w:pPr>
        <w:ind w:right="80" w:firstLine="449"/>
        <w:spacing w:after="0" w:line="249" w:lineRule="auto"/>
        <w:rPr>
          <w:sz w:val="20"/>
          <w:szCs w:val="20"/>
          <w:color w:val="auto"/>
        </w:rPr>
      </w:pPr>
      <w:r>
        <w:rPr>
          <w:rFonts w:ascii="Times New Roman" w:cs="Times New Roman" w:eastAsia="Times New Roman" w:hAnsi="Times New Roman"/>
          <w:sz w:val="18"/>
          <w:szCs w:val="18"/>
          <w:color w:val="auto"/>
        </w:rPr>
        <w:t>Upon the occurrence of any event of default, all accrued but unpaid expenses, and the principal and accrued interest will be immediately due and payable in full. In the event of Corporation repurchase, the Corporation would pay the security holders an amount equal to the portion being repurchased, divided by the discount factor and issuing to the security holders a warrant for a number of repurchase warrant shares equal to the repurchase amount divided by the repurchase warrant share price, with the warrant having an exercise price equal to the repurchase warrant share price. Repurchase warrant share price is calculated as the lower of (a) lowest price at which the repurchase warrant shares were originally issued and (b) the quotient obtained by dividing (x) US $2.5 billion, divided by (y) the number of shares of common stock outstanding as of the date of issuance of the applicable repurchase warrant on an as-converted, as-exercised basis as defined in the Convertible Agreement.</w:t>
      </w:r>
    </w:p>
    <w:p>
      <w:pPr>
        <w:spacing w:after="0" w:line="189" w:lineRule="exact"/>
        <w:rPr>
          <w:sz w:val="20"/>
          <w:szCs w:val="20"/>
          <w:color w:val="auto"/>
        </w:rPr>
      </w:pPr>
    </w:p>
    <w:p>
      <w:pPr>
        <w:ind w:right="180" w:firstLine="449"/>
        <w:spacing w:after="0" w:line="280" w:lineRule="auto"/>
        <w:rPr>
          <w:sz w:val="20"/>
          <w:szCs w:val="20"/>
          <w:color w:val="auto"/>
        </w:rPr>
      </w:pPr>
      <w:r>
        <w:rPr>
          <w:rFonts w:ascii="Times New Roman" w:cs="Times New Roman" w:eastAsia="Times New Roman" w:hAnsi="Times New Roman"/>
          <w:sz w:val="17"/>
          <w:szCs w:val="17"/>
          <w:color w:val="auto"/>
        </w:rPr>
        <w:t>The Corporation may elect to extend the end date until the earlier of (i) a deemed liquidation event and (ii) the end of a period designated by the Corporation of not less than 15 days and not more than 180 days (if the security holder is an original security holder or an affiliate of the original security holder), or otherwise 365 days (if the security holder is not an original security holder or an affiliate of such security holder), following the original end date.</w:t>
      </w:r>
    </w:p>
    <w:p>
      <w:pPr>
        <w:spacing w:after="0" w:line="162" w:lineRule="exact"/>
        <w:rPr>
          <w:sz w:val="20"/>
          <w:szCs w:val="20"/>
          <w:color w:val="auto"/>
        </w:rPr>
      </w:pPr>
    </w:p>
    <w:p>
      <w:pPr>
        <w:ind w:right="300" w:firstLine="449"/>
        <w:spacing w:after="0" w:line="270" w:lineRule="auto"/>
        <w:rPr>
          <w:sz w:val="20"/>
          <w:szCs w:val="20"/>
          <w:color w:val="auto"/>
        </w:rPr>
      </w:pPr>
      <w:r>
        <w:rPr>
          <w:rFonts w:ascii="Times New Roman" w:cs="Times New Roman" w:eastAsia="Times New Roman" w:hAnsi="Times New Roman"/>
          <w:sz w:val="18"/>
          <w:szCs w:val="18"/>
          <w:color w:val="auto"/>
        </w:rPr>
        <w:t>Certain conversion features were determined to be share-settled redemption features. The Corporation analyzed the embedded features for derivative accounting consideration and determined the following:</w:t>
      </w:r>
    </w:p>
    <w:p>
      <w:pPr>
        <w:spacing w:after="0" w:line="76" w:lineRule="exact"/>
        <w:rPr>
          <w:sz w:val="20"/>
          <w:szCs w:val="20"/>
          <w:color w:val="auto"/>
        </w:rPr>
      </w:pPr>
    </w:p>
    <w:p>
      <w:pPr>
        <w:ind w:left="1000" w:right="280" w:hanging="439"/>
        <w:spacing w:after="0" w:line="258"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feature in the mandatory conversion in a QPO, financing conversion and extraordinary event conversion features meet the requirements to be accounted for separately from the debt host as a derivative because the feature is not clearly and closely related to the debt host, the debt host. See Note 14 “Derivative liabilities” for additional information.</w:t>
      </w:r>
    </w:p>
    <w:p>
      <w:pPr>
        <w:spacing w:after="0" w:line="8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extended end date feature requires separate accounting as a derivative. See Note 14 “Derivative liabilities” for additional information.</w:t>
      </w:r>
    </w:p>
    <w:p>
      <w:pPr>
        <w:spacing w:after="0" w:line="123" w:lineRule="exact"/>
        <w:rPr>
          <w:rFonts w:ascii="Times New Roman" w:cs="Times New Roman" w:eastAsia="Times New Roman" w:hAnsi="Times New Roman"/>
          <w:sz w:val="18"/>
          <w:szCs w:val="18"/>
          <w:color w:val="auto"/>
        </w:rPr>
      </w:pPr>
    </w:p>
    <w:p>
      <w:pPr>
        <w:ind w:left="1000" w:hanging="439"/>
        <w:spacing w:after="0" w:line="251"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date conversion feature represents a BCF with an intrinsic value that exceeded the approximately $373.8 million principal balance of the convertible securities. The BCF was recorded within equity in additional-paid-in-capital and as a discount to the convertible securities in an amount equal to the full principal amount of the securities, thus reducing the carrying value of the convertible securities to zero. The discount of $373.8 million is being accreted to the principal amount over the term of the securities, assuming a maturity of April 1, 2023, using the effective interest method.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450" w:right="33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accretion is recognized in accretion of securities discount on the Consolidated Statements of Operations and Comprehensive Loss.</w:t>
      </w:r>
    </w:p>
    <w:p>
      <w:pPr>
        <w:spacing w:after="0" w:line="124" w:lineRule="exact"/>
        <w:rPr>
          <w:sz w:val="20"/>
          <w:szCs w:val="20"/>
          <w:color w:val="auto"/>
        </w:rPr>
      </w:pPr>
    </w:p>
    <w:p>
      <w:pPr>
        <w:ind w:left="1000" w:hanging="439"/>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embedded features are clearly and closely related to the debt host and do not require separate accounting as a derivative.</w:t>
      </w:r>
    </w:p>
    <w:p>
      <w:pPr>
        <w:spacing w:after="0" w:line="216"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Since the carrying amount of the convertible securities was initially recognized as $0, debt issuance costs incurred in the amount of approximately $0.4 million were expensed on the Consolidated Statements of Operations and Comprehensive Loss during the year ended December 31, 2019. The carrying amount of the convertible securities and unamortized discount were approximately $27.1 million and $358.3 million respectively, at December 31, 2019. Amortization of the debt discount and interest expense on the convertible securities were approximately $15.5 million and $16.7 million, respectively, during the year ended December 31, 2019. The effective interest rate, inclusive of amortization of the discount and the contractual rate, was in excess of 100% during the year ended December 31, 2019, as a result of the beginning convertible securities carrying value of $0. The end date conversion feature represents a BCF with an intrinsic value of $2.3 billion.</w:t>
      </w:r>
    </w:p>
    <w:p>
      <w:pPr>
        <w:spacing w:after="0" w:line="189" w:lineRule="exact"/>
        <w:rPr>
          <w:sz w:val="20"/>
          <w:szCs w:val="20"/>
          <w:color w:val="auto"/>
        </w:rPr>
      </w:pPr>
    </w:p>
    <w:p>
      <w:pPr>
        <w:ind w:right="480" w:firstLine="449"/>
        <w:spacing w:after="0" w:line="270" w:lineRule="auto"/>
        <w:rPr>
          <w:sz w:val="20"/>
          <w:szCs w:val="20"/>
          <w:color w:val="auto"/>
        </w:rPr>
      </w:pPr>
      <w:r>
        <w:rPr>
          <w:rFonts w:ascii="Times New Roman" w:cs="Times New Roman" w:eastAsia="Times New Roman" w:hAnsi="Times New Roman"/>
          <w:sz w:val="18"/>
          <w:szCs w:val="18"/>
          <w:color w:val="auto"/>
        </w:rPr>
        <w:t>The Corporation was in compliance with all applicable financial and non-financial covenants under its financing arrangements for the year ended December 31, 2018 and 2019, respectively.</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below table summarizes maturities of the Corporation’s notes and securities payable over the next five years as of December 31, 2019:</w:t>
      </w:r>
    </w:p>
    <w:p>
      <w:pPr>
        <w:spacing w:after="0" w:line="236" w:lineRule="exact"/>
        <w:rPr>
          <w:sz w:val="20"/>
          <w:szCs w:val="20"/>
          <w:color w:val="auto"/>
        </w:rPr>
      </w:pPr>
    </w:p>
    <w:tbl>
      <w:tblPr>
        <w:tblLayout w:type="fixed"/>
        <w:tblInd w:w="1800" w:type="dxa"/>
        <w:tblCellMar>
          <w:top w:w="0" w:type="dxa"/>
          <w:left w:w="0" w:type="dxa"/>
          <w:bottom w:w="0" w:type="dxa"/>
          <w:right w:w="0" w:type="dxa"/>
        </w:tblCellMar>
      </w:tblPr>
      <w:tr>
        <w:trPr>
          <w:trHeight w:val="170"/>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39"/>
        </w:trPr>
        <w:tc>
          <w:tcPr>
            <w:tcW w:w="15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38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423,504</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Warrants payable</w:t>
      </w:r>
    </w:p>
    <w:p>
      <w:pPr>
        <w:spacing w:after="0" w:line="112"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In conjunction with the Loan Facility effective March 21, 2017, the Corporation issued warrants to purchase 1,266,284 shares of the Corporation’s Series D preferred stock at an exercise price of $9.3778 per share, which expire on September 30, 2027. The warrants are exercisable at any time and up to the expiration date. In the event of an automatic conversion of the preferred stock prior to the exercise of the warrants, the warrants shall be exercisable in common stock. The warrants were accounted for as derivative instruments and the initial fair value of approximately $1.2 million, which was calculated using a Black-Scholes based valuation model, was recorded as a discount to the carrying amount of the Loan Facility. This discount is being amortized using the effective interest method over the term of the Loan Facility. The warrants were recorded as liabilities and are being marked to market at each reporting period. In the event of a change of control, the Lender may elect to exchange its warrants for a cash amount equal to $10.0 million.</w:t>
      </w:r>
    </w:p>
    <w:p>
      <w:pPr>
        <w:spacing w:after="0" w:line="189"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In September 2015, the Corporation issued warrants to purchase 2,100,000 shares of the Corporation’s common stock at an exercise price of $1.04219 per share which expire on September 2, 2022. The warrants are exercisable at any time up to the expiration date. The warrants are also contingently exercisable for an additional 2,100,000 shares based proportionally on the aggregate principal amounts of additional notes borrowed by the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80"/>
          </w:cols>
          <w:pgMar w:left="320" w:top="450" w:right="39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Corporation. The warrants are being recorded at fair value and are reflected as liabilities on the Corporation’s Consolidated Balance Sheets at each reporting period.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liabilities</w:t>
      </w:r>
    </w:p>
    <w:p>
      <w:pPr>
        <w:spacing w:after="0" w:line="112"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In connection with the $373.8 million convertible securities issued in 2019, the Corporation determined that certain of the conversion and redemption features were embedded derivatives which have been bifurcated from the host instrument and accounted for as embedded derivative instruments. At inception, the derivative liabilities were valued at $136.0 million. For the year ended December 31, 2019, the Corporation recognized an additional $2.6 million from the loss activity related to derivative liabilities from inception to year-end. The aggregate $136.0 million and $2.6 million loss was recognized in loss on derivative in the Consolidated Statements of Operations and Comprehensive Loss. The fair value of embedded derivatives was $138.6 million at December 31, 2019, and is included as derivative liabilities in the Corporation’s Consolidated Balance Sheets. See Note 4 “Fair value measurements” and Note 12 “Notes and securities payable” for additional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Letter of credit</w:t>
      </w:r>
    </w:p>
    <w:p>
      <w:pPr>
        <w:spacing w:after="0" w:line="112" w:lineRule="exact"/>
        <w:rPr>
          <w:sz w:val="20"/>
          <w:szCs w:val="20"/>
          <w:color w:val="auto"/>
        </w:rPr>
      </w:pPr>
    </w:p>
    <w:p>
      <w:pPr>
        <w:jc w:val="both"/>
        <w:ind w:right="40" w:firstLine="449"/>
        <w:spacing w:after="0" w:line="258" w:lineRule="auto"/>
        <w:rPr>
          <w:sz w:val="20"/>
          <w:szCs w:val="20"/>
          <w:color w:val="auto"/>
        </w:rPr>
      </w:pPr>
      <w:r>
        <w:rPr>
          <w:rFonts w:ascii="Times New Roman" w:cs="Times New Roman" w:eastAsia="Times New Roman" w:hAnsi="Times New Roman"/>
          <w:sz w:val="18"/>
          <w:szCs w:val="18"/>
          <w:color w:val="auto"/>
        </w:rPr>
        <w:t>On April 19, 2018, the Corporation entered into a secured letter of credit agreement (“the Letter”) for an amount up to an aggregate of $2.5 million with a commercial lender that expires on April 19, 2021. The Letter bears an interest rate of 1%. As of December 31, 2018 and 2019, there was an unused balance of $2.5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4"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The Corporation leases office space in New Jersey, Tennessee, and San Francisco under non-cancelable operating leases, further described below. For each lease the Corporation recorded a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The Corporation is not reasonably certain that it will exercise the renewal options described in the individual lease descriptions below. Therefore, these options are not recognized as part of the ROU asset and lease liability.</w:t>
      </w:r>
    </w:p>
    <w:p>
      <w:pPr>
        <w:spacing w:after="0" w:line="187" w:lineRule="exact"/>
        <w:rPr>
          <w:sz w:val="20"/>
          <w:szCs w:val="20"/>
          <w:color w:val="auto"/>
        </w:rPr>
      </w:pPr>
    </w:p>
    <w:p>
      <w:pPr>
        <w:ind w:right="480" w:firstLine="449"/>
        <w:spacing w:after="0" w:line="270" w:lineRule="auto"/>
        <w:rPr>
          <w:sz w:val="20"/>
          <w:szCs w:val="20"/>
          <w:color w:val="auto"/>
        </w:rPr>
      </w:pPr>
      <w:r>
        <w:rPr>
          <w:rFonts w:ascii="Times New Roman" w:cs="Times New Roman" w:eastAsia="Times New Roman" w:hAnsi="Times New Roman"/>
          <w:sz w:val="18"/>
          <w:szCs w:val="18"/>
          <w:color w:val="auto"/>
        </w:rPr>
        <w:t>The Corporation subleases certain of its leases to third parties for which it receives rental income to manage occupancy costs. These subleases are classified as operating and are further described below.</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Montgomery leases:</w:t>
      </w:r>
    </w:p>
    <w:p>
      <w:pPr>
        <w:spacing w:after="0" w:line="114" w:lineRule="exact"/>
        <w:rPr>
          <w:sz w:val="20"/>
          <w:szCs w:val="20"/>
          <w:color w:val="auto"/>
        </w:rPr>
      </w:pPr>
    </w:p>
    <w:p>
      <w:pPr>
        <w:ind w:right="440" w:firstLine="449"/>
        <w:spacing w:after="0" w:line="270" w:lineRule="auto"/>
        <w:rPr>
          <w:sz w:val="20"/>
          <w:szCs w:val="20"/>
          <w:color w:val="auto"/>
        </w:rPr>
      </w:pPr>
      <w:r>
        <w:rPr>
          <w:rFonts w:ascii="Times New Roman" w:cs="Times New Roman" w:eastAsia="Times New Roman" w:hAnsi="Times New Roman"/>
          <w:sz w:val="18"/>
          <w:szCs w:val="18"/>
          <w:color w:val="auto"/>
        </w:rPr>
        <w:t>On September 28, 2016, the Corporation entered into an agreement to lease 23,390 square feet of office space on the 15th floor at 30 Montgomery Street, Jersey City, New Jersey (the “Montgomery Lease”). The lease expires September 30, 2027 with one option to renew for 5 years.</w:t>
      </w:r>
    </w:p>
    <w:p>
      <w:pPr>
        <w:spacing w:after="0" w:line="169"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On July 26, 2017, the Corporation entered into a first amendment to the lease (the “Montgomery First Amendment”). The Montgomery First Amendment added approximately 11,101 square feet on the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The lease for the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expires August 31, 2023 with one option to renew for 5 years.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20"/>
          </w:cols>
          <w:pgMar w:left="320" w:top="450" w:right="35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820" w:firstLine="449"/>
        <w:spacing w:after="0" w:line="270" w:lineRule="auto"/>
        <w:rPr>
          <w:sz w:val="20"/>
          <w:szCs w:val="20"/>
          <w:color w:val="auto"/>
        </w:rPr>
      </w:pPr>
      <w:r>
        <w:rPr>
          <w:rFonts w:ascii="Times New Roman" w:cs="Times New Roman" w:eastAsia="Times New Roman" w:hAnsi="Times New Roman"/>
          <w:sz w:val="18"/>
          <w:szCs w:val="18"/>
          <w:color w:val="auto"/>
        </w:rPr>
        <w:t>The Corporation entered into an agreement to sublease the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which commenced October 4, 2019, (the “Montgomery Sublease”). The Corporation receives rental income for this sublease which has a lease term through March 31, 2021.</w:t>
      </w:r>
    </w:p>
    <w:p>
      <w:pPr>
        <w:spacing w:after="0" w:line="169" w:lineRule="exact"/>
        <w:rPr>
          <w:sz w:val="20"/>
          <w:szCs w:val="20"/>
          <w:color w:val="auto"/>
        </w:rPr>
      </w:pPr>
    </w:p>
    <w:p>
      <w:pPr>
        <w:ind w:right="180" w:firstLine="449"/>
        <w:spacing w:after="0" w:line="248" w:lineRule="auto"/>
        <w:rPr>
          <w:sz w:val="20"/>
          <w:szCs w:val="20"/>
          <w:color w:val="auto"/>
        </w:rPr>
      </w:pPr>
      <w:r>
        <w:rPr>
          <w:rFonts w:ascii="Times New Roman" w:cs="Times New Roman" w:eastAsia="Times New Roman" w:hAnsi="Times New Roman"/>
          <w:sz w:val="18"/>
          <w:szCs w:val="18"/>
          <w:color w:val="auto"/>
        </w:rPr>
        <w:t>The Corporation uses the long-lived assets impairment to determine when to test ROU assets (or asset groups that contain one or more ROU assets) for impairment, whether ROU assets are impaired, and if so, the amount of the impairment loss to recognize. The sublease income expected to be received under the Montgomery Sublease is less than the amount to be paid under the Montgomery Lease for the sublease term, which indicated that the Montgomery Lease may not be recoverable. Upon execution of the sublease agreement, the Corporation reassessed the asset group and determined that the lowest level of identifiable cash flows pertaining to the Montgomery Sublease was at the individual lease level. The asset group, comprised of both the ROU asset and corresponding leasehold improvements related to the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of the Montgomery Lease, were determined to not be recoverable and were written down to their respective fair values with an impairment charge of $1.6 million recorded to general and administrative expenses in the Consolidated Statements of Operations and Comprehensive Loss for the year ended December 31, 2019.</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 Francisco leases:</w:t>
      </w:r>
    </w:p>
    <w:p>
      <w:pPr>
        <w:spacing w:after="0" w:line="114" w:lineRule="exact"/>
        <w:rPr>
          <w:sz w:val="20"/>
          <w:szCs w:val="20"/>
          <w:color w:val="auto"/>
        </w:rPr>
      </w:pPr>
    </w:p>
    <w:p>
      <w:pPr>
        <w:jc w:val="both"/>
        <w:ind w:firstLine="449"/>
        <w:spacing w:after="0" w:line="270" w:lineRule="auto"/>
        <w:rPr>
          <w:sz w:val="20"/>
          <w:szCs w:val="20"/>
          <w:color w:val="auto"/>
        </w:rPr>
      </w:pPr>
      <w:r>
        <w:rPr>
          <w:rFonts w:ascii="Times New Roman" w:cs="Times New Roman" w:eastAsia="Times New Roman" w:hAnsi="Times New Roman"/>
          <w:sz w:val="18"/>
          <w:szCs w:val="18"/>
          <w:color w:val="auto"/>
        </w:rPr>
        <w:t>On June 29, 2015, the Corporation entered into an agreement to lease office space at 22 Fourth Street, San Francisco, California. The total rentable space is 16,374 square feet on the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169"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On January 15, 2016, the Corporation entered into a first amendment to the lease (the “San Francisco First Amendment”). The San Francisco First Amendment added approximately 16,374 square feet on the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169" w:lineRule="exact"/>
        <w:rPr>
          <w:sz w:val="20"/>
          <w:szCs w:val="20"/>
          <w:color w:val="auto"/>
        </w:rPr>
      </w:pPr>
    </w:p>
    <w:p>
      <w:pPr>
        <w:ind w:right="640" w:firstLine="449"/>
        <w:spacing w:after="0" w:line="270" w:lineRule="auto"/>
        <w:rPr>
          <w:sz w:val="20"/>
          <w:szCs w:val="20"/>
          <w:color w:val="auto"/>
        </w:rPr>
      </w:pPr>
      <w:r>
        <w:rPr>
          <w:rFonts w:ascii="Times New Roman" w:cs="Times New Roman" w:eastAsia="Times New Roman" w:hAnsi="Times New Roman"/>
          <w:sz w:val="18"/>
          <w:szCs w:val="18"/>
          <w:color w:val="auto"/>
        </w:rPr>
        <w:t>On October 5, 2016, the Corporation entered into a second amendment to the lease (the “Second Amendment”). The Second Amendment added approximately 14,847 square feet on the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and extended the term of all floors through April 30, 2022.</w:t>
      </w:r>
    </w:p>
    <w:p>
      <w:pPr>
        <w:spacing w:after="0" w:line="169" w:lineRule="exact"/>
        <w:rPr>
          <w:sz w:val="20"/>
          <w:szCs w:val="20"/>
          <w:color w:val="auto"/>
        </w:rPr>
      </w:pPr>
    </w:p>
    <w:p>
      <w:pPr>
        <w:ind w:right="340" w:firstLine="449"/>
        <w:spacing w:after="0" w:line="270" w:lineRule="auto"/>
        <w:rPr>
          <w:sz w:val="20"/>
          <w:szCs w:val="20"/>
          <w:color w:val="auto"/>
        </w:rPr>
      </w:pPr>
      <w:r>
        <w:rPr>
          <w:rFonts w:ascii="Times New Roman" w:cs="Times New Roman" w:eastAsia="Times New Roman" w:hAnsi="Times New Roman"/>
          <w:sz w:val="18"/>
          <w:szCs w:val="18"/>
          <w:color w:val="auto"/>
        </w:rPr>
        <w:t>On June 25, 2019, the Corporation entered into a sublease agreement to sublease the leased space of the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(the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Sublease”). The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Sublease expires contemporaneously with the Second Amendment on April 30, 2022.</w:t>
      </w:r>
    </w:p>
    <w:p>
      <w:pPr>
        <w:spacing w:after="0" w:line="169" w:lineRule="exact"/>
        <w:rPr>
          <w:sz w:val="20"/>
          <w:szCs w:val="20"/>
          <w:color w:val="auto"/>
        </w:rPr>
      </w:pPr>
    </w:p>
    <w:p>
      <w:pPr>
        <w:ind w:right="140" w:firstLine="449"/>
        <w:spacing w:after="0" w:line="270" w:lineRule="auto"/>
        <w:rPr>
          <w:sz w:val="20"/>
          <w:szCs w:val="20"/>
          <w:color w:val="auto"/>
        </w:rPr>
      </w:pPr>
      <w:r>
        <w:rPr>
          <w:rFonts w:ascii="Times New Roman" w:cs="Times New Roman" w:eastAsia="Times New Roman" w:hAnsi="Times New Roman"/>
          <w:sz w:val="18"/>
          <w:szCs w:val="18"/>
          <w:color w:val="auto"/>
        </w:rPr>
        <w:t>At October 15, 2019, the Corporation entered into a sublease agreement to sublease the leased space of the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(the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Sublease”). The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Sublease expires contemporaneously with the Second Amendment on April 30, 2022.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Lyndhurst lease:</w:t>
      </w:r>
    </w:p>
    <w:p>
      <w:pPr>
        <w:spacing w:after="0" w:line="114" w:lineRule="exact"/>
        <w:rPr>
          <w:sz w:val="20"/>
          <w:szCs w:val="20"/>
          <w:color w:val="auto"/>
        </w:rPr>
      </w:pPr>
    </w:p>
    <w:p>
      <w:pPr>
        <w:ind w:right="220" w:firstLine="449"/>
        <w:spacing w:after="0" w:line="270" w:lineRule="auto"/>
        <w:rPr>
          <w:sz w:val="20"/>
          <w:szCs w:val="20"/>
          <w:color w:val="auto"/>
        </w:rPr>
      </w:pPr>
      <w:r>
        <w:rPr>
          <w:rFonts w:ascii="Times New Roman" w:cs="Times New Roman" w:eastAsia="Times New Roman" w:hAnsi="Times New Roman"/>
          <w:sz w:val="18"/>
          <w:szCs w:val="18"/>
          <w:color w:val="auto"/>
        </w:rPr>
        <w:t>On February 28, 2019, the Corporation completed its acquisition of Principium and assumed its office lease located at 125 Chubb Avenue, Lyndhurst, New Jersey. The total rentable space is 3,308 square feet. The lease expires May 31, 2022 and has one option to renew for 5 years.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Tennessee lease:</w:t>
      </w:r>
    </w:p>
    <w:p>
      <w:pPr>
        <w:spacing w:after="0" w:line="114" w:lineRule="exact"/>
        <w:rPr>
          <w:sz w:val="20"/>
          <w:szCs w:val="20"/>
          <w:color w:val="auto"/>
        </w:rPr>
      </w:pPr>
    </w:p>
    <w:p>
      <w:pPr>
        <w:jc w:val="both"/>
        <w:ind w:right="20" w:firstLine="449"/>
        <w:spacing w:after="0" w:line="258" w:lineRule="auto"/>
        <w:rPr>
          <w:sz w:val="20"/>
          <w:szCs w:val="20"/>
          <w:color w:val="auto"/>
        </w:rPr>
      </w:pPr>
      <w:r>
        <w:rPr>
          <w:rFonts w:ascii="Times New Roman" w:cs="Times New Roman" w:eastAsia="Times New Roman" w:hAnsi="Times New Roman"/>
          <w:sz w:val="18"/>
          <w:szCs w:val="18"/>
          <w:color w:val="auto"/>
        </w:rPr>
        <w:t>On May 7, 2019, the Corporation entered into an agreement to lease office space at 725 Cool Springs Boulevard, Franklin, Tennessee. The total rentable space is 10,450 square feet. The lease expired on August 31, 2020, with the company entering into a new lease term for 2,143 square feet of rentable space that commenced on September 1, 2020 on a month-to-month basis.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240"/>
          </w:cols>
          <w:pgMar w:left="320" w:top="450" w:right="33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lease costs recognized under ASC 842:</w:t>
      </w:r>
    </w:p>
    <w:p>
      <w:pPr>
        <w:spacing w:after="0" w:line="114" w:lineRule="exact"/>
        <w:rPr>
          <w:sz w:val="20"/>
          <w:szCs w:val="20"/>
          <w:color w:val="auto"/>
        </w:rPr>
      </w:pPr>
    </w:p>
    <w:p>
      <w:pPr>
        <w:ind w:right="200" w:firstLine="449"/>
        <w:spacing w:after="0" w:line="270"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under ASC 842 and other information pertaining to the Corporation’s operating leases for the year ended December 31, 2019:</w:t>
      </w:r>
    </w:p>
    <w:p>
      <w:pPr>
        <w:spacing w:after="0" w:line="18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68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w:t>
            </w:r>
          </w:p>
        </w:tc>
        <w:tc>
          <w:tcPr>
            <w:tcW w:w="0" w:type="dxa"/>
            <w:vAlign w:val="bottom"/>
          </w:tcPr>
          <w:p>
            <w:pPr>
              <w:spacing w:after="0"/>
              <w:rPr>
                <w:sz w:val="1"/>
                <w:szCs w:val="1"/>
                <w:color w:val="auto"/>
              </w:rPr>
            </w:pPr>
          </w:p>
        </w:tc>
      </w:tr>
      <w:tr>
        <w:trPr>
          <w:trHeight w:val="114"/>
        </w:trPr>
        <w:tc>
          <w:tcPr>
            <w:tcW w:w="1860" w:type="dxa"/>
            <w:vAlign w:val="bottom"/>
            <w:tcBorders>
              <w:top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cost</w:t>
            </w:r>
          </w:p>
        </w:tc>
        <w:tc>
          <w:tcPr>
            <w:tcW w:w="200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12"/>
        </w:trPr>
        <w:tc>
          <w:tcPr>
            <w:tcW w:w="6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lease cost</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2"/>
        </w:trPr>
        <w:tc>
          <w:tcPr>
            <w:tcW w:w="6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Sublease income</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lease cost</w:t>
            </w:r>
          </w:p>
        </w:tc>
        <w:tc>
          <w:tcPr>
            <w:tcW w:w="200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12"/>
        </w:trPr>
        <w:tc>
          <w:tcPr>
            <w:tcW w:w="6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2"/>
        </w:trPr>
        <w:tc>
          <w:tcPr>
            <w:tcW w:w="66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terms of the Corporation’s non-cancelable lease agreements in effect at December 31, 2019, the following table summarizes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maturities of lease liabilities as of December 31, 2019:</w:t>
      </w:r>
    </w:p>
    <w:p>
      <w:pPr>
        <w:spacing w:after="0" w:line="219" w:lineRule="exact"/>
        <w:rPr>
          <w:sz w:val="20"/>
          <w:szCs w:val="20"/>
          <w:color w:val="auto"/>
        </w:rPr>
      </w:pPr>
    </w:p>
    <w:tbl>
      <w:tblPr>
        <w:tblLayout w:type="fixed"/>
        <w:tblInd w:w="1800" w:type="dxa"/>
        <w:tblCellMar>
          <w:top w:w="0" w:type="dxa"/>
          <w:left w:w="0" w:type="dxa"/>
          <w:bottom w:w="0" w:type="dxa"/>
          <w:right w:w="0" w:type="dxa"/>
        </w:tblCellMar>
      </w:tblPr>
      <w:tr>
        <w:trPr>
          <w:trHeight w:val="170"/>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 2019</w:t>
            </w:r>
          </w:p>
        </w:tc>
        <w:tc>
          <w:tcPr>
            <w:tcW w:w="482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06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18,963</w:t>
            </w:r>
          </w:p>
        </w:tc>
        <w:tc>
          <w:tcPr>
            <w:tcW w:w="0" w:type="dxa"/>
            <w:vAlign w:val="bottom"/>
          </w:tcPr>
          <w:p>
            <w:pPr>
              <w:spacing w:after="0"/>
              <w:rPr>
                <w:sz w:val="1"/>
                <w:szCs w:val="1"/>
                <w:color w:val="auto"/>
              </w:rPr>
            </w:pPr>
          </w:p>
        </w:tc>
      </w:tr>
      <w:tr>
        <w:trPr>
          <w:trHeight w:val="22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gridSpan w:val="2"/>
            <w:shd w:val="clear" w:color="auto" w:fill="CCEEFF"/>
          </w:tcPr>
          <w:p>
            <w:pPr>
              <w:ind w:left="4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14,805</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Total rent expense for the year ended December 31, 2018, was approximately $4.6 million in accordance with ASC 840. The following disclosures as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are in accordance with ASC 840. Future minimum lease payments for operating leases as of December 31, 2018, were as follows:</w:t>
      </w:r>
    </w:p>
    <w:p>
      <w:pPr>
        <w:spacing w:after="0" w:line="219" w:lineRule="exact"/>
        <w:rPr>
          <w:sz w:val="20"/>
          <w:szCs w:val="20"/>
          <w:color w:val="auto"/>
        </w:rPr>
      </w:pPr>
    </w:p>
    <w:tbl>
      <w:tblPr>
        <w:tblLayout w:type="fixed"/>
        <w:tblInd w:w="1800" w:type="dxa"/>
        <w:tblCellMar>
          <w:top w:w="0" w:type="dxa"/>
          <w:left w:w="0" w:type="dxa"/>
          <w:bottom w:w="0" w:type="dxa"/>
          <w:right w:w="0" w:type="dxa"/>
        </w:tblCellMar>
      </w:tblPr>
      <w:tr>
        <w:trPr>
          <w:trHeight w:val="170"/>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 2018</w:t>
            </w:r>
          </w:p>
        </w:tc>
        <w:tc>
          <w:tcPr>
            <w:tcW w:w="488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100" w:type="dxa"/>
            <w:vAlign w:val="bottom"/>
            <w:gridSpan w:val="2"/>
            <w:shd w:val="clear" w:color="auto" w:fill="CCEEFF"/>
          </w:tcPr>
          <w:p>
            <w:pPr>
              <w:ind w:left="4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4,699</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100" w:type="dxa"/>
            <w:vAlign w:val="bottom"/>
            <w:gridSpan w:val="2"/>
            <w:shd w:val="clear" w:color="auto" w:fill="CCEEFF"/>
          </w:tcPr>
          <w:p>
            <w:pPr>
              <w:ind w:left="48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23,068</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860" w:type="dxa"/>
            <w:vAlign w:val="bottom"/>
          </w:tcPr>
          <w:p>
            <w:pPr>
              <w:spacing w:after="0"/>
              <w:rPr>
                <w:sz w:val="24"/>
                <w:szCs w:val="24"/>
                <w:color w:val="auto"/>
              </w:rPr>
            </w:pPr>
          </w:p>
        </w:tc>
        <w:tc>
          <w:tcPr>
            <w:tcW w:w="51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F-74</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0" w:right="37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Preferred stock</w:t>
      </w:r>
    </w:p>
    <w:p>
      <w:pPr>
        <w:spacing w:after="0" w:line="112"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During 2015, the Corporation issued 5,274,468 shares of Series A and 7,199,261 shares of Series A-1 preferred stock at $1.04219 per share for total proceeds of approximately $13.0 million. During 2015, the Corporation issued 10,338,818 shares of Series B preferred stock at $3.385 per share for total proceeds of approximately $35.0 million.</w:t>
      </w:r>
    </w:p>
    <w:p>
      <w:pPr>
        <w:spacing w:after="0" w:line="179" w:lineRule="exact"/>
        <w:rPr>
          <w:sz w:val="20"/>
          <w:szCs w:val="20"/>
          <w:color w:val="auto"/>
        </w:rPr>
      </w:pPr>
    </w:p>
    <w:p>
      <w:pPr>
        <w:ind w:right="940" w:firstLine="449"/>
        <w:spacing w:after="0" w:line="270" w:lineRule="auto"/>
        <w:rPr>
          <w:sz w:val="20"/>
          <w:szCs w:val="20"/>
          <w:color w:val="auto"/>
        </w:rPr>
      </w:pPr>
      <w:r>
        <w:rPr>
          <w:rFonts w:ascii="Times New Roman" w:cs="Times New Roman" w:eastAsia="Times New Roman" w:hAnsi="Times New Roman"/>
          <w:sz w:val="18"/>
          <w:szCs w:val="18"/>
          <w:color w:val="auto"/>
        </w:rPr>
        <w:t>During 2016, the Corporation issued 19,066,809 shares of Series C preferred stock at $8.4002 per share for total proceeds of approximately $160.2 million. Issuance costs totaled approximately $0.4 million.</w:t>
      </w:r>
    </w:p>
    <w:p>
      <w:pPr>
        <w:spacing w:after="0" w:line="169" w:lineRule="exact"/>
        <w:rPr>
          <w:sz w:val="20"/>
          <w:szCs w:val="20"/>
          <w:color w:val="auto"/>
        </w:rPr>
      </w:pPr>
    </w:p>
    <w:p>
      <w:pPr>
        <w:ind w:right="940" w:firstLine="449"/>
        <w:spacing w:after="0" w:line="270" w:lineRule="auto"/>
        <w:rPr>
          <w:sz w:val="20"/>
          <w:szCs w:val="20"/>
          <w:color w:val="auto"/>
        </w:rPr>
      </w:pPr>
      <w:r>
        <w:rPr>
          <w:rFonts w:ascii="Times New Roman" w:cs="Times New Roman" w:eastAsia="Times New Roman" w:hAnsi="Times New Roman"/>
          <w:sz w:val="18"/>
          <w:szCs w:val="18"/>
          <w:color w:val="auto"/>
        </w:rPr>
        <w:t>During 2017, the Corporation issued 20,749,216 shares of Series D preferred stock at $9.3778 per share for total proceeds of approximately $194.6 million. Issuance costs totaled approximately $0.3 million.</w:t>
      </w:r>
    </w:p>
    <w:p>
      <w:pPr>
        <w:spacing w:after="0" w:line="169" w:lineRule="exact"/>
        <w:rPr>
          <w:sz w:val="20"/>
          <w:szCs w:val="20"/>
          <w:color w:val="auto"/>
        </w:rPr>
      </w:pPr>
    </w:p>
    <w:p>
      <w:pPr>
        <w:jc w:val="both"/>
        <w:ind w:right="280" w:firstLine="449"/>
        <w:spacing w:after="0" w:line="258" w:lineRule="auto"/>
        <w:rPr>
          <w:sz w:val="20"/>
          <w:szCs w:val="20"/>
          <w:color w:val="auto"/>
        </w:rPr>
      </w:pPr>
      <w:r>
        <w:rPr>
          <w:rFonts w:ascii="Times New Roman" w:cs="Times New Roman" w:eastAsia="Times New Roman" w:hAnsi="Times New Roman"/>
          <w:sz w:val="18"/>
          <w:szCs w:val="18"/>
          <w:color w:val="auto"/>
        </w:rPr>
        <w:t>During 2018, the Corporation issued 4,798,566 additional shares of Series D preferred stock at $9.3778 per share for total proceeds of approximately $45.0 million. Issuance costs totaled approximately $0.5 million. As of each balance sheet date, preferred stock consisted of the following ($ in thousands, except for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8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2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5"/>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480" w:type="dxa"/>
            <w:vAlign w:val="bottom"/>
            <w:gridSpan w:val="3"/>
            <w:vMerge w:val="continue"/>
          </w:tcPr>
          <w:p>
            <w:pPr>
              <w:spacing w:after="0"/>
              <w:rPr>
                <w:sz w:val="12"/>
                <w:szCs w:val="12"/>
                <w:color w:val="auto"/>
              </w:rPr>
            </w:pPr>
          </w:p>
        </w:tc>
        <w:tc>
          <w:tcPr>
            <w:tcW w:w="1480" w:type="dxa"/>
            <w:vAlign w:val="bottom"/>
            <w:gridSpan w:val="2"/>
          </w:tcPr>
          <w:p>
            <w:pPr>
              <w:jc w:val="center"/>
              <w:ind w:right="560"/>
              <w:spacing w:after="0" w:line="145"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57"/>
        </w:trPr>
        <w:tc>
          <w:tcPr>
            <w:tcW w:w="4840" w:type="dxa"/>
            <w:vAlign w:val="bottom"/>
            <w:gridSpan w:val="2"/>
            <w:vMerge w:val="continue"/>
          </w:tcPr>
          <w:p>
            <w:pPr>
              <w:spacing w:after="0"/>
              <w:rPr>
                <w:sz w:val="13"/>
                <w:szCs w:val="13"/>
                <w:color w:val="auto"/>
              </w:rPr>
            </w:pPr>
          </w:p>
        </w:tc>
        <w:tc>
          <w:tcPr>
            <w:tcW w:w="1480" w:type="dxa"/>
            <w:vAlign w:val="bottom"/>
            <w:gridSpan w:val="3"/>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authorized</w:t>
            </w:r>
          </w:p>
        </w:tc>
        <w:tc>
          <w:tcPr>
            <w:tcW w:w="1480" w:type="dxa"/>
            <w:vAlign w:val="bottom"/>
            <w:gridSpan w:val="2"/>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gridSpan w:val="2"/>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gridSpan w:val="2"/>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96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w:t>
            </w:r>
          </w:p>
        </w:tc>
        <w:tc>
          <w:tcPr>
            <w:tcW w:w="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w:t>
            </w: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5,497</w:t>
            </w: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7,120</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7,199</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7,503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5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7,199</w:t>
            </w:r>
          </w:p>
        </w:tc>
        <w:tc>
          <w:tcPr>
            <w:tcW w:w="0" w:type="dxa"/>
            <w:vAlign w:val="bottom"/>
          </w:tcPr>
          <w:p>
            <w:pPr>
              <w:spacing w:after="0"/>
              <w:rPr>
                <w:sz w:val="1"/>
                <w:szCs w:val="1"/>
                <w:color w:val="auto"/>
              </w:rPr>
            </w:pPr>
          </w:p>
        </w:tc>
      </w:tr>
      <w:tr>
        <w:trPr>
          <w:trHeight w:val="212"/>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10,339</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10,339</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34,997</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43,622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10,339</w:t>
            </w:r>
          </w:p>
        </w:tc>
        <w:tc>
          <w:tcPr>
            <w:tcW w:w="0" w:type="dxa"/>
            <w:vAlign w:val="bottom"/>
          </w:tcPr>
          <w:p>
            <w:pPr>
              <w:spacing w:after="0"/>
              <w:rPr>
                <w:sz w:val="1"/>
                <w:szCs w:val="1"/>
                <w:color w:val="auto"/>
              </w:rPr>
            </w:pPr>
          </w:p>
        </w:tc>
      </w:tr>
      <w:tr>
        <w:trPr>
          <w:trHeight w:val="21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19,067</w:t>
            </w:r>
          </w:p>
        </w:tc>
        <w:tc>
          <w:tcPr>
            <w:tcW w:w="5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19,067</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160,165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194,778</w:t>
            </w:r>
          </w:p>
        </w:tc>
        <w:tc>
          <w:tcPr>
            <w:tcW w:w="5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19,067</w:t>
            </w:r>
          </w:p>
        </w:tc>
        <w:tc>
          <w:tcPr>
            <w:tcW w:w="0" w:type="dxa"/>
            <w:vAlign w:val="bottom"/>
          </w:tcPr>
          <w:p>
            <w:pPr>
              <w:spacing w:after="0"/>
              <w:rPr>
                <w:sz w:val="1"/>
                <w:szCs w:val="1"/>
                <w:color w:val="auto"/>
              </w:rPr>
            </w:pPr>
          </w:p>
        </w:tc>
      </w:tr>
      <w:tr>
        <w:trPr>
          <w:trHeight w:val="212"/>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33,257</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25,548</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239,582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266,557</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25,548</w:t>
            </w: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67,427</w:t>
            </w:r>
          </w:p>
        </w:tc>
        <w:tc>
          <w:tcPr>
            <w:tcW w:w="5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447,744</w:t>
            </w:r>
          </w:p>
        </w:tc>
        <w:tc>
          <w:tcPr>
            <w:tcW w:w="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$ 521,781</w:t>
            </w:r>
          </w:p>
        </w:tc>
        <w:tc>
          <w:tcPr>
            <w:tcW w:w="5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4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2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5"/>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480" w:type="dxa"/>
            <w:vAlign w:val="bottom"/>
            <w:gridSpan w:val="3"/>
            <w:vMerge w:val="continue"/>
          </w:tcPr>
          <w:p>
            <w:pPr>
              <w:spacing w:after="0"/>
              <w:rPr>
                <w:sz w:val="12"/>
                <w:szCs w:val="12"/>
                <w:color w:val="auto"/>
              </w:rPr>
            </w:pPr>
          </w:p>
        </w:tc>
        <w:tc>
          <w:tcPr>
            <w:tcW w:w="1480" w:type="dxa"/>
            <w:vAlign w:val="bottom"/>
            <w:gridSpan w:val="2"/>
          </w:tcPr>
          <w:p>
            <w:pPr>
              <w:jc w:val="center"/>
              <w:ind w:right="560"/>
              <w:spacing w:after="0" w:line="145"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57"/>
        </w:trPr>
        <w:tc>
          <w:tcPr>
            <w:tcW w:w="4840" w:type="dxa"/>
            <w:vAlign w:val="bottom"/>
            <w:gridSpan w:val="2"/>
            <w:vMerge w:val="continue"/>
          </w:tcPr>
          <w:p>
            <w:pPr>
              <w:spacing w:after="0"/>
              <w:rPr>
                <w:sz w:val="13"/>
                <w:szCs w:val="13"/>
                <w:color w:val="auto"/>
              </w:rPr>
            </w:pPr>
          </w:p>
        </w:tc>
        <w:tc>
          <w:tcPr>
            <w:tcW w:w="1480" w:type="dxa"/>
            <w:vAlign w:val="bottom"/>
            <w:gridSpan w:val="3"/>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authorized</w:t>
            </w:r>
          </w:p>
        </w:tc>
        <w:tc>
          <w:tcPr>
            <w:tcW w:w="1480" w:type="dxa"/>
            <w:vAlign w:val="bottom"/>
            <w:gridSpan w:val="2"/>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0" w:type="dxa"/>
            <w:vAlign w:val="bottom"/>
            <w:gridSpan w:val="2"/>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gridSpan w:val="2"/>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96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w:t>
            </w:r>
          </w:p>
        </w:tc>
        <w:tc>
          <w:tcPr>
            <w:tcW w:w="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w:t>
            </w: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5,497</w:t>
            </w: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5,497</w:t>
            </w: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7,199</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7,503</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30,012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7,199</w:t>
            </w:r>
          </w:p>
        </w:tc>
        <w:tc>
          <w:tcPr>
            <w:tcW w:w="0" w:type="dxa"/>
            <w:vAlign w:val="bottom"/>
          </w:tcPr>
          <w:p>
            <w:pPr>
              <w:spacing w:after="0"/>
              <w:rPr>
                <w:sz w:val="1"/>
                <w:szCs w:val="1"/>
                <w:color w:val="auto"/>
              </w:rPr>
            </w:pPr>
          </w:p>
        </w:tc>
      </w:tr>
      <w:tr>
        <w:trPr>
          <w:trHeight w:val="212"/>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10,339</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10,339</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34,997</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35,000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10,339</w:t>
            </w:r>
          </w:p>
        </w:tc>
        <w:tc>
          <w:tcPr>
            <w:tcW w:w="0" w:type="dxa"/>
            <w:vAlign w:val="bottom"/>
          </w:tcPr>
          <w:p>
            <w:pPr>
              <w:spacing w:after="0"/>
              <w:rPr>
                <w:sz w:val="1"/>
                <w:szCs w:val="1"/>
                <w:color w:val="auto"/>
              </w:rPr>
            </w:pPr>
          </w:p>
        </w:tc>
      </w:tr>
      <w:tr>
        <w:trPr>
          <w:trHeight w:val="21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19,067</w:t>
            </w:r>
          </w:p>
        </w:tc>
        <w:tc>
          <w:tcPr>
            <w:tcW w:w="5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19,067</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160,165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160,165</w:t>
            </w:r>
          </w:p>
        </w:tc>
        <w:tc>
          <w:tcPr>
            <w:tcW w:w="5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19,067</w:t>
            </w:r>
          </w:p>
        </w:tc>
        <w:tc>
          <w:tcPr>
            <w:tcW w:w="0" w:type="dxa"/>
            <w:vAlign w:val="bottom"/>
          </w:tcPr>
          <w:p>
            <w:pPr>
              <w:spacing w:after="0"/>
              <w:rPr>
                <w:sz w:val="1"/>
                <w:szCs w:val="1"/>
                <w:color w:val="auto"/>
              </w:rPr>
            </w:pPr>
          </w:p>
        </w:tc>
      </w:tr>
      <w:tr>
        <w:trPr>
          <w:trHeight w:val="212"/>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33,257</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25,548</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239,582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239,582</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25,548</w:t>
            </w: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75,136</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67,427</w:t>
            </w:r>
          </w:p>
        </w:tc>
        <w:tc>
          <w:tcPr>
            <w:tcW w:w="5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447,744</w:t>
            </w:r>
          </w:p>
        </w:tc>
        <w:tc>
          <w:tcPr>
            <w:tcW w:w="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$ 470,256</w:t>
            </w:r>
          </w:p>
        </w:tc>
        <w:tc>
          <w:tcPr>
            <w:tcW w:w="5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the preferred stock have rights, preferences and privileges as follows: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2" w:lineRule="exact"/>
        <w:rPr>
          <w:sz w:val="20"/>
          <w:szCs w:val="20"/>
          <w:color w:val="auto"/>
        </w:rPr>
      </w:pPr>
    </w:p>
    <w:p>
      <w:pPr>
        <w:ind w:right="20" w:firstLine="449"/>
        <w:spacing w:after="0" w:line="269" w:lineRule="auto"/>
        <w:rPr>
          <w:sz w:val="20"/>
          <w:szCs w:val="20"/>
          <w:color w:val="auto"/>
        </w:rPr>
      </w:pPr>
      <w:r>
        <w:rPr>
          <w:rFonts w:ascii="Times New Roman" w:cs="Times New Roman" w:eastAsia="Times New Roman" w:hAnsi="Times New Roman"/>
          <w:sz w:val="17"/>
          <w:szCs w:val="17"/>
          <w:color w:val="auto"/>
        </w:rPr>
        <w:t>The Series A and Series A-1 dividend rate is $0.08338 per share of Series A preferred stock per annum, subject to appropriate adjustment in the event of any stock dividend, stock split, combination or other similar recapitalization with respect to the Series A and Series A-1 preferred stock. The Series B rate is $0.2708 per share of Series B preferred stock per annum, subject to appropriate adjustment in the event of any stock dividend, stock split, combination or other similar recapitalization with respect to Series B preferred stock. The Series C rate is $0.67202 per share of Series C preferred stock per annum, subject to appropriate adjustment in the event of any stock split, combination or other similar recapitalization with respect to the Series C preferred stock.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40"/>
          </w:cols>
          <w:pgMar w:left="320" w:top="450" w:right="33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Series D rate is $0.750224 per share of Series D preferred stock per annum, subject to appropriate adjustment in the event of any stock dividend, stock split, combination or other similar recapitalization with respect to the Series D preferred stock.</w:t>
      </w:r>
    </w:p>
    <w:p>
      <w:pPr>
        <w:spacing w:after="0" w:line="169"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Corporation cannot declare, pay or set aside any dividends on shares of any other class or series of capital stock of the Corporation (other than dividends on shares of common stock payable in shares of common stock) unless the holders of the outstanding preferred stock will first receive (on a pari passu basis), or simultaneously receive, a dividend on each outstanding share of preferred stock in an amount equal to the greater of (a) the applicable dividend rate (as listed above) or (b) an amount that such holders of the preferred stock would receive on a pari passu basis with the holders of common stock if such shares of preferred stock had been converted to common stock. The holders of the outstanding preferred stock can waive any dividend preference that the holders are entitled to receive upon the affirmative vote or written consent of the holders of a majority of the shares of outstanding preferred stock (voting together as a single class and on as-converted to common stock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Each holder of the outstanding share of preferred stock is entitled to cast the number of votes equal to the number of whole shares of common stock into which the shares of preferred stock held by such holder are convertible as of the record date for determining stockholders entitled to vote on such matter. Unless provided by law or any other provisions of the Certificate of Incorporation, holders of preferred stock can vote together with the holders of common stock as a single class on all matters presented to the stockholders of the Corporation.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2" w:lineRule="exact"/>
        <w:rPr>
          <w:sz w:val="20"/>
          <w:szCs w:val="20"/>
          <w:color w:val="auto"/>
        </w:rPr>
      </w:pPr>
    </w:p>
    <w:p>
      <w:pPr>
        <w:ind w:right="120" w:firstLine="449"/>
        <w:spacing w:after="0" w:line="264" w:lineRule="auto"/>
        <w:rPr>
          <w:sz w:val="20"/>
          <w:szCs w:val="20"/>
          <w:color w:val="auto"/>
        </w:rPr>
      </w:pPr>
      <w:r>
        <w:rPr>
          <w:rFonts w:ascii="Times New Roman" w:cs="Times New Roman" w:eastAsia="Times New Roman" w:hAnsi="Times New Roman"/>
          <w:sz w:val="17"/>
          <w:szCs w:val="17"/>
          <w:color w:val="auto"/>
        </w:rPr>
        <w:t>Each share of preferred stock can be converted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common conversion price (as defined below) in effect at the time of conversion. The “Series A conversion price” will initially be equal to the Series A-1 original issue price. The “Series B conversion price” will initially be equal to the Series B original issue price. The “Series C conversion price” will initially be equal to the Series C original issue price. The “Series D conversion price” will initially be equal to the Series D original issue price. The “applicable conversion price” is defined as the Series A conversion price with respect to the Series A preferred stock, the Series A-1 conversion price with respect to the Series A-1 preferred stock, the Series B conversion price with respect to the Series B preferred stock, the Series C conversion price with respect to the Series C preferred stock, and the Series D conversion price with respect to the Series D preferred stock. Each applicable conversion price, and the rate at which shares of preferred stock may be converted into shares of common stock, is subject to adjustment as provided below.</w:t>
      </w:r>
    </w:p>
    <w:p>
      <w:pPr>
        <w:spacing w:after="0" w:line="180" w:lineRule="exact"/>
        <w:rPr>
          <w:sz w:val="20"/>
          <w:szCs w:val="20"/>
          <w:color w:val="auto"/>
        </w:rPr>
      </w:pPr>
    </w:p>
    <w:p>
      <w:pPr>
        <w:ind w:right="120" w:firstLine="449"/>
        <w:spacing w:after="0" w:line="300" w:lineRule="auto"/>
        <w:rPr>
          <w:sz w:val="20"/>
          <w:szCs w:val="20"/>
          <w:color w:val="auto"/>
        </w:rPr>
      </w:pPr>
      <w:r>
        <w:rPr>
          <w:rFonts w:ascii="Times New Roman" w:cs="Times New Roman" w:eastAsia="Times New Roman" w:hAnsi="Times New Roman"/>
          <w:sz w:val="17"/>
          <w:szCs w:val="17"/>
          <w:color w:val="auto"/>
        </w:rPr>
        <w:t>In the event of liquidation, dissolution or winding up of the Corporation or a deemed liquidation event, the conversion rights will terminate at the close of business on the last full day preceding the date fixed for the payment of such amounts distributable on such event to the holders of preferred stock.</w:t>
      </w:r>
    </w:p>
    <w:p>
      <w:pPr>
        <w:spacing w:after="0" w:line="146" w:lineRule="exact"/>
        <w:rPr>
          <w:sz w:val="20"/>
          <w:szCs w:val="20"/>
          <w:color w:val="auto"/>
        </w:rPr>
      </w:pPr>
    </w:p>
    <w:p>
      <w:pPr>
        <w:ind w:right="80" w:firstLine="449"/>
        <w:spacing w:after="0" w:line="273" w:lineRule="auto"/>
        <w:rPr>
          <w:sz w:val="20"/>
          <w:szCs w:val="20"/>
          <w:color w:val="auto"/>
        </w:rPr>
      </w:pPr>
      <w:r>
        <w:rPr>
          <w:rFonts w:ascii="Times New Roman" w:cs="Times New Roman" w:eastAsia="Times New Roman" w:hAnsi="Times New Roman"/>
          <w:sz w:val="17"/>
          <w:szCs w:val="17"/>
          <w:color w:val="auto"/>
        </w:rPr>
        <w:t>No fractional shares of common stock can be issued upon conversion of the preferred stock. In lieu of any fractional shares to which the holder would otherwise be entitled, the Corporation will pay cash equal to such fraction multiplied by the fair value of a share of common stock as determined in good faith by the Board. Whether or not fractional shares would be issuable upon such conversion will be determined on the basis of the total number of shares of preferred stock the holder is at the time converting into common stock and the aggregate number of shares of common stock issuable upon conversion.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20"/>
          </w:cols>
          <w:pgMar w:left="320" w:top="450" w:right="35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preferred stock of the Corporation is subject to broad based weighted-average anti-dilution subject to customary carveouts.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2" w:lineRule="exact"/>
        <w:rPr>
          <w:sz w:val="20"/>
          <w:szCs w:val="20"/>
          <w:color w:val="auto"/>
        </w:rPr>
      </w:pPr>
    </w:p>
    <w:p>
      <w:pPr>
        <w:jc w:val="both"/>
        <w:ind w:right="40" w:firstLine="449"/>
        <w:spacing w:after="0" w:line="258" w:lineRule="auto"/>
        <w:rPr>
          <w:sz w:val="20"/>
          <w:szCs w:val="20"/>
          <w:color w:val="auto"/>
        </w:rPr>
      </w:pPr>
      <w:r>
        <w:rPr>
          <w:rFonts w:ascii="Times New Roman" w:cs="Times New Roman" w:eastAsia="Times New Roman" w:hAnsi="Times New Roman"/>
          <w:sz w:val="18"/>
          <w:szCs w:val="18"/>
          <w:color w:val="auto"/>
        </w:rPr>
        <w:t>The preferred stock is not mandatorily redeemable. Any shares of preferred stock that are redeemed or otherwise acquired by the Corporation or any of its subsidiaries will be automatically and immediately cancelled and retired and will not be reissued, sold or transferred. Neither the Corporation nor any of its subsidiaries may exercise any voting or other rights granted to the holders of preferred stock following redemption.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plan</w:t>
      </w:r>
    </w:p>
    <w:p>
      <w:pPr>
        <w:spacing w:after="0" w:line="11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compensation that is contributed by the employee up to 4% of eligible annual compensation. The Corporation’s service contributions to the 401(k) Plan amounted to approximately $1.0 million in 2018, and $1.3 million in 2019 and are included in salaries and benefits on the Consolidated Statements of Operations and Comprehensive Loss. The Corporation’s cash match is invested pursuant to the participant’s contribution direction. Employer contributions are immediately 100% vested.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4" w:lineRule="exact"/>
        <w:rPr>
          <w:sz w:val="20"/>
          <w:szCs w:val="20"/>
          <w:color w:val="auto"/>
        </w:rPr>
      </w:pPr>
    </w:p>
    <w:p>
      <w:pPr>
        <w:ind w:right="220" w:firstLine="449"/>
        <w:spacing w:after="0" w:line="267" w:lineRule="auto"/>
        <w:rPr>
          <w:sz w:val="20"/>
          <w:szCs w:val="20"/>
          <w:color w:val="auto"/>
        </w:rPr>
      </w:pPr>
      <w:r>
        <w:rPr>
          <w:rFonts w:ascii="Times New Roman" w:cs="Times New Roman" w:eastAsia="Times New Roman" w:hAnsi="Times New Roman"/>
          <w:sz w:val="17"/>
          <w:szCs w:val="17"/>
          <w:color w:val="auto"/>
        </w:rPr>
        <w:t>The Corporation’s 2014 Equity Incentive Plan (“the Plan”) grants options of common stock, par value $0.0001 per share, to employees, directors, officers and consultants of the Corporation. The maximum number of common shares reserved for issuance over the term of the Plan may not exceed 17,917,902 shares as of December 31, 2018 and 17,917,902 shares as of December 31, 2019. Shares that are expired, terminated, surrendered or cancelled under the Plan without having been fully exercised will be available for future awards. As of December 31, 2018 and 2019, there were 13,077,951 and 13,630,783, respectively, outstanding options and common stock issued under the Plan, leaving 4,839,951 and 4,287,119 shares, respectively, remaining for future grants, assuming all stock options were granted. Shares may be issued from authorized but unissued Corporation stock.</w:t>
      </w:r>
    </w:p>
    <w:p>
      <w:pPr>
        <w:spacing w:after="0" w:line="176" w:lineRule="exact"/>
        <w:rPr>
          <w:sz w:val="20"/>
          <w:szCs w:val="20"/>
          <w:color w:val="auto"/>
        </w:rPr>
      </w:pPr>
    </w:p>
    <w:p>
      <w:pPr>
        <w:ind w:firstLine="449"/>
        <w:spacing w:after="0" w:line="269" w:lineRule="auto"/>
        <w:rPr>
          <w:sz w:val="20"/>
          <w:szCs w:val="20"/>
          <w:color w:val="auto"/>
        </w:rPr>
      </w:pPr>
      <w:r>
        <w:rPr>
          <w:rFonts w:ascii="Times New Roman" w:cs="Times New Roman" w:eastAsia="Times New Roman" w:hAnsi="Times New Roman"/>
          <w:sz w:val="17"/>
          <w:szCs w:val="17"/>
          <w:color w:val="auto"/>
        </w:rPr>
        <w:t>The Plan is administered by the Board. The options will be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the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four years.</w:t>
      </w:r>
    </w:p>
    <w:p>
      <w:pPr>
        <w:spacing w:after="0" w:line="174"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As part of the Plan, the Corporation may also grant some of its employees restricted stock awards. The fair value of each stock award is determined based on the fair value of the Corporation’s common shares on the date of grant. The total estimated fair value is amortized as an expense over the requisite service period as determined by the Board.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00"/>
          </w:cols>
          <w:pgMar w:left="320" w:top="450" w:right="37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Corporation granted options to purchase 5,116,177 and 4,268,965 shares of common stock during the years ended December 31, 2018 and 2019,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Corporation recorded stock-based compensation expense for options granted of $3.6 million and $3.3 million during years ended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2018 and 2019, respectively, presented in salaries and benefits in the accompanying Consolidated Statements of Operations and Comprehensive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During the years ended December 31, 2018 and 2019, the Corporation granted no shares of restricted stock.</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14" w:lineRule="exact"/>
        <w:rPr>
          <w:sz w:val="20"/>
          <w:szCs w:val="20"/>
          <w:color w:val="auto"/>
        </w:rPr>
      </w:pPr>
    </w:p>
    <w:p>
      <w:pPr>
        <w:ind w:right="60" w:firstLine="449"/>
        <w:spacing w:after="0" w:line="270" w:lineRule="auto"/>
        <w:rPr>
          <w:sz w:val="20"/>
          <w:szCs w:val="20"/>
          <w:color w:val="auto"/>
        </w:rPr>
      </w:pPr>
      <w:r>
        <w:rPr>
          <w:rFonts w:ascii="Times New Roman" w:cs="Times New Roman" w:eastAsia="Times New Roman" w:hAnsi="Times New Roman"/>
          <w:sz w:val="18"/>
          <w:szCs w:val="18"/>
          <w:color w:val="auto"/>
        </w:rPr>
        <w:t>The assumptions that the Corporation used in the Black-Scholes option-pricing model to determine the grant-date fair value of stock options granted for the years ended December 31, 2018 and 2019, respectively, were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0"/>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4"/>
                <w:szCs w:val="14"/>
                <w:color w:val="auto"/>
              </w:rPr>
            </w:pPr>
          </w:p>
        </w:tc>
      </w:tr>
      <w:tr>
        <w:trPr>
          <w:trHeight w:val="20"/>
        </w:trPr>
        <w:tc>
          <w:tcPr>
            <w:tcW w:w="152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8"/>
        </w:trPr>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risk-free interest rate</w:t>
            </w:r>
          </w:p>
        </w:tc>
        <w:tc>
          <w:tcPr>
            <w:tcW w:w="960" w:type="dxa"/>
            <w:vAlign w:val="bottom"/>
            <w:gridSpan w:val="2"/>
            <w:shd w:val="clear" w:color="auto" w:fill="CCEEFF"/>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2.76%</w:t>
            </w:r>
          </w:p>
        </w:tc>
        <w:tc>
          <w:tcPr>
            <w:tcW w:w="66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1.95%</w:t>
            </w:r>
          </w:p>
        </w:tc>
      </w:tr>
      <w:tr>
        <w:trPr>
          <w:trHeight w:val="21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w:t>
            </w:r>
          </w:p>
        </w:tc>
      </w:tr>
      <w:tr>
        <w:trPr>
          <w:trHeight w:val="212"/>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28.37%</w:t>
            </w:r>
          </w:p>
        </w:tc>
      </w:tr>
      <w:tr>
        <w:trPr>
          <w:trHeight w:val="229"/>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option activity under the Plan during the year ended December 31, 2019, respectively, is as follows:</w:t>
      </w:r>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20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w w:val="99"/>
              </w:rPr>
              <w:t>Number of options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0"/>
        </w:trPr>
        <w:tc>
          <w:tcPr>
            <w:tcW w:w="518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5"/>
        </w:trPr>
        <w:tc>
          <w:tcPr>
            <w:tcW w:w="51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January 1, 2019</w:t>
            </w:r>
          </w:p>
        </w:tc>
        <w:tc>
          <w:tcPr>
            <w:tcW w:w="11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13,077,951</w:t>
            </w:r>
          </w:p>
        </w:tc>
        <w:tc>
          <w:tcPr>
            <w:tcW w:w="10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2.71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2019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4,268,965</w:t>
            </w:r>
          </w:p>
        </w:tc>
        <w:tc>
          <w:tcPr>
            <w:tcW w:w="1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2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(443,179)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(3,272,954)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22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13,630,783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60" w:firstLine="449"/>
        <w:spacing w:after="0" w:line="270"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16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2018 and 2019 was $1.45 and $1.28 per share, respectively. As of December 31, 2018 and 2019, there was approximately $10.4 million and $9.0 million, respectively, of unrecognized stock-based compensation expense related to unvested stock options. The unrecognized stock-based compensation expense is estimated to be recognized over a period of 2.6 years as of December 31, 2019.</w:t>
      </w:r>
    </w:p>
    <w:p>
      <w:pPr>
        <w:spacing w:after="0" w:line="185" w:lineRule="exact"/>
        <w:rPr>
          <w:sz w:val="20"/>
          <w:szCs w:val="20"/>
          <w:color w:val="auto"/>
        </w:rPr>
      </w:pPr>
    </w:p>
    <w:p>
      <w:pPr>
        <w:ind w:right="260" w:firstLine="449"/>
        <w:spacing w:after="0" w:line="270" w:lineRule="auto"/>
        <w:rPr>
          <w:sz w:val="20"/>
          <w:szCs w:val="20"/>
          <w:color w:val="auto"/>
        </w:rPr>
      </w:pPr>
      <w:r>
        <w:rPr>
          <w:rFonts w:ascii="Times New Roman" w:cs="Times New Roman" w:eastAsia="Times New Roman" w:hAnsi="Times New Roman"/>
          <w:sz w:val="18"/>
          <w:szCs w:val="18"/>
          <w:color w:val="auto"/>
        </w:rPr>
        <w:t>The total fair value of options vested during each of the years ended December 31, 2018 and 2019, was approximately $2.5 million and $3.5 million, respectively.</w:t>
      </w:r>
    </w:p>
    <w:p>
      <w:pPr>
        <w:spacing w:after="0" w:line="16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2019, outstanding stock options, substantially all of which are expected to vest, had an aggregate intrinsic value of $21.1 million, and a weighted-average remaining contractual term of 7.99 years. As of December 31, 2019, there were 6,673,432 options exercisable under the Plan, with an aggregate intrinsic value of $15.4 million, a weighted-average exercise price of $2.31, and a weighted-average remaining contractual term</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220"/>
          </w:cols>
          <w:pgMar w:left="320" w:top="450" w:right="35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of 7.08 years. The total intrinsic value of stock options exercised during the years ended December 31, 2018 and 2019 was $1.7 million and $1.3 million, respectively. Cash received from stock option exercises during the years ended December 31, 2018 and 2019 totaled and $0.4 million and $0.7 million, respectively.</w:t>
      </w:r>
    </w:p>
    <w:p>
      <w:pPr>
        <w:spacing w:after="0" w:line="179" w:lineRule="exact"/>
        <w:rPr>
          <w:sz w:val="20"/>
          <w:szCs w:val="20"/>
          <w:color w:val="auto"/>
        </w:rPr>
      </w:pPr>
    </w:p>
    <w:p>
      <w:pPr>
        <w:jc w:val="both"/>
        <w:ind w:right="80" w:firstLine="449"/>
        <w:spacing w:after="0" w:line="253" w:lineRule="auto"/>
        <w:rPr>
          <w:sz w:val="20"/>
          <w:szCs w:val="20"/>
          <w:color w:val="auto"/>
        </w:rPr>
      </w:pPr>
      <w:r>
        <w:rPr>
          <w:rFonts w:ascii="Times New Roman" w:cs="Times New Roman" w:eastAsia="Times New Roman" w:hAnsi="Times New Roman"/>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warrants</w:t>
      </w:r>
    </w:p>
    <w:p>
      <w:pPr>
        <w:spacing w:after="0" w:line="11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Corporation entered into two separate scopes of work with certain providers to provide services to the Corporation. As part of the payment for the services the Corporation issued warrants, in November 2016 and December 2017. The warrants were issued to purchase 139,629 shares of common stock at an exercise price of $2.61 per share, and 122,052 shares of common stock at an exercise price of $3.45 per share. The warrants are exercisable comprising the vesting portion at any time up to and including the earlier of (a) the consummation of an Initial Public Offering (“IPO”); (b) the consummation of a transaction or series of related transactions that is deemed to constitute a liquidation, dissolution or winding up of the Corporation including a change in control or (c) on the 10 year anniversary of the date of issuance (the expiration date). The warrants are being recorded as equity awards, and compensation expense was recognized over the vesting period.</w:t>
      </w:r>
    </w:p>
    <w:p>
      <w:pPr>
        <w:spacing w:after="0" w:line="189" w:lineRule="exact"/>
        <w:rPr>
          <w:sz w:val="20"/>
          <w:szCs w:val="20"/>
          <w:color w:val="auto"/>
        </w:rPr>
      </w:pPr>
    </w:p>
    <w:p>
      <w:pPr>
        <w:ind w:right="120" w:firstLine="449"/>
        <w:spacing w:after="0" w:line="280" w:lineRule="auto"/>
        <w:rPr>
          <w:sz w:val="20"/>
          <w:szCs w:val="20"/>
          <w:color w:val="auto"/>
        </w:rPr>
      </w:pPr>
      <w:r>
        <w:rPr>
          <w:rFonts w:ascii="Times New Roman" w:cs="Times New Roman" w:eastAsia="Times New Roman" w:hAnsi="Times New Roman"/>
          <w:sz w:val="17"/>
          <w:szCs w:val="17"/>
          <w:color w:val="auto"/>
        </w:rPr>
        <w:t>As of December 31, 2019, there were 261,681 warrants exercisable under the Plan, substantially all of which are expected to vest, with an aggregate intrinsic value of $1.2 million, a weighted-average exercise price of $3.0 and a weighted-average remaining contractual term of 7.3 years. The total fair value of warrants vested during each of the years ended December 31, 2018 and 2019, was approximately $0.7 million $0.9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warrant activity during the years ended December 31, 2018 and 2019, respectively, is as follows:</w:t>
      </w:r>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0"/>
        </w:trPr>
        <w:tc>
          <w:tcPr>
            <w:tcW w:w="3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05"/>
        </w:trPr>
        <w:tc>
          <w:tcPr>
            <w:tcW w:w="33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January 1, 2018</w:t>
            </w:r>
          </w:p>
        </w:tc>
        <w:tc>
          <w:tcPr>
            <w:tcW w:w="2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261,681</w:t>
            </w:r>
          </w:p>
        </w:tc>
        <w:tc>
          <w:tcPr>
            <w:tcW w:w="9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2018</w:t>
            </w:r>
          </w:p>
        </w:tc>
        <w:tc>
          <w:tcPr>
            <w:tcW w:w="244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40" w:type="dxa"/>
            <w:vAlign w:val="bottom"/>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400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261,681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2019</w:t>
            </w:r>
          </w:p>
        </w:tc>
        <w:tc>
          <w:tcPr>
            <w:tcW w:w="2440" w:type="dxa"/>
            <w:vAlign w:val="bottom"/>
          </w:tcPr>
          <w:p>
            <w:pPr>
              <w:spacing w:after="0"/>
              <w:rPr>
                <w:sz w:val="18"/>
                <w:szCs w:val="18"/>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40" w:type="dxa"/>
            <w:vAlign w:val="bottom"/>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2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261,681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9"/>
        </w:trPr>
        <w:tc>
          <w:tcPr>
            <w:tcW w:w="3380" w:type="dxa"/>
            <w:vAlign w:val="bottom"/>
          </w:tcPr>
          <w:p>
            <w:pPr>
              <w:spacing w:after="0"/>
              <w:rPr>
                <w:sz w:val="24"/>
                <w:szCs w:val="24"/>
                <w:color w:val="auto"/>
              </w:rPr>
            </w:pPr>
          </w:p>
        </w:tc>
        <w:tc>
          <w:tcPr>
            <w:tcW w:w="4000" w:type="dxa"/>
            <w:vAlign w:val="bottom"/>
            <w:gridSpan w:val="3"/>
          </w:tcPr>
          <w:p>
            <w:pPr>
              <w:jc w:val="right"/>
              <w:ind w:right="2940"/>
              <w:spacing w:after="0"/>
              <w:rPr>
                <w:sz w:val="20"/>
                <w:szCs w:val="20"/>
                <w:color w:val="auto"/>
              </w:rPr>
            </w:pPr>
            <w:r>
              <w:rPr>
                <w:rFonts w:ascii="Times New Roman" w:cs="Times New Roman" w:eastAsia="Times New Roman" w:hAnsi="Times New Roman"/>
                <w:sz w:val="18"/>
                <w:szCs w:val="18"/>
                <w:color w:val="auto"/>
              </w:rPr>
              <w:t>F-79</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320" w:top="450" w:right="35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for the years ended December 31, 2018 and 2019, respectively:</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5"/>
        </w:trPr>
        <w:tc>
          <w:tcPr>
            <w:tcW w:w="1520" w:type="dxa"/>
            <w:vAlign w:val="bottom"/>
            <w:tcBorders>
              <w:top w:val="single" w:sz="8" w:color="auto"/>
            </w:tcBorders>
          </w:tcPr>
          <w:p>
            <w:pPr>
              <w:spacing w:after="0"/>
              <w:rPr>
                <w:sz w:val="12"/>
                <w:szCs w:val="12"/>
                <w:color w:val="auto"/>
              </w:rPr>
            </w:pPr>
          </w:p>
        </w:tc>
        <w:tc>
          <w:tcPr>
            <w:tcW w:w="3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2"/>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6"/>
        </w:trPr>
        <w:tc>
          <w:tcPr>
            <w:tcW w:w="1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4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5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The provision for income taxes was different from the amount computed using the federal statutory rate of 21% for the years ended December 31, 2018 and 2019, respectively, due to the following:</w:t>
      </w:r>
    </w:p>
    <w:p>
      <w:pPr>
        <w:spacing w:after="0" w:line="189" w:lineRule="exact"/>
        <w:rPr>
          <w:sz w:val="20"/>
          <w:szCs w:val="20"/>
          <w:color w:val="auto"/>
        </w:rPr>
      </w:pPr>
    </w:p>
    <w:tbl>
      <w:tblPr>
        <w:tblLayout w:type="fixed"/>
        <w:tblInd w:w="900" w:type="dxa"/>
        <w:tblCellMar>
          <w:top w:w="0" w:type="dxa"/>
          <w:left w:w="0" w:type="dxa"/>
          <w:bottom w:w="0" w:type="dxa"/>
          <w:right w:w="0" w:type="dxa"/>
        </w:tblCellMar>
      </w:tblPr>
      <w:tr>
        <w:trPr>
          <w:trHeight w:val="176"/>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40" w:type="dxa"/>
            <w:vAlign w:val="bottom"/>
            <w:tcBorders>
              <w:top w:val="single" w:sz="8" w:color="auto"/>
            </w:tcBorders>
          </w:tcPr>
          <w:p>
            <w:pPr>
              <w:spacing w:after="0"/>
              <w:rPr>
                <w:sz w:val="12"/>
                <w:szCs w:val="12"/>
                <w:color w:val="auto"/>
              </w:rPr>
            </w:pPr>
          </w:p>
        </w:tc>
        <w:tc>
          <w:tcPr>
            <w:tcW w:w="6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73"/>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federal statutory rate (21%)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4"/>
              </w:rPr>
              <w:t>(42,405)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(76,385)</w:t>
            </w:r>
          </w:p>
        </w:tc>
        <w:tc>
          <w:tcPr>
            <w:tcW w:w="0" w:type="dxa"/>
            <w:vAlign w:val="bottom"/>
          </w:tcPr>
          <w:p>
            <w:pPr>
              <w:spacing w:after="0"/>
              <w:rPr>
                <w:sz w:val="1"/>
                <w:szCs w:val="1"/>
                <w:color w:val="auto"/>
              </w:rPr>
            </w:pPr>
          </w:p>
        </w:tc>
      </w:tr>
      <w:tr>
        <w:trPr>
          <w:trHeight w:val="212"/>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on convertible securities</w:t>
            </w: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12"/>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convertible securities discount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12"/>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Debt issuance cost related to convertible security</w:t>
            </w: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2"/>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related to convertible security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29,098</w:t>
            </w:r>
          </w:p>
        </w:tc>
        <w:tc>
          <w:tcPr>
            <w:tcW w:w="0" w:type="dxa"/>
            <w:vAlign w:val="bottom"/>
          </w:tcPr>
          <w:p>
            <w:pPr>
              <w:spacing w:after="0"/>
              <w:rPr>
                <w:sz w:val="1"/>
                <w:szCs w:val="1"/>
                <w:color w:val="auto"/>
              </w:rPr>
            </w:pPr>
          </w:p>
        </w:tc>
      </w:tr>
      <w:tr>
        <w:trPr>
          <w:trHeight w:val="212"/>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Warrant expense</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2"/>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Meals and entertainment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2"/>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39,469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39,643</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20" w:firstLine="449"/>
        <w:spacing w:after="0" w:line="270" w:lineRule="auto"/>
        <w:rPr>
          <w:sz w:val="20"/>
          <w:szCs w:val="20"/>
          <w:color w:val="auto"/>
        </w:rPr>
      </w:pPr>
      <w:r>
        <w:rPr>
          <w:rFonts w:ascii="Times New Roman" w:cs="Times New Roman" w:eastAsia="Times New Roman" w:hAnsi="Times New Roman"/>
          <w:sz w:val="18"/>
          <w:szCs w:val="18"/>
          <w:color w:val="auto"/>
        </w:rPr>
        <w:t>The Corporation issued convertible securities for which the interest expense recorded in 2019 of approximately $16.7 million is not deductible for tax purposes.</w:t>
      </w:r>
    </w:p>
    <w:p>
      <w:pPr>
        <w:spacing w:after="0" w:line="169" w:lineRule="exact"/>
        <w:rPr>
          <w:sz w:val="20"/>
          <w:szCs w:val="20"/>
          <w:color w:val="auto"/>
        </w:rPr>
      </w:pPr>
    </w:p>
    <w:p>
      <w:pPr>
        <w:ind w:right="40" w:firstLine="449"/>
        <w:spacing w:after="0" w:line="300" w:lineRule="auto"/>
        <w:rPr>
          <w:sz w:val="20"/>
          <w:szCs w:val="20"/>
          <w:color w:val="auto"/>
        </w:rPr>
      </w:pPr>
      <w:r>
        <w:rPr>
          <w:rFonts w:ascii="Times New Roman" w:cs="Times New Roman" w:eastAsia="Times New Roman" w:hAnsi="Times New Roman"/>
          <w:sz w:val="17"/>
          <w:szCs w:val="17"/>
          <w:color w:val="auto"/>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spacing w:after="0" w:line="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40"/>
          </w:cols>
          <w:pgMar w:left="320" w:top="450" w:right="43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components of net deferred tax balances at December 31, 2018 and 2019, respectively, were as follows:</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8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5"/>
        </w:trPr>
        <w:tc>
          <w:tcPr>
            <w:tcW w:w="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right"/>
              <w:ind w:right="513"/>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Net operating loss carryforward (NOL)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98,716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133,564</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Unpaid claim reserve discounting</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Start-up costs amortization</w:t>
            </w: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Charitable contributions carryforward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Bonus accrual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option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Convertible securities issuance costs</w:t>
            </w: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Tax credits (AMT)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Prepaid and accrued expenses</w:t>
            </w: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Straight line rent adjustment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8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Premium deficiency reserve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Acquisition costs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CEEFF"/>
          </w:tcPr>
          <w:p>
            <w:pPr>
              <w:spacing w:after="0"/>
              <w:rPr>
                <w:sz w:val="18"/>
                <w:szCs w:val="18"/>
                <w:color w:val="auto"/>
              </w:rPr>
            </w:pPr>
          </w:p>
        </w:tc>
      </w:tr>
      <w:tr>
        <w:trPr>
          <w:trHeight w:val="218"/>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105,057</w:t>
            </w: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144,680</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6"/>
              </w:rPr>
              <w:t>(104,976)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(144,619)</w:t>
            </w:r>
          </w:p>
        </w:tc>
      </w:tr>
      <w:tr>
        <w:trPr>
          <w:trHeight w:val="224"/>
        </w:trPr>
        <w:tc>
          <w:tcPr>
            <w:tcW w:w="20" w:type="dxa"/>
            <w:vAlign w:val="bottom"/>
          </w:tcPr>
          <w:p>
            <w:pPr>
              <w:spacing w:after="0"/>
              <w:rPr>
                <w:sz w:val="19"/>
                <w:szCs w:val="19"/>
                <w:color w:val="auto"/>
              </w:rPr>
            </w:pPr>
          </w:p>
        </w:tc>
        <w:tc>
          <w:tcPr>
            <w:tcW w:w="8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deferred income tax assets, net of valuation allowance</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TCJA Transition Adj. IRC 846</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Market discount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8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and tax credit carryforwards and protective tax deposits</w:t>
      </w:r>
    </w:p>
    <w:p>
      <w:pPr>
        <w:spacing w:after="0" w:line="11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Corporation has unused operating loss carryforwards available of approximately $470.1 million and $636.0 million as of December 31, 2018 and 2019, respectively, that may be applied against future taxable income. Losses incurred before 2018 in the amount of approximately $295.1 million begin to expire in 2033. The total net operating losses (“NOL”) is made up of NOLs generated by the consolidated group and NOLs obtained with the 2014 reorganization. A portion of the pre-consolidated NOLs may be limited by special rules known as Separate Return Limitation Year (“SRLY”) rules. SRLY NOLs can only be used in years that both the consolidated group and the entity that created the SRLY NOLs have taxable income. Due to these limitations and uncertainty regarding the Corporation’s ability to use the loss carryforwards and other deferred tax assets, a valuation allowance of approximately $105.0 million and $144.6 million was established in 2018 and 2019, respectively.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Corporation does not have deposits admitted under Section 6603 of the Internal Revenue Code.</w:t>
      </w:r>
    </w:p>
    <w:p>
      <w:pPr>
        <w:spacing w:after="0" w:line="1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00"/>
          </w:cols>
          <w:pgMar w:left="320" w:top="450" w:right="37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tax planning strategies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Corporation does not have any tax planning strategies that include the use of reinsurance and there are no deferred tax liabilities not recognized.</w:t>
      </w:r>
    </w:p>
    <w:p>
      <w:pPr>
        <w:spacing w:after="0" w:line="21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Corporation files income tax returns in the United States. The U.S. Internal Revenue Service (“IRS”), is not currently conducting any income tax audits. The Corporation’s federal income tax returns filed related to tax years subsequent to 2015 remain subject to examination by the IRS. The Corporation is not aware of any material adjustments that may be proposed as a result of any ongoing or future examinations and does not have material uncertain tax positions reflected in the Consolidated Balance Sheets.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Net loss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r>
      <w:tr>
        <w:trPr>
          <w:trHeight w:val="198"/>
        </w:trPr>
        <w:tc>
          <w:tcPr>
            <w:tcW w:w="880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(201,928)</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(363,737)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(201,928)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(363,737)</w:t>
            </w:r>
          </w:p>
        </w:tc>
      </w:tr>
      <w:tr>
        <w:trPr>
          <w:trHeight w:val="212"/>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42,011,938</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42,469,175</w:t>
            </w:r>
          </w:p>
        </w:tc>
        <w:tc>
          <w:tcPr>
            <w:tcW w:w="100" w:type="dxa"/>
            <w:vAlign w:val="bottom"/>
            <w:shd w:val="clear" w:color="auto" w:fill="CCEEFF"/>
          </w:tcPr>
          <w:p>
            <w:pPr>
              <w:spacing w:after="0"/>
              <w:rPr>
                <w:sz w:val="18"/>
                <w:szCs w:val="18"/>
                <w:color w:val="auto"/>
              </w:rPr>
            </w:pPr>
          </w:p>
        </w:tc>
      </w:tr>
      <w:tr>
        <w:trPr>
          <w:trHeight w:val="218"/>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15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20" w:firstLine="449"/>
        <w:spacing w:after="0" w:line="269" w:lineRule="auto"/>
        <w:rPr>
          <w:sz w:val="20"/>
          <w:szCs w:val="20"/>
          <w:color w:val="auto"/>
        </w:rPr>
      </w:pPr>
      <w:r>
        <w:rPr>
          <w:rFonts w:ascii="Times New Roman" w:cs="Times New Roman" w:eastAsia="Times New Roman" w:hAnsi="Times New Roman"/>
          <w:sz w:val="17"/>
          <w:szCs w:val="17"/>
          <w:color w:val="auto"/>
        </w:rPr>
        <w:t>The Company’s potentially dilutive securities, which include stock options, preferred stock and warrants to purchase shares of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32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r>
      <w:tr>
        <w:trPr>
          <w:trHeight w:val="198"/>
        </w:trPr>
        <w:tc>
          <w:tcPr>
            <w:tcW w:w="888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to purchase common stock</w:t>
            </w: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13,077,951</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11,771,746</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67,427,138</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67,427,138</w:t>
            </w:r>
          </w:p>
        </w:tc>
      </w:tr>
      <w:tr>
        <w:trPr>
          <w:trHeight w:val="212"/>
        </w:trPr>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 (as converted to common stock)</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2,361,681</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2,361,681</w:t>
            </w:r>
          </w:p>
        </w:tc>
      </w:tr>
      <w:tr>
        <w:trPr>
          <w:trHeight w:val="21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to purchase convertible preferred stock (as converted to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1,266,284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1,266,284</w:t>
            </w:r>
          </w:p>
        </w:tc>
      </w:tr>
      <w:tr>
        <w:trPr>
          <w:trHeight w:val="26"/>
        </w:trPr>
        <w:tc>
          <w:tcPr>
            <w:tcW w:w="15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15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84,133,054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82,826,849</w:t>
            </w:r>
          </w:p>
        </w:tc>
      </w:tr>
      <w:tr>
        <w:trPr>
          <w:trHeight w:val="20"/>
        </w:trPr>
        <w:tc>
          <w:tcPr>
            <w:tcW w:w="1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14"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December 31, 2018 and 2019, respectively, there were no material known contingent liabilities arising outside the normal course of business.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450" w:right="33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Guaranty assessments</w:t>
      </w:r>
    </w:p>
    <w:p>
      <w:pPr>
        <w:spacing w:after="0" w:line="11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Dividend restrictions</w:t>
      </w:r>
    </w:p>
    <w:p>
      <w:pPr>
        <w:spacing w:after="0" w:line="112"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Although such regulations do not specifically restrict the regulated insurance subsidiaries from paying dividends, they require the regulated insurance subsidiaries to be financially sound as determined by New Jersey Department of Banking and Insurance (“DOBI”). As of December 31, 2018 and 2019, respectively, neither the regulated insurance subsidiaries paid any dividends and may not do so until they meet those requirements and are granted permission to do so by DOBI.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Statutory equity and income</w:t>
      </w:r>
    </w:p>
    <w:p>
      <w:pPr>
        <w:spacing w:after="0" w:line="112" w:lineRule="exact"/>
        <w:rPr>
          <w:sz w:val="20"/>
          <w:szCs w:val="20"/>
          <w:color w:val="auto"/>
        </w:rPr>
      </w:pPr>
    </w:p>
    <w:p>
      <w:pPr>
        <w:ind w:right="40" w:firstLine="449"/>
        <w:spacing w:after="0" w:line="273" w:lineRule="auto"/>
        <w:rPr>
          <w:sz w:val="20"/>
          <w:szCs w:val="20"/>
          <w:color w:val="auto"/>
        </w:rPr>
      </w:pPr>
      <w:r>
        <w:rPr>
          <w:rFonts w:ascii="Times New Roman" w:cs="Times New Roman" w:eastAsia="Times New Roman" w:hAnsi="Times New Roman"/>
          <w:sz w:val="17"/>
          <w:szCs w:val="17"/>
          <w:color w:val="auto"/>
        </w:rPr>
        <w:t>Applicable insurance department regulations require that the Corporation’s regulated insurance subsidiaries to prepare statutory financial statements in accordance with statutory accounting practices prescribed or permitted by the department of insurance of the respective state of domicile. These practices vary in some aspects from U.S. GAAP, with significant differences such as a) certain assets are not included in statutory surplus, b) certain statutory reserves are established by a direct charge to surplus, and c) certain charges are reported as charges to capital and surplus, rather than as a component of net income.</w:t>
      </w:r>
    </w:p>
    <w:p>
      <w:pPr>
        <w:spacing w:after="0" w:line="168" w:lineRule="exact"/>
        <w:rPr>
          <w:sz w:val="20"/>
          <w:szCs w:val="20"/>
          <w:color w:val="auto"/>
        </w:rPr>
      </w:pPr>
    </w:p>
    <w:p>
      <w:pPr>
        <w:ind w:right="380" w:firstLine="449"/>
        <w:spacing w:after="0" w:line="270" w:lineRule="auto"/>
        <w:rPr>
          <w:sz w:val="20"/>
          <w:szCs w:val="20"/>
          <w:color w:val="auto"/>
        </w:rPr>
      </w:pPr>
      <w:r>
        <w:rPr>
          <w:rFonts w:ascii="Times New Roman" w:cs="Times New Roman" w:eastAsia="Times New Roman" w:hAnsi="Times New Roman"/>
          <w:sz w:val="18"/>
          <w:szCs w:val="18"/>
          <w:color w:val="auto"/>
        </w:rPr>
        <w:t>Aggregate statutory net losses for the years ended December 31, 2018 and 2019, respectively, and aggregate statutory capital and surplus as per the statutory financial statements of the Corporation’s regulated insurance subsidiaries were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5"/>
                <w:szCs w:val="15"/>
                <w:color w:val="auto"/>
              </w:rPr>
            </w:pPr>
          </w:p>
        </w:tc>
        <w:tc>
          <w:tcPr>
            <w:tcW w:w="5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r>
      <w:tr>
        <w:trPr>
          <w:trHeight w:val="145"/>
        </w:trPr>
        <w:tc>
          <w:tcPr>
            <w:tcW w:w="1520" w:type="dxa"/>
            <w:vAlign w:val="bottom"/>
            <w:tcBorders>
              <w:top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jc w:val="right"/>
              <w:ind w:right="418"/>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2"/>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statutory 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7"/>
              </w:rPr>
              <w:t>(37,497)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(57,940)</w:t>
            </w: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statutory capital and surplus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43,098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73,256</w:t>
            </w:r>
          </w:p>
        </w:tc>
      </w:tr>
    </w:tbl>
    <w:p>
      <w:pPr>
        <w:spacing w:after="0" w:line="176"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7"/>
          <w:szCs w:val="17"/>
          <w:color w:val="auto"/>
        </w:rPr>
        <w:t>The regulated insurance subsidiaries are subject to certain Risk-Based Capital (“RBC”) requirements specified by the National Association of Insurance Commissioners (“NAIC”). Under those requirements, the amount of capital and surplus maintained by the Corporation’s regulated insurance subsidiaries is to be determined based on various risk factors, such as a) asset quality, b) asset and liability matching, c) loss reserve adequacy, and other business factors.</w:t>
      </w:r>
    </w:p>
    <w:p>
      <w:pPr>
        <w:spacing w:after="0" w:line="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Regulatory compliance is determined by a ratio of the Corporation’s regulatory total adjusted capital, as defined by the NAIC, to its authorized control level RBC, as defined by the NAIC. Generally, a ratio in excess of the regulatory threshold requires no corrective actions by the Corporation or regulators. As of December 31, 2018 and 2019, respectively, the regulated insurance subsidiaries’ capital and surplus exceeded the minimum RBC requirements of their applicable governmental regulator. The statutory RBC necessary to satisfy regulatory requirements of our statutory basis subsidiaries was approximately $42.6 million and $60.8 million as of December 31, 2018 and 2019, respectively.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20"/>
          </w:cols>
          <w:pgMar w:left="320" w:top="450" w:right="35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Regulatory matters</w:t>
      </w:r>
    </w:p>
    <w:p>
      <w:pPr>
        <w:spacing w:after="0" w:line="11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The Corporation operates in a highly regulated environment. It is regulated by federal and state of New Jersey regulators. The Corporation’s regulated insurance subsidiaries must be licensed by and are subject to regulation by DOBI, which requires periodic financial reports and enforces minimum capital and/or reserve requirements.</w:t>
      </w:r>
    </w:p>
    <w:p>
      <w:pPr>
        <w:spacing w:after="0" w:line="179"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The laws and regulations governing the Corporation’s business and interpretations of those laws and regulations are subject to frequent change. Legislative, administrative and public policy changes to the Affordable Care Act (“ACA”) continue to be debated, and the Corporation cannot predict if the ACA will be further modified, repealed or replaced. The broad latitude given to the agencies administering, interpreting and enforcing current and future regulations governing the Corporation’s business could require the Corporation to change how it conducts its business, restrict revenue and enrollment growth, increase health care and administrative costs and capital requirements, or expose the Corporation to increased liability in the courts for coverage determinations, contract interpretation and other actions.</w:t>
      </w:r>
    </w:p>
    <w:p>
      <w:pPr>
        <w:spacing w:after="0" w:line="187"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The health care industry is also regularly subject to negative publicity, including as a result of governmental investigations, adverse media coverage and political debate surrounding industry regulation. Negative publicity may adversely affect the Corporation’s financial position, results of operations and cash flows and damage its reputation.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114" w:lineRule="exact"/>
        <w:rPr>
          <w:sz w:val="20"/>
          <w:szCs w:val="20"/>
          <w:color w:val="auto"/>
        </w:rPr>
      </w:pPr>
    </w:p>
    <w:p>
      <w:pPr>
        <w:ind w:firstLine="449"/>
        <w:spacing w:after="0" w:line="248" w:lineRule="auto"/>
        <w:rPr>
          <w:sz w:val="20"/>
          <w:szCs w:val="20"/>
          <w:color w:val="auto"/>
        </w:rPr>
      </w:pPr>
      <w:r>
        <w:rPr>
          <w:rFonts w:ascii="Times New Roman" w:cs="Times New Roman" w:eastAsia="Times New Roman" w:hAnsi="Times New Roman"/>
          <w:sz w:val="18"/>
          <w:szCs w:val="18"/>
          <w:color w:val="auto"/>
        </w:rPr>
        <w:t>The emergence of stay-at-home and physical distancing orders and other restrictions on movement and economic activity intended to reduce the spread of the novel coronavirus, or COVID-19, could have an impact on the Corporation’s business. Potential impact could include lower hospital admissions and utilization as members and providers have begun to defer non-essential procedures. In response to COVID-19, the Corporation has conducted a scenario analysis that includes models for reductions in non-essential procedures and non-COVID-19 related inpatient and outpatient treatment, as well as expected costs of COVID-19 related inpatient admissions to date. The analysis also considers assumptions for additional utilization of services. As a result, the Corporation does not expect a material impact on the Consolidated Financial Statements. However, the extent of the impact of COVID-19 on the Corporation’s operational and financial performance will depend on future developments, including the duration and spread of COVID-19, which could result in future material impact.</w:t>
      </w:r>
    </w:p>
    <w:p>
      <w:pPr>
        <w:spacing w:after="0" w:line="19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Corporation’s management has evaluated subsequent events for recognition and measurement purposes through June 22, 2020, which is the date the Consolidated Financial Statements were available to be issued. The Corporation has concluded that no additional events or transactions have occurred that may require adjustment to the Consolidated Financial Statements or disclosures.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240"/>
          </w:cols>
          <w:pgMar w:left="320" w:top="450" w:right="3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 (parent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 and 2019</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9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1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36,033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4,569</w:t>
            </w: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2"/>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Intercompany interest receivable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Intercompany note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2"/>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consolidated subsidiaries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158,159</w:t>
            </w:r>
          </w:p>
        </w:tc>
        <w:tc>
          <w:tcPr>
            <w:tcW w:w="0" w:type="dxa"/>
            <w:vAlign w:val="bottom"/>
          </w:tcPr>
          <w:p>
            <w:pPr>
              <w:spacing w:after="0"/>
              <w:rPr>
                <w:sz w:val="1"/>
                <w:szCs w:val="1"/>
                <w:color w:val="auto"/>
              </w:rPr>
            </w:pPr>
          </w:p>
        </w:tc>
      </w:tr>
      <w:tr>
        <w:trPr>
          <w:trHeight w:val="26"/>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206,820</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5,471</w:t>
            </w: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Intercompany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28,014</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and securities payable, net of discounts and deferred issuance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88,544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76,758</w:t>
            </w:r>
          </w:p>
        </w:tc>
        <w:tc>
          <w:tcPr>
            <w:tcW w:w="0" w:type="dxa"/>
            <w:vAlign w:val="bottom"/>
          </w:tcPr>
          <w:p>
            <w:pPr>
              <w:spacing w:after="0"/>
              <w:rPr>
                <w:sz w:val="1"/>
                <w:szCs w:val="1"/>
                <w:color w:val="auto"/>
              </w:rPr>
            </w:pPr>
          </w:p>
        </w:tc>
      </w:tr>
      <w:tr>
        <w:trPr>
          <w:trHeight w:val="212"/>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138,561</w:t>
            </w: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17,672</w:t>
            </w:r>
          </w:p>
        </w:tc>
        <w:tc>
          <w:tcPr>
            <w:tcW w:w="0" w:type="dxa"/>
            <w:vAlign w:val="bottom"/>
          </w:tcPr>
          <w:p>
            <w:pPr>
              <w:spacing w:after="0"/>
              <w:rPr>
                <w:sz w:val="1"/>
                <w:szCs w:val="1"/>
                <w:color w:val="auto"/>
              </w:rPr>
            </w:pPr>
          </w:p>
        </w:tc>
      </w:tr>
      <w:tr>
        <w:trPr>
          <w:trHeight w:val="2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9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Convertible preferred stock (Series Seed A, A-1, B, C, and D), $0.0001 par value; 75,136,086 shares authorized as of</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2018 and 2019; 67,427,138 shares issued and outstanding as of December 31, 2018 and 2019; aggregate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liquidation preference of $470,256 as of December 31, 2019; no shares issued or outstanding, pro forma as of December 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447,747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447,747</w:t>
            </w:r>
          </w:p>
        </w:tc>
        <w:tc>
          <w:tcPr>
            <w:tcW w:w="0" w:type="dxa"/>
            <w:vAlign w:val="bottom"/>
          </w:tcPr>
          <w:p>
            <w:pPr>
              <w:spacing w:after="0"/>
              <w:rPr>
                <w:sz w:val="1"/>
                <w:szCs w:val="1"/>
                <w:color w:val="auto"/>
              </w:rPr>
            </w:pPr>
          </w:p>
        </w:tc>
      </w:tr>
      <w:tr>
        <w:trPr>
          <w:trHeight w:val="212"/>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Common stock, $0.0001 par value, 170,000,000 shares authorized; 42,565,459 and 42,877,665 shares issued; and 42,243,445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42,686,624 outstanding in 2018 and 2019, respectively</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25,318</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403,046</w:t>
            </w: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w w:val="96"/>
              </w:rPr>
              <w:t>(522,795)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(886,532)</w:t>
            </w:r>
          </w:p>
        </w:tc>
        <w:tc>
          <w:tcPr>
            <w:tcW w:w="0" w:type="dxa"/>
            <w:vAlign w:val="bottom"/>
          </w:tcPr>
          <w:p>
            <w:pPr>
              <w:spacing w:after="0"/>
              <w:rPr>
                <w:sz w:val="1"/>
                <w:szCs w:val="1"/>
                <w:color w:val="auto"/>
              </w:rPr>
            </w:pPr>
          </w:p>
        </w:tc>
      </w:tr>
      <w:tr>
        <w:trPr>
          <w:trHeight w:val="22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(497,473</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(483,482)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82,360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206,820</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F-85</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9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(parent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39"/>
        </w:trPr>
        <w:tc>
          <w:tcPr>
            <w:tcW w:w="4420" w:type="dxa"/>
            <w:vAlign w:val="bottom"/>
            <w:tcBorders>
              <w:bottom w:val="single" w:sz="8" w:color="CCEEFF"/>
            </w:tcBorders>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2"/>
        </w:trPr>
        <w:tc>
          <w:tcPr>
            <w:tcW w:w="4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Revenues:</w:t>
            </w:r>
          </w:p>
        </w:tc>
        <w:tc>
          <w:tcPr>
            <w:tcW w:w="4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4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3,396</w:t>
            </w:r>
          </w:p>
        </w:tc>
      </w:tr>
      <w:tr>
        <w:trPr>
          <w:trHeight w:val="212"/>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r>
      <w:tr>
        <w:trPr>
          <w:trHeight w:val="224"/>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4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19"/>
                <w:szCs w:val="19"/>
                <w:color w:val="auto"/>
              </w:rPr>
            </w:pPr>
          </w:p>
        </w:tc>
      </w:tr>
      <w:tr>
        <w:trPr>
          <w:trHeight w:val="21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r>
      <w:tr>
        <w:trPr>
          <w:trHeight w:val="212"/>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r>
      <w:tr>
        <w:trPr>
          <w:trHeight w:val="224"/>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4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r>
      <w:tr>
        <w:trPr>
          <w:trHeight w:val="21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expense</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2,909</w:t>
            </w:r>
          </w:p>
        </w:tc>
      </w:tr>
      <w:tr>
        <w:trPr>
          <w:trHeight w:val="21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23,155</w:t>
            </w: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15,913</w:t>
            </w:r>
          </w:p>
        </w:tc>
      </w:tr>
      <w:tr>
        <w:trPr>
          <w:trHeight w:val="21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derivative</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138,561</w:t>
            </w: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losses of consolidated subsidiaries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186,199</w:t>
            </w:r>
          </w:p>
        </w:tc>
      </w:tr>
      <w:tr>
        <w:trPr>
          <w:trHeight w:val="26"/>
        </w:trPr>
        <w:tc>
          <w:tcPr>
            <w:tcW w:w="44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(201,928)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(363,737)</w:t>
            </w:r>
          </w:p>
        </w:tc>
      </w:tr>
      <w:tr>
        <w:trPr>
          <w:trHeight w:val="20"/>
        </w:trPr>
        <w:tc>
          <w:tcPr>
            <w:tcW w:w="44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9"/>
        </w:trPr>
        <w:tc>
          <w:tcPr>
            <w:tcW w:w="4420" w:type="dxa"/>
            <w:vAlign w:val="bottom"/>
          </w:tcPr>
          <w:p>
            <w:pPr>
              <w:spacing w:after="0"/>
              <w:rPr>
                <w:sz w:val="24"/>
                <w:szCs w:val="24"/>
                <w:color w:val="auto"/>
              </w:rPr>
            </w:pPr>
          </w:p>
        </w:tc>
        <w:tc>
          <w:tcPr>
            <w:tcW w:w="4920" w:type="dxa"/>
            <w:vAlign w:val="bottom"/>
            <w:gridSpan w:val="2"/>
          </w:tcPr>
          <w:p>
            <w:pPr>
              <w:jc w:val="right"/>
              <w:ind w:right="3540"/>
              <w:spacing w:after="0"/>
              <w:rPr>
                <w:sz w:val="20"/>
                <w:szCs w:val="20"/>
                <w:color w:val="auto"/>
              </w:rPr>
            </w:pPr>
            <w:r>
              <w:rPr>
                <w:rFonts w:ascii="Times New Roman" w:cs="Times New Roman" w:eastAsia="Times New Roman" w:hAnsi="Times New Roman"/>
                <w:sz w:val="18"/>
                <w:szCs w:val="18"/>
                <w:color w:val="auto"/>
              </w:rPr>
              <w:t>F-86</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0" w:right="33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(parent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39"/>
        </w:trPr>
        <w:tc>
          <w:tcPr>
            <w:tcW w:w="530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39"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2"/>
        </w:trPr>
        <w:tc>
          <w:tcPr>
            <w:tcW w:w="5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3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(201,928)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(363,737)</w:t>
            </w:r>
          </w:p>
        </w:tc>
      </w:tr>
      <w:tr>
        <w:trPr>
          <w:trHeight w:val="21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15,913</w:t>
            </w: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3,301</w:t>
            </w: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 expense</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2,909</w:t>
            </w: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derivative</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138,561</w:t>
            </w: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w:t>
            </w: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120" w:type="dxa"/>
            <w:vAlign w:val="bottom"/>
            <w:shd w:val="clear" w:color="auto" w:fill="CCEEFF"/>
          </w:tcPr>
          <w:p>
            <w:pPr>
              <w:spacing w:after="0"/>
              <w:rPr>
                <w:sz w:val="18"/>
                <w:szCs w:val="18"/>
                <w:color w:val="auto"/>
              </w:rPr>
            </w:pP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5,559</w:t>
            </w: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Intercompany interest receivable</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Intercompany payable</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(23,921)</w:t>
            </w:r>
          </w:p>
        </w:tc>
      </w:tr>
      <w:tr>
        <w:trPr>
          <w:trHeight w:val="26"/>
        </w:trPr>
        <w:tc>
          <w:tcPr>
            <w:tcW w:w="53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(163,768)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(210,973)</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consolidated subsidiaries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111,617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(154,469)</w:t>
            </w:r>
          </w:p>
        </w:tc>
      </w:tr>
      <w:tr>
        <w:trPr>
          <w:trHeight w:val="22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111,617</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(154,469)</w:t>
            </w:r>
          </w:p>
        </w:tc>
        <w:tc>
          <w:tcPr>
            <w:tcW w:w="120" w:type="dxa"/>
            <w:vAlign w:val="bottom"/>
          </w:tcPr>
          <w:p>
            <w:pPr>
              <w:spacing w:after="0"/>
              <w:rPr>
                <w:sz w:val="19"/>
                <w:szCs w:val="19"/>
                <w:color w:val="auto"/>
              </w:rPr>
            </w:pPr>
          </w:p>
        </w:tc>
      </w:tr>
      <w:tr>
        <w:trPr>
          <w:trHeight w:val="21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bridge loan</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29,761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securities</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343,410</w:t>
            </w: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notes payable principal</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(9,670)</w:t>
            </w:r>
          </w:p>
        </w:tc>
      </w:tr>
      <w:tr>
        <w:trPr>
          <w:trHeight w:val="212"/>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 for preferred stock</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net of early exercise liability</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r>
      <w:tr>
        <w:trPr>
          <w:trHeight w:val="26"/>
        </w:trPr>
        <w:tc>
          <w:tcPr>
            <w:tcW w:w="53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333,978</w:t>
            </w: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22,438</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(31,464)</w:t>
            </w:r>
          </w:p>
        </w:tc>
      </w:tr>
      <w:tr>
        <w:trPr>
          <w:trHeight w:val="21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13,595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36,033</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9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36,033</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2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9"/>
        </w:trPr>
        <w:tc>
          <w:tcPr>
            <w:tcW w:w="5300" w:type="dxa"/>
            <w:vAlign w:val="bottom"/>
          </w:tcPr>
          <w:p>
            <w:pPr>
              <w:spacing w:after="0"/>
              <w:rPr>
                <w:sz w:val="24"/>
                <w:szCs w:val="24"/>
                <w:color w:val="auto"/>
              </w:rPr>
            </w:pPr>
          </w:p>
        </w:tc>
        <w:tc>
          <w:tcPr>
            <w:tcW w:w="4040" w:type="dxa"/>
            <w:vAlign w:val="bottom"/>
            <w:gridSpan w:val="2"/>
          </w:tcPr>
          <w:p>
            <w:pPr>
              <w:jc w:val="right"/>
              <w:ind w:right="3457"/>
              <w:spacing w:after="0"/>
              <w:rPr>
                <w:sz w:val="20"/>
                <w:szCs w:val="20"/>
                <w:color w:val="auto"/>
              </w:rPr>
            </w:pPr>
            <w:r>
              <w:rPr>
                <w:rFonts w:ascii="Times New Roman" w:cs="Times New Roman" w:eastAsia="Times New Roman" w:hAnsi="Times New Roman"/>
                <w:sz w:val="18"/>
                <w:szCs w:val="18"/>
                <w:color w:val="auto"/>
              </w:rPr>
              <w:t>F-87</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0" w:right="33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(parent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Clover Health Investments, Corp. (the “Corporation) is a holding company incorporated on July 17, 2014 in the state of New Jersey.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2" w:lineRule="exact"/>
        <w:rPr>
          <w:sz w:val="20"/>
          <w:szCs w:val="20"/>
          <w:color w:val="auto"/>
        </w:rPr>
      </w:pPr>
    </w:p>
    <w:p>
      <w:pPr>
        <w:ind w:right="420" w:firstLine="449"/>
        <w:spacing w:after="0" w:line="258"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Corporation’s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4"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U.S.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subsidiaries</w:t>
      </w:r>
    </w:p>
    <w:p>
      <w:pPr>
        <w:spacing w:after="0" w:line="11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Investments in consolidated subsidiaries includes regulated insurance subsidiaries and unregulated subsidiaries. The Corporation holds $36.9 million and $156.0 million of cash, cash equivalents, short term investments and investment securities at the parent and unregulated subsidiaries as of December 31, 2018 and 2019, respectively. The Corporation holds $50.3 million and $107.3 million of cash, cash equivalents, short term investments and investment securities in regulated insurance subsidiaries as of December 31, 2018 and 2019, respectively. Refer to Note 3 to the consolidated financial statements included elsewhere in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Surplus note</w:t>
      </w:r>
    </w:p>
    <w:p>
      <w:pPr>
        <w:spacing w:after="0" w:line="112"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Effective December 22, 2016, the Corporation contributed $40 million to Clover Health Insurance Company, a wholly owned subsidiary, in exchange for a surplus note. The outstanding balance, including accrued interest, is due and payable on December 31, 2020. The Commissioner of Banking and Insurance of the State of New Jersey must approve any interest and principal payments associated with the note before they are paid.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40"/>
          </w:cols>
          <w:pgMar w:left="320" w:top="450" w:right="33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4"/>
              </w:rPr>
              <w:t>Schedule V</w:t>
            </w:r>
          </w:p>
        </w:tc>
        <w:tc>
          <w:tcPr>
            <w:tcW w:w="0" w:type="dxa"/>
            <w:vAlign w:val="bottom"/>
          </w:tcPr>
          <w:p>
            <w:pPr>
              <w:spacing w:after="0"/>
              <w:rPr>
                <w:sz w:val="1"/>
                <w:szCs w:val="1"/>
                <w:color w:val="auto"/>
              </w:rPr>
            </w:pPr>
          </w:p>
        </w:tc>
      </w:tr>
      <w:tr>
        <w:trPr>
          <w:trHeight w:val="404"/>
        </w:trPr>
        <w:tc>
          <w:tcPr>
            <w:tcW w:w="3680" w:type="dxa"/>
            <w:vAlign w:val="bottom"/>
          </w:tcPr>
          <w:p>
            <w:pPr>
              <w:spacing w:after="0"/>
              <w:rPr>
                <w:sz w:val="24"/>
                <w:szCs w:val="24"/>
                <w:color w:val="auto"/>
              </w:rPr>
            </w:pPr>
          </w:p>
        </w:tc>
        <w:tc>
          <w:tcPr>
            <w:tcW w:w="3420" w:type="dxa"/>
            <w:vAlign w:val="bottom"/>
            <w:gridSpan w:val="4"/>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7"/>
              </w:rPr>
              <w:t>Clover Health Investments, Corp.</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680" w:type="dxa"/>
            <w:vAlign w:val="bottom"/>
          </w:tcPr>
          <w:p>
            <w:pPr>
              <w:spacing w:after="0"/>
              <w:rPr>
                <w:sz w:val="20"/>
                <w:szCs w:val="20"/>
                <w:color w:val="auto"/>
              </w:rPr>
            </w:pPr>
          </w:p>
        </w:tc>
        <w:tc>
          <w:tcPr>
            <w:tcW w:w="3420" w:type="dxa"/>
            <w:vAlign w:val="bottom"/>
            <w:gridSpan w:val="4"/>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7"/>
              </w:rPr>
              <w:t>Valuation and qualifying accounts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14"/>
        </w:trPr>
        <w:tc>
          <w:tcPr>
            <w:tcW w:w="36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140" w:type="dxa"/>
            <w:vAlign w:val="bottom"/>
            <w:gridSpan w:val="3"/>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20" w:type="dxa"/>
            <w:vAlign w:val="bottom"/>
          </w:tcPr>
          <w:p>
            <w:pPr>
              <w:spacing w:after="0"/>
              <w:rPr>
                <w:sz w:val="9"/>
                <w:szCs w:val="9"/>
                <w:color w:val="auto"/>
              </w:rPr>
            </w:pPr>
          </w:p>
        </w:tc>
        <w:tc>
          <w:tcPr>
            <w:tcW w:w="52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3"/>
                <w:szCs w:val="13"/>
                <w:b w:val="1"/>
                <w:bCs w:val="1"/>
                <w:color w:val="auto"/>
              </w:rPr>
              <w:t>Charge</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60" w:type="dxa"/>
            <w:vAlign w:val="bottom"/>
            <w:gridSpan w:val="3"/>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14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 w:type="dxa"/>
            <w:vAlign w:val="bottom"/>
          </w:tcPr>
          <w:p>
            <w:pPr>
              <w:spacing w:after="0"/>
              <w:rPr>
                <w:sz w:val="12"/>
                <w:szCs w:val="12"/>
                <w:color w:val="auto"/>
              </w:rPr>
            </w:pPr>
          </w:p>
        </w:tc>
        <w:tc>
          <w:tcPr>
            <w:tcW w:w="10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(Deductions)</w:t>
            </w:r>
          </w:p>
        </w:tc>
        <w:tc>
          <w:tcPr>
            <w:tcW w:w="480" w:type="dxa"/>
            <w:vAlign w:val="bottom"/>
          </w:tcPr>
          <w:p>
            <w:pPr>
              <w:spacing w:after="0"/>
              <w:rPr>
                <w:sz w:val="12"/>
                <w:szCs w:val="12"/>
                <w:color w:val="auto"/>
              </w:rPr>
            </w:pPr>
          </w:p>
        </w:tc>
        <w:tc>
          <w:tcPr>
            <w:tcW w:w="7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0"/>
        </w:trPr>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7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period</w:t>
            </w:r>
          </w:p>
        </w:tc>
        <w:tc>
          <w:tcPr>
            <w:tcW w:w="0" w:type="dxa"/>
            <w:vAlign w:val="bottom"/>
          </w:tcPr>
          <w:p>
            <w:pPr>
              <w:spacing w:after="0"/>
              <w:rPr>
                <w:sz w:val="1"/>
                <w:szCs w:val="1"/>
                <w:color w:val="auto"/>
              </w:rPr>
            </w:pPr>
          </w:p>
        </w:tc>
      </w:tr>
      <w:tr>
        <w:trPr>
          <w:trHeight w:val="192"/>
        </w:trPr>
        <w:tc>
          <w:tcPr>
            <w:tcW w:w="368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Year ended December 31, 2018</w:t>
            </w:r>
          </w:p>
        </w:tc>
        <w:tc>
          <w:tcPr>
            <w:tcW w:w="2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65,507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39,469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$104,976</w:t>
            </w: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104,976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39,643</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7"/>
              </w:rPr>
              <w:t>$144,619</w:t>
            </w:r>
          </w:p>
        </w:tc>
        <w:tc>
          <w:tcPr>
            <w:tcW w:w="0" w:type="dxa"/>
            <w:vAlign w:val="bottom"/>
          </w:tcPr>
          <w:p>
            <w:pPr>
              <w:spacing w:after="0"/>
              <w:rPr>
                <w:sz w:val="1"/>
                <w:szCs w:val="1"/>
                <w:color w:val="auto"/>
              </w:rPr>
            </w:pPr>
          </w:p>
        </w:tc>
      </w:tr>
      <w:tr>
        <w:trPr>
          <w:trHeight w:val="339"/>
        </w:trPr>
        <w:tc>
          <w:tcPr>
            <w:tcW w:w="3680" w:type="dxa"/>
            <w:vAlign w:val="bottom"/>
          </w:tcPr>
          <w:p>
            <w:pPr>
              <w:spacing w:after="0"/>
              <w:rPr>
                <w:sz w:val="24"/>
                <w:szCs w:val="24"/>
                <w:color w:val="auto"/>
              </w:rPr>
            </w:pPr>
          </w:p>
        </w:tc>
        <w:tc>
          <w:tcPr>
            <w:tcW w:w="2360" w:type="dxa"/>
            <w:vAlign w:val="bottom"/>
            <w:gridSpan w:val="2"/>
          </w:tcPr>
          <w:p>
            <w:pPr>
              <w:jc w:val="center"/>
              <w:ind w:left="1452"/>
              <w:spacing w:after="0"/>
              <w:rPr>
                <w:sz w:val="20"/>
                <w:szCs w:val="20"/>
                <w:color w:val="auto"/>
              </w:rPr>
            </w:pPr>
            <w:r>
              <w:rPr>
                <w:rFonts w:ascii="Times New Roman" w:cs="Times New Roman" w:eastAsia="Times New Roman" w:hAnsi="Times New Roman"/>
                <w:sz w:val="18"/>
                <w:szCs w:val="18"/>
                <w:color w:val="auto"/>
                <w:w w:val="99"/>
              </w:rPr>
              <w:t>F-89</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8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3"/>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9"/>
                <w:szCs w:val="9"/>
                <w:color w:val="auto"/>
              </w:rPr>
            </w:pPr>
          </w:p>
        </w:tc>
        <w:tc>
          <w:tcPr>
            <w:tcW w:w="84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7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7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67,598</w:t>
            </w:r>
          </w:p>
        </w:tc>
        <w:tc>
          <w:tcPr>
            <w:tcW w:w="6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89,732</w:t>
            </w:r>
          </w:p>
        </w:tc>
        <w:tc>
          <w:tcPr>
            <w:tcW w:w="0" w:type="dxa"/>
            <w:vAlign w:val="bottom"/>
          </w:tcPr>
          <w:p>
            <w:pPr>
              <w:spacing w:after="0"/>
              <w:rPr>
                <w:sz w:val="1"/>
                <w:szCs w:val="1"/>
                <w:color w:val="auto"/>
              </w:rPr>
            </w:pPr>
          </w:p>
        </w:tc>
      </w:tr>
      <w:tr>
        <w:trPr>
          <w:trHeight w:val="145"/>
        </w:trPr>
        <w:tc>
          <w:tcPr>
            <w:tcW w:w="87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Short-term investments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138,638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15,495</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Investment securities, available-for sale (Amortized cost: 2019: $0; 2020: $12,031)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12,179</w:t>
            </w:r>
          </w:p>
        </w:tc>
        <w:tc>
          <w:tcPr>
            <w:tcW w:w="0" w:type="dxa"/>
            <w:vAlign w:val="bottom"/>
          </w:tcPr>
          <w:p>
            <w:pPr>
              <w:spacing w:after="0"/>
              <w:rPr>
                <w:sz w:val="1"/>
                <w:szCs w:val="1"/>
                <w:color w:val="auto"/>
              </w:rPr>
            </w:pPr>
          </w:p>
        </w:tc>
      </w:tr>
      <w:tr>
        <w:trPr>
          <w:trHeight w:val="145"/>
        </w:trPr>
        <w:tc>
          <w:tcPr>
            <w:tcW w:w="87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Investment securities, held-to-maturity (Fair value: 2019: $0; 2020: $271)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Accrued retrospective premiums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13,225</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27,878</w:t>
            </w:r>
          </w:p>
        </w:tc>
        <w:tc>
          <w:tcPr>
            <w:tcW w:w="0" w:type="dxa"/>
            <w:vAlign w:val="bottom"/>
          </w:tcPr>
          <w:p>
            <w:pPr>
              <w:spacing w:after="0"/>
              <w:rPr>
                <w:sz w:val="1"/>
                <w:szCs w:val="1"/>
                <w:color w:val="auto"/>
              </w:rPr>
            </w:pPr>
          </w:p>
        </w:tc>
      </w:tr>
      <w:tr>
        <w:trPr>
          <w:trHeight w:val="145"/>
        </w:trPr>
        <w:tc>
          <w:tcPr>
            <w:tcW w:w="87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Other receivables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5,503</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15,341</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Reinsurance recoverable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5"/>
        </w:trPr>
        <w:tc>
          <w:tcPr>
            <w:tcW w:w="87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Healthcare receivable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25,819</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34,325</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Other assets, current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1,692</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8,135</w:t>
            </w:r>
          </w:p>
        </w:tc>
        <w:tc>
          <w:tcPr>
            <w:tcW w:w="0" w:type="dxa"/>
            <w:vAlign w:val="bottom"/>
          </w:tcPr>
          <w:p>
            <w:pPr>
              <w:spacing w:after="0"/>
              <w:rPr>
                <w:sz w:val="1"/>
                <w:szCs w:val="1"/>
                <w:color w:val="auto"/>
              </w:rPr>
            </w:pPr>
          </w:p>
        </w:tc>
      </w:tr>
      <w:tr>
        <w:trPr>
          <w:trHeight w:val="158"/>
        </w:trPr>
        <w:tc>
          <w:tcPr>
            <w:tcW w:w="8700" w:type="dxa"/>
            <w:vAlign w:val="bottom"/>
          </w:tcPr>
          <w:p>
            <w:pPr>
              <w:ind w:left="560"/>
              <w:spacing w:after="0" w:line="15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252,956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203,455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Investment securities, available-for sale (Amortized cost: 2019: $56,382; 2020: $97,681)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56,428</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98,298</w:t>
            </w:r>
          </w:p>
        </w:tc>
        <w:tc>
          <w:tcPr>
            <w:tcW w:w="0" w:type="dxa"/>
            <w:vAlign w:val="bottom"/>
          </w:tcPr>
          <w:p>
            <w:pPr>
              <w:spacing w:after="0"/>
              <w:rPr>
                <w:sz w:val="1"/>
                <w:szCs w:val="1"/>
                <w:color w:val="auto"/>
              </w:rPr>
            </w:pPr>
          </w:p>
        </w:tc>
      </w:tr>
      <w:tr>
        <w:trPr>
          <w:trHeight w:val="145"/>
        </w:trPr>
        <w:tc>
          <w:tcPr>
            <w:tcW w:w="8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Investment securities, held-to-maturity (Fair value: 2019: $685; 2020: $478)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663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9,704</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9,106</w:t>
            </w:r>
          </w:p>
        </w:tc>
        <w:tc>
          <w:tcPr>
            <w:tcW w:w="0" w:type="dxa"/>
            <w:vAlign w:val="bottom"/>
          </w:tcPr>
          <w:p>
            <w:pPr>
              <w:spacing w:after="0"/>
              <w:rPr>
                <w:sz w:val="1"/>
                <w:szCs w:val="1"/>
                <w:color w:val="auto"/>
              </w:rPr>
            </w:pPr>
          </w:p>
        </w:tc>
      </w:tr>
      <w:tr>
        <w:trPr>
          <w:trHeight w:val="145"/>
        </w:trPr>
        <w:tc>
          <w:tcPr>
            <w:tcW w:w="8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1,940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2,157</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11,097</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8,660</w:t>
            </w:r>
          </w:p>
        </w:tc>
        <w:tc>
          <w:tcPr>
            <w:tcW w:w="0" w:type="dxa"/>
            <w:vAlign w:val="bottom"/>
          </w:tcPr>
          <w:p>
            <w:pPr>
              <w:spacing w:after="0"/>
              <w:rPr>
                <w:sz w:val="1"/>
                <w:szCs w:val="1"/>
                <w:color w:val="auto"/>
              </w:rPr>
            </w:pPr>
          </w:p>
        </w:tc>
      </w:tr>
      <w:tr>
        <w:trPr>
          <w:trHeight w:val="145"/>
        </w:trPr>
        <w:tc>
          <w:tcPr>
            <w:tcW w:w="8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1,243</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Other intangible assets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2,990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152"/>
        </w:trPr>
        <w:tc>
          <w:tcPr>
            <w:tcW w:w="87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337,021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326,338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7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Liabilities, convertible preferred stock and stockholders’ deficit: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7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Unpaid claims</w:t>
            </w:r>
          </w:p>
        </w:tc>
        <w:tc>
          <w:tcPr>
            <w:tcW w:w="420" w:type="dxa"/>
            <w:vAlign w:val="bottom"/>
            <w:gridSpan w:val="2"/>
          </w:tcPr>
          <w:p>
            <w:pPr>
              <w:ind w:lef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77,886</w:t>
            </w:r>
          </w:p>
        </w:tc>
        <w:tc>
          <w:tcPr>
            <w:tcW w:w="62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93,615</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19,826</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25,763</w:t>
            </w:r>
          </w:p>
        </w:tc>
        <w:tc>
          <w:tcPr>
            <w:tcW w:w="0" w:type="dxa"/>
            <w:vAlign w:val="bottom"/>
          </w:tcPr>
          <w:p>
            <w:pPr>
              <w:spacing w:after="0"/>
              <w:rPr>
                <w:sz w:val="1"/>
                <w:szCs w:val="1"/>
                <w:color w:val="auto"/>
              </w:rPr>
            </w:pPr>
          </w:p>
        </w:tc>
      </w:tr>
      <w:tr>
        <w:trPr>
          <w:trHeight w:val="145"/>
        </w:trPr>
        <w:tc>
          <w:tcPr>
            <w:tcW w:w="87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Accrued salaries and benefits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3,792</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4,454</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4,761</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4,750</w:t>
            </w:r>
          </w:p>
        </w:tc>
        <w:tc>
          <w:tcPr>
            <w:tcW w:w="0" w:type="dxa"/>
            <w:vAlign w:val="bottom"/>
          </w:tcPr>
          <w:p>
            <w:pPr>
              <w:spacing w:after="0"/>
              <w:rPr>
                <w:sz w:val="1"/>
                <w:szCs w:val="1"/>
                <w:color w:val="auto"/>
              </w:rPr>
            </w:pPr>
          </w:p>
        </w:tc>
      </w:tr>
      <w:tr>
        <w:trPr>
          <w:trHeight w:val="145"/>
        </w:trPr>
        <w:tc>
          <w:tcPr>
            <w:tcW w:w="87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Current portion of notes and securities payable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18,481</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20,198</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Premium deficiency reserve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17,128</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45"/>
        </w:trPr>
        <w:tc>
          <w:tcPr>
            <w:tcW w:w="87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Other liabilities, current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6"/>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8700" w:type="dxa"/>
            <w:vAlign w:val="bottom"/>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141,888</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149,557</w:t>
            </w:r>
          </w:p>
        </w:tc>
        <w:tc>
          <w:tcPr>
            <w:tcW w:w="0" w:type="dxa"/>
            <w:vAlign w:val="bottom"/>
          </w:tcPr>
          <w:p>
            <w:pPr>
              <w:spacing w:after="0"/>
              <w:rPr>
                <w:sz w:val="1"/>
                <w:szCs w:val="1"/>
                <w:color w:val="auto"/>
              </w:rPr>
            </w:pPr>
          </w:p>
        </w:tc>
      </w:tr>
      <w:tr>
        <w:trPr>
          <w:trHeight w:val="152"/>
        </w:trPr>
        <w:tc>
          <w:tcPr>
            <w:tcW w:w="87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11,729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13,152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Notes and securities payable, net of discounts and deferred issuance costs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57,917</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96,114</w:t>
            </w:r>
          </w:p>
        </w:tc>
        <w:tc>
          <w:tcPr>
            <w:tcW w:w="0" w:type="dxa"/>
            <w:vAlign w:val="bottom"/>
          </w:tcPr>
          <w:p>
            <w:pPr>
              <w:spacing w:after="0"/>
              <w:rPr>
                <w:sz w:val="1"/>
                <w:szCs w:val="1"/>
                <w:color w:val="auto"/>
              </w:rPr>
            </w:pPr>
          </w:p>
        </w:tc>
      </w:tr>
      <w:tr>
        <w:trPr>
          <w:trHeight w:val="145"/>
        </w:trPr>
        <w:tc>
          <w:tcPr>
            <w:tcW w:w="8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Derivative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138,561</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51,086</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Warrants payable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17,672</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49,402</w:t>
            </w:r>
          </w:p>
        </w:tc>
        <w:tc>
          <w:tcPr>
            <w:tcW w:w="0" w:type="dxa"/>
            <w:vAlign w:val="bottom"/>
          </w:tcPr>
          <w:p>
            <w:pPr>
              <w:spacing w:after="0"/>
              <w:rPr>
                <w:sz w:val="1"/>
                <w:szCs w:val="1"/>
                <w:color w:val="auto"/>
              </w:rPr>
            </w:pPr>
          </w:p>
        </w:tc>
      </w:tr>
      <w:tr>
        <w:trPr>
          <w:trHeight w:val="145"/>
        </w:trPr>
        <w:tc>
          <w:tcPr>
            <w:tcW w:w="8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10,044</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7,294</w:t>
            </w:r>
          </w:p>
        </w:tc>
        <w:tc>
          <w:tcPr>
            <w:tcW w:w="0" w:type="dxa"/>
            <w:vAlign w:val="bottom"/>
          </w:tcPr>
          <w:p>
            <w:pPr>
              <w:spacing w:after="0"/>
              <w:rPr>
                <w:sz w:val="1"/>
                <w:szCs w:val="1"/>
                <w:color w:val="auto"/>
              </w:rPr>
            </w:pPr>
          </w:p>
        </w:tc>
      </w:tr>
      <w:tr>
        <w:trPr>
          <w:trHeight w:val="26"/>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377,811</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366,605</w:t>
            </w:r>
          </w:p>
        </w:tc>
        <w:tc>
          <w:tcPr>
            <w:tcW w:w="0" w:type="dxa"/>
            <w:vAlign w:val="bottom"/>
          </w:tcPr>
          <w:p>
            <w:pPr>
              <w:spacing w:after="0"/>
              <w:rPr>
                <w:sz w:val="1"/>
                <w:szCs w:val="1"/>
                <w:color w:val="auto"/>
              </w:rPr>
            </w:pPr>
          </w:p>
        </w:tc>
      </w:tr>
      <w:tr>
        <w:trPr>
          <w:trHeight w:val="129"/>
        </w:trPr>
        <w:tc>
          <w:tcPr>
            <w:tcW w:w="87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Convertible Preferred stock (Series Seed A, A-1, B, C, and D), $0.0001 par value; 75,136,086 shares authorized as of December 31, 2019 and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7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September 30, 2020; 67,427,138 shares issued and outstanding as of December 31, 2019 and September 30, 2020; aggregate liquidation preference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447,747</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447,747</w:t>
            </w:r>
          </w:p>
        </w:tc>
        <w:tc>
          <w:tcPr>
            <w:tcW w:w="0" w:type="dxa"/>
            <w:vAlign w:val="bottom"/>
          </w:tcPr>
          <w:p>
            <w:pPr>
              <w:spacing w:after="0"/>
              <w:rPr>
                <w:sz w:val="1"/>
                <w:szCs w:val="1"/>
                <w:color w:val="auto"/>
              </w:rPr>
            </w:pPr>
          </w:p>
        </w:tc>
      </w:tr>
      <w:tr>
        <w:trPr>
          <w:trHeight w:val="168"/>
        </w:trPr>
        <w:tc>
          <w:tcPr>
            <w:tcW w:w="8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$470,256 as of September 30, 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Stockholders’ deficit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870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Common stock, $0.0001 par value, 170,000,000 shares authorized; 42,877,665 and 43,239,640 issued; and 42,686,624 and 43,048,599 outstanding as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8"/>
        </w:trPr>
        <w:tc>
          <w:tcPr>
            <w:tcW w:w="8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December 31, 2019 and September 30, 2020, respectively</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403,046</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408,949</w:t>
            </w:r>
          </w:p>
        </w:tc>
        <w:tc>
          <w:tcPr>
            <w:tcW w:w="0" w:type="dxa"/>
            <w:vAlign w:val="bottom"/>
          </w:tcPr>
          <w:p>
            <w:pPr>
              <w:spacing w:after="0"/>
              <w:rPr>
                <w:sz w:val="1"/>
                <w:szCs w:val="1"/>
                <w:color w:val="auto"/>
              </w:rPr>
            </w:pPr>
          </w:p>
        </w:tc>
      </w:tr>
      <w:tr>
        <w:trPr>
          <w:trHeight w:val="145"/>
        </w:trPr>
        <w:tc>
          <w:tcPr>
            <w:tcW w:w="8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(891,633)</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(901,634)</w:t>
            </w:r>
          </w:p>
        </w:tc>
        <w:tc>
          <w:tcPr>
            <w:tcW w:w="0" w:type="dxa"/>
            <w:vAlign w:val="bottom"/>
          </w:tcPr>
          <w:p>
            <w:pPr>
              <w:spacing w:after="0"/>
              <w:rPr>
                <w:sz w:val="1"/>
                <w:szCs w:val="1"/>
                <w:color w:val="auto"/>
              </w:rPr>
            </w:pPr>
          </w:p>
        </w:tc>
      </w:tr>
      <w:tr>
        <w:trPr>
          <w:trHeight w:val="152"/>
        </w:trPr>
        <w:tc>
          <w:tcPr>
            <w:tcW w:w="87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Clover shareholders’ deficit</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(488,537)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(491,917)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158"/>
        </w:trPr>
        <w:tc>
          <w:tcPr>
            <w:tcW w:w="87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Total stockholders’ deficit</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(488,537)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(488,014)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420" w:type="dxa"/>
            <w:vAlign w:val="bottom"/>
            <w:gridSpan w:val="2"/>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337,021</w:t>
            </w:r>
          </w:p>
        </w:tc>
        <w:tc>
          <w:tcPr>
            <w:tcW w:w="6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326,338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240"/>
          </w:cols>
          <w:pgMar w:left="320" w:top="450" w:right="33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CLOVER HEALTH INVESTMENTS, CORP. AND SUBSIDIARIES CONDENSED CONSOLIDATED STATEMENTS OF OPERATIONS AND COMPREHENSIVE LOSS (Unaudited) (Dollars in thousands, except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9"/>
        </w:trPr>
        <w:tc>
          <w:tcPr>
            <w:tcW w:w="82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Premiums earned, net (Net of ceded premiums of $701 and $383 for the nine month period ended September 30,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 and September 30, 2020, respectively)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343,549</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501,100</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18"/>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 net</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346,991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506,655</w:t>
            </w:r>
          </w:p>
        </w:tc>
        <w:tc>
          <w:tcPr>
            <w:tcW w:w="0" w:type="dxa"/>
            <w:vAlign w:val="bottom"/>
          </w:tcPr>
          <w:p>
            <w:pPr>
              <w:spacing w:after="0"/>
              <w:rPr>
                <w:sz w:val="1"/>
                <w:szCs w:val="1"/>
                <w:color w:val="auto"/>
              </w:rPr>
            </w:pP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337,441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410,540</w:t>
            </w:r>
          </w:p>
        </w:tc>
        <w:tc>
          <w:tcPr>
            <w:tcW w:w="0" w:type="dxa"/>
            <w:vAlign w:val="bottom"/>
          </w:tcPr>
          <w:p>
            <w:pPr>
              <w:spacing w:after="0"/>
              <w:rPr>
                <w:sz w:val="1"/>
                <w:szCs w:val="1"/>
                <w:color w:val="auto"/>
              </w:rPr>
            </w:pPr>
          </w:p>
        </w:tc>
      </w:tr>
      <w:tr>
        <w:trPr>
          <w:trHeight w:val="212"/>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73,825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57,339</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65,596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79,798</w:t>
            </w:r>
          </w:p>
        </w:tc>
        <w:tc>
          <w:tcPr>
            <w:tcW w:w="0" w:type="dxa"/>
            <w:vAlign w:val="bottom"/>
          </w:tcPr>
          <w:p>
            <w:pPr>
              <w:spacing w:after="0"/>
              <w:rPr>
                <w:sz w:val="1"/>
                <w:szCs w:val="1"/>
                <w:color w:val="auto"/>
              </w:rPr>
            </w:pPr>
          </w:p>
        </w:tc>
      </w:tr>
      <w:tr>
        <w:trPr>
          <w:trHeight w:val="212"/>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 deficiency reserve (benefit)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(16,357)</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8"/>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470,372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531,733</w:t>
            </w:r>
          </w:p>
        </w:tc>
        <w:tc>
          <w:tcPr>
            <w:tcW w:w="0" w:type="dxa"/>
            <w:vAlign w:val="bottom"/>
          </w:tcPr>
          <w:p>
            <w:pPr>
              <w:spacing w:after="0"/>
              <w:rPr>
                <w:sz w:val="1"/>
                <w:szCs w:val="1"/>
                <w:color w:val="auto"/>
              </w:rPr>
            </w:pP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31,903</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15,637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25,560</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notes and securities discounts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14,935</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derivative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(87,475)</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(285,066)</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(10,001)</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(6.71)</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number of common shares and common share equivalents outstanding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42,491,451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42,849,576</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common shares and common share equivalents outstanding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42,491,451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42,849,576</w:t>
            </w:r>
          </w:p>
        </w:tc>
        <w:tc>
          <w:tcPr>
            <w:tcW w:w="0" w:type="dxa"/>
            <w:vAlign w:val="bottom"/>
          </w:tcPr>
          <w:p>
            <w:pPr>
              <w:spacing w:after="0"/>
              <w:rPr>
                <w:sz w:val="1"/>
                <w:szCs w:val="1"/>
                <w:color w:val="auto"/>
              </w:rPr>
            </w:pPr>
          </w:p>
        </w:tc>
      </w:tr>
      <w:tr>
        <w:trPr>
          <w:trHeight w:val="22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(285,021)</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F-91</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CONVERTIBLE PREFERRED STOCK AND STOCKHOLDERS’ DEFICIT</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amounts)</w:t>
      </w:r>
    </w:p>
    <w:p>
      <w:pPr>
        <w:sectPr>
          <w:pgSz w:w="11900" w:h="16838" w:orient="portrait"/>
          <w:cols w:equalWidth="0" w:num="1">
            <w:col w:w="11200"/>
          </w:cols>
          <w:pgMar w:left="320" w:top="450" w:right="379" w:bottom="1440" w:gutter="0" w:footer="0" w:header="0"/>
        </w:sect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4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16"/>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December 31, 2018</w:t>
            </w:r>
          </w:p>
        </w:tc>
        <w:tc>
          <w:tcPr>
            <w:tcW w:w="860" w:type="dxa"/>
            <w:vAlign w:val="bottom"/>
            <w:tcBorders>
              <w:top w:val="single" w:sz="8" w:color="auto"/>
            </w:tcBorders>
            <w:gridSpan w:val="3"/>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580" w:type="dxa"/>
            <w:vAlign w:val="bottom"/>
            <w:vMerge w:val="continue"/>
          </w:tcPr>
          <w:p>
            <w:pPr>
              <w:spacing w:after="0"/>
              <w:rPr>
                <w:sz w:val="12"/>
                <w:szCs w:val="12"/>
                <w:color w:val="auto"/>
              </w:rPr>
            </w:pPr>
          </w:p>
        </w:tc>
        <w:tc>
          <w:tcPr>
            <w:tcW w:w="6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color w:val="auto"/>
                <w:w w:val="98"/>
              </w:rPr>
              <w:t>67,427,138</w:t>
            </w:r>
          </w:p>
        </w:tc>
        <w:tc>
          <w:tcPr>
            <w:tcW w:w="180" w:type="dxa"/>
            <w:vAlign w:val="bottom"/>
          </w:tcPr>
          <w:p>
            <w:pPr>
              <w:spacing w:after="0"/>
              <w:rPr>
                <w:sz w:val="12"/>
                <w:szCs w:val="12"/>
                <w:color w:val="auto"/>
              </w:rPr>
            </w:pPr>
          </w:p>
        </w:tc>
        <w:tc>
          <w:tcPr>
            <w:tcW w:w="56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w w:val="98"/>
              </w:rPr>
              <w:t>$447,747</w:t>
            </w:r>
          </w:p>
        </w:tc>
        <w:tc>
          <w:tcPr>
            <w:tcW w:w="0" w:type="dxa"/>
            <w:vAlign w:val="bottom"/>
          </w:tcPr>
          <w:p>
            <w:pPr>
              <w:spacing w:after="0"/>
              <w:rPr>
                <w:sz w:val="1"/>
                <w:szCs w:val="1"/>
                <w:color w:val="auto"/>
              </w:rPr>
            </w:pPr>
          </w:p>
        </w:tc>
      </w:tr>
      <w:tr>
        <w:trPr>
          <w:trHeight w:val="145"/>
        </w:trPr>
        <w:tc>
          <w:tcPr>
            <w:tcW w:w="25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issuance for exercise of stock</w:t>
            </w:r>
          </w:p>
        </w:tc>
        <w:tc>
          <w:tcPr>
            <w:tcW w:w="8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5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options, net of early exercise liability</w:t>
            </w:r>
          </w:p>
        </w:tc>
        <w:tc>
          <w:tcPr>
            <w:tcW w:w="86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5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Unrealized holdings gain on investments</w:t>
            </w:r>
          </w:p>
        </w:tc>
        <w:tc>
          <w:tcPr>
            <w:tcW w:w="8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5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securities, available-for-sale</w:t>
            </w:r>
          </w:p>
        </w:tc>
        <w:tc>
          <w:tcPr>
            <w:tcW w:w="86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Beneficial conversion feature</w:t>
            </w:r>
          </w:p>
        </w:tc>
        <w:tc>
          <w:tcPr>
            <w:tcW w:w="86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 September 30, 2019</w:t>
            </w:r>
          </w:p>
        </w:tc>
        <w:tc>
          <w:tcPr>
            <w:tcW w:w="660" w:type="dxa"/>
            <w:vAlign w:val="bottom"/>
            <w:tcBorders>
              <w:top w:val="single" w:sz="8" w:color="auto"/>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4"/>
                <w:szCs w:val="14"/>
                <w:color w:val="auto"/>
                <w:w w:val="95"/>
              </w:rPr>
              <w:t>67,427,138</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447,747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Balance December 31, 2019</w:t>
            </w:r>
          </w:p>
        </w:tc>
        <w:tc>
          <w:tcPr>
            <w:tcW w:w="6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w w:val="98"/>
              </w:rPr>
              <w:t>67,427,138</w:t>
            </w:r>
          </w:p>
        </w:tc>
        <w:tc>
          <w:tcPr>
            <w:tcW w:w="1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98"/>
              </w:rPr>
              <w:t>$447,747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 issuance for exercise of stock</w:t>
            </w:r>
          </w:p>
        </w:tc>
        <w:tc>
          <w:tcPr>
            <w:tcW w:w="8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5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options, net of early exercise liability</w:t>
            </w:r>
          </w:p>
        </w:tc>
        <w:tc>
          <w:tcPr>
            <w:tcW w:w="86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5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Unrealized holdings gain on investments</w:t>
            </w:r>
          </w:p>
        </w:tc>
        <w:tc>
          <w:tcPr>
            <w:tcW w:w="8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5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securities, available-for-sale</w:t>
            </w:r>
          </w:p>
        </w:tc>
        <w:tc>
          <w:tcPr>
            <w:tcW w:w="86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Interests acquired</w:t>
            </w:r>
          </w:p>
        </w:tc>
        <w:tc>
          <w:tcPr>
            <w:tcW w:w="86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25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 September 30, 2020</w:t>
            </w:r>
          </w:p>
        </w:tc>
        <w:tc>
          <w:tcPr>
            <w:tcW w:w="660" w:type="dxa"/>
            <w:vAlign w:val="bottom"/>
            <w:tcBorders>
              <w:top w:val="single" w:sz="8" w:color="auto"/>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4"/>
                <w:szCs w:val="14"/>
                <w:color w:val="auto"/>
                <w:w w:val="95"/>
              </w:rPr>
              <w:t>67,427,138</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447,747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3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6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0"/>
        </w:trPr>
        <w:tc>
          <w:tcPr>
            <w:tcW w:w="1160" w:type="dxa"/>
            <w:vAlign w:val="bottom"/>
            <w:tcBorders>
              <w:bottom w:val="single" w:sz="8" w:color="auto"/>
            </w:tcBorders>
            <w:gridSpan w:val="5"/>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80" w:type="dxa"/>
            <w:vAlign w:val="bottom"/>
            <w:gridSpan w:val="3"/>
          </w:tcPr>
          <w:p>
            <w:pPr>
              <w:ind w:left="140"/>
              <w:spacing w:after="0" w:line="11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5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25,318</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(527,896)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(502,574)</w:t>
            </w:r>
          </w:p>
        </w:tc>
        <w:tc>
          <w:tcPr>
            <w:tcW w:w="0" w:type="dxa"/>
            <w:vAlign w:val="bottom"/>
          </w:tcPr>
          <w:p>
            <w:pPr>
              <w:spacing w:after="0"/>
              <w:rPr>
                <w:sz w:val="1"/>
                <w:szCs w:val="1"/>
                <w:color w:val="auto"/>
              </w:rPr>
            </w:pPr>
          </w:p>
        </w:tc>
      </w:tr>
      <w:tr>
        <w:trPr>
          <w:trHeight w:val="184"/>
        </w:trPr>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42,243,445</w:t>
            </w:r>
          </w:p>
        </w:tc>
        <w:tc>
          <w:tcPr>
            <w:tcW w:w="80" w:type="dxa"/>
            <w:vAlign w:val="bottom"/>
          </w:tcPr>
          <w:p>
            <w:pPr>
              <w:spacing w:after="0"/>
              <w:rPr>
                <w:sz w:val="15"/>
                <w:szCs w:val="15"/>
                <w:color w:val="auto"/>
              </w:rPr>
            </w:pPr>
          </w:p>
        </w:tc>
        <w:tc>
          <w:tcPr>
            <w:tcW w:w="38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373,327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84"/>
        </w:trPr>
        <w:tc>
          <w:tcPr>
            <w:tcW w:w="7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2,646</w:t>
            </w:r>
          </w:p>
        </w:tc>
        <w:tc>
          <w:tcPr>
            <w:tcW w:w="140" w:type="dxa"/>
            <w:vAlign w:val="bottom"/>
          </w:tcPr>
          <w:p>
            <w:pPr>
              <w:spacing w:after="0"/>
              <w:rPr>
                <w:sz w:val="15"/>
                <w:szCs w:val="15"/>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0" w:type="dxa"/>
            <w:vAlign w:val="bottom"/>
          </w:tcPr>
          <w:p>
            <w:pPr>
              <w:spacing w:after="0"/>
              <w:rPr>
                <w:sz w:val="1"/>
                <w:szCs w:val="1"/>
                <w:color w:val="auto"/>
              </w:rPr>
            </w:pPr>
          </w:p>
        </w:tc>
      </w:tr>
      <w:tr>
        <w:trPr>
          <w:trHeight w:val="253"/>
        </w:trPr>
        <w:tc>
          <w:tcPr>
            <w:tcW w:w="7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5"/>
        </w:trPr>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373,826</w:t>
            </w:r>
          </w:p>
        </w:tc>
        <w:tc>
          <w:tcPr>
            <w:tcW w:w="140" w:type="dxa"/>
            <w:vAlign w:val="bottom"/>
          </w:tcPr>
          <w:p>
            <w:pPr>
              <w:spacing w:after="0"/>
              <w:rPr>
                <w:sz w:val="12"/>
                <w:szCs w:val="12"/>
                <w:color w:val="auto"/>
              </w:rPr>
            </w:pPr>
          </w:p>
        </w:tc>
        <w:tc>
          <w:tcPr>
            <w:tcW w:w="820" w:type="dxa"/>
            <w:vAlign w:val="bottom"/>
            <w:gridSpan w:val="2"/>
          </w:tcPr>
          <w:p>
            <w:pPr>
              <w:jc w:val="right"/>
              <w:ind w:right="15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left="23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373,826</w:t>
            </w:r>
          </w:p>
        </w:tc>
        <w:tc>
          <w:tcPr>
            <w:tcW w:w="0" w:type="dxa"/>
            <w:vAlign w:val="bottom"/>
          </w:tcPr>
          <w:p>
            <w:pPr>
              <w:spacing w:after="0"/>
              <w:rPr>
                <w:sz w:val="1"/>
                <w:szCs w:val="1"/>
                <w:color w:val="auto"/>
              </w:rPr>
            </w:pPr>
          </w:p>
        </w:tc>
      </w:tr>
      <w:tr>
        <w:trPr>
          <w:trHeight w:val="168"/>
        </w:trPr>
        <w:tc>
          <w:tcPr>
            <w:tcW w:w="7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(285,066)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(285,066)</w:t>
            </w:r>
          </w:p>
        </w:tc>
        <w:tc>
          <w:tcPr>
            <w:tcW w:w="0" w:type="dxa"/>
            <w:vAlign w:val="bottom"/>
          </w:tcPr>
          <w:p>
            <w:pPr>
              <w:spacing w:after="0"/>
              <w:rPr>
                <w:sz w:val="1"/>
                <w:szCs w:val="1"/>
                <w:color w:val="auto"/>
              </w:rPr>
            </w:pPr>
          </w:p>
        </w:tc>
      </w:tr>
      <w:tr>
        <w:trPr>
          <w:trHeight w:val="152"/>
        </w:trPr>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42,616,772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402,360</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(812,962)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left="43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(410,553)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42,686,624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403,046</w:t>
            </w:r>
          </w:p>
        </w:tc>
        <w:tc>
          <w:tcPr>
            <w:tcW w:w="2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(891,633)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left="43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361,975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184"/>
        </w:trPr>
        <w:tc>
          <w:tcPr>
            <w:tcW w:w="7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4,949</w:t>
            </w:r>
          </w:p>
        </w:tc>
        <w:tc>
          <w:tcPr>
            <w:tcW w:w="140" w:type="dxa"/>
            <w:vAlign w:val="bottom"/>
          </w:tcPr>
          <w:p>
            <w:pPr>
              <w:spacing w:after="0"/>
              <w:rPr>
                <w:sz w:val="15"/>
                <w:szCs w:val="15"/>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4,949</w:t>
            </w:r>
          </w:p>
        </w:tc>
        <w:tc>
          <w:tcPr>
            <w:tcW w:w="0" w:type="dxa"/>
            <w:vAlign w:val="bottom"/>
          </w:tcPr>
          <w:p>
            <w:pPr>
              <w:spacing w:after="0"/>
              <w:rPr>
                <w:sz w:val="1"/>
                <w:szCs w:val="1"/>
                <w:color w:val="auto"/>
              </w:rPr>
            </w:pPr>
          </w:p>
        </w:tc>
      </w:tr>
      <w:tr>
        <w:trPr>
          <w:trHeight w:val="253"/>
        </w:trPr>
        <w:tc>
          <w:tcPr>
            <w:tcW w:w="7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5"/>
              </w:rPr>
              <w:t>718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45"/>
        </w:trPr>
        <w:tc>
          <w:tcPr>
            <w:tcW w:w="78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5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left="170"/>
              <w:spacing w:after="0" w:line="145" w:lineRule="exact"/>
              <w:rPr>
                <w:sz w:val="20"/>
                <w:szCs w:val="20"/>
                <w:color w:val="auto"/>
              </w:rPr>
            </w:pPr>
            <w:r>
              <w:rPr>
                <w:rFonts w:ascii="Times New Roman" w:cs="Times New Roman" w:eastAsia="Times New Roman" w:hAnsi="Times New Roman"/>
                <w:sz w:val="14"/>
                <w:szCs w:val="14"/>
                <w:color w:val="auto"/>
              </w:rPr>
              <w:t>3,903</w:t>
            </w:r>
          </w:p>
        </w:tc>
        <w:tc>
          <w:tcPr>
            <w:tcW w:w="140" w:type="dxa"/>
            <w:vAlign w:val="bottom"/>
          </w:tcPr>
          <w:p>
            <w:pPr>
              <w:spacing w:after="0"/>
              <w:rPr>
                <w:sz w:val="12"/>
                <w:szCs w:val="12"/>
                <w:color w:val="auto"/>
              </w:rPr>
            </w:pPr>
          </w:p>
        </w:tc>
        <w:tc>
          <w:tcPr>
            <w:tcW w:w="7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168"/>
        </w:trPr>
        <w:tc>
          <w:tcPr>
            <w:tcW w:w="7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(10,001)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0" w:type="dxa"/>
            <w:vAlign w:val="bottom"/>
          </w:tcPr>
          <w:p>
            <w:pPr>
              <w:spacing w:after="0"/>
              <w:rPr>
                <w:sz w:val="1"/>
                <w:szCs w:val="1"/>
                <w:color w:val="auto"/>
              </w:rPr>
            </w:pPr>
          </w:p>
        </w:tc>
      </w:tr>
      <w:tr>
        <w:trPr>
          <w:trHeight w:val="152"/>
        </w:trPr>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43,048,599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408,949</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(901,634</w:t>
            </w:r>
          </w:p>
        </w:tc>
        <w:tc>
          <w:tcPr>
            <w:tcW w:w="160" w:type="dxa"/>
            <w:vAlign w:val="bottom"/>
          </w:tcPr>
          <w:p>
            <w:pPr>
              <w:jc w:val="right"/>
              <w:ind w:right="30"/>
              <w:spacing w:after="0" w:line="152"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ind w:left="500"/>
              <w:spacing w:after="0" w:line="152" w:lineRule="exact"/>
              <w:rPr>
                <w:sz w:val="20"/>
                <w:szCs w:val="20"/>
                <w:color w:val="auto"/>
              </w:rPr>
            </w:pPr>
            <w:r>
              <w:rPr>
                <w:rFonts w:ascii="Times New Roman" w:cs="Times New Roman" w:eastAsia="Times New Roman" w:hAnsi="Times New Roman"/>
                <w:sz w:val="14"/>
                <w:szCs w:val="14"/>
                <w:color w:val="auto"/>
                <w:w w:val="95"/>
              </w:rPr>
              <w:t>764</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center"/>
              <w:ind w:left="370"/>
              <w:spacing w:after="0" w:line="152" w:lineRule="exact"/>
              <w:rPr>
                <w:sz w:val="20"/>
                <w:szCs w:val="20"/>
                <w:color w:val="auto"/>
              </w:rPr>
            </w:pPr>
            <w:r>
              <w:rPr>
                <w:rFonts w:ascii="Times New Roman" w:cs="Times New Roman" w:eastAsia="Times New Roman" w:hAnsi="Times New Roman"/>
                <w:sz w:val="14"/>
                <w:szCs w:val="14"/>
                <w:color w:val="auto"/>
              </w:rPr>
              <w:t>3,903</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(488,014</w:t>
            </w:r>
          </w:p>
        </w:tc>
        <w:tc>
          <w:tcPr>
            <w:tcW w:w="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-2207260</wp:posOffset>
            </wp:positionV>
            <wp:extent cx="7134860" cy="22161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4860" cy="221615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980" w:space="680"/>
            <w:col w:w="6540"/>
          </w:cols>
          <w:pgMar w:left="320" w:top="450"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F-92</w:t>
      </w:r>
    </w:p>
    <w:p>
      <w:pPr>
        <w:sectPr>
          <w:pgSz w:w="11900" w:h="16838" w:orient="portrait"/>
          <w:cols w:equalWidth="0" w:num="1">
            <w:col w:w="11200"/>
          </w:cols>
          <w:pgMar w:left="320" w:top="450" w:right="379" w:bottom="1440" w:gutter="0" w:footer="0" w:header="0"/>
          <w:type w:val="continuous"/>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CLOVER HEALTH INVESTMENTS, CORP. AND SUBSIDIARIES CONDENSED CONSOLIDATED STATEMENTS OF CASH FLOWS (Unaudited) (Dollars in thousands, except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9"/>
        </w:trPr>
        <w:tc>
          <w:tcPr>
            <w:tcW w:w="67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1"/>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1"/>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7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19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(285,066)</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(10,001)</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of notes and securities discounts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14,935</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4,949</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 in fair value of warrants expense</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31,903</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Change in derivative liabilities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134,082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(87,475)</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Accretion, net of amortization</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(1,864)</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realized (gains) losses on investment securities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Accrued retrospective premiums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(14,653)</w:t>
            </w:r>
          </w:p>
        </w:tc>
        <w:tc>
          <w:tcPr>
            <w:tcW w:w="0" w:type="dxa"/>
            <w:vAlign w:val="bottom"/>
          </w:tcPr>
          <w:p>
            <w:pPr>
              <w:spacing w:after="0"/>
              <w:rPr>
                <w:sz w:val="1"/>
                <w:szCs w:val="1"/>
                <w:color w:val="auto"/>
              </w:rPr>
            </w:pPr>
          </w:p>
        </w:tc>
      </w:tr>
      <w:tr>
        <w:trPr>
          <w:trHeight w:val="198"/>
        </w:trPr>
        <w:tc>
          <w:tcPr>
            <w:tcW w:w="67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Other receivables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(9,838)</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Reinsurance recoverable</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198"/>
        </w:trPr>
        <w:tc>
          <w:tcPr>
            <w:tcW w:w="67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Other assets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(607)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(5,933)</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Healthcare receivables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(5,635)</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(8,506)</w:t>
            </w:r>
          </w:p>
        </w:tc>
        <w:tc>
          <w:tcPr>
            <w:tcW w:w="0" w:type="dxa"/>
            <w:vAlign w:val="bottom"/>
          </w:tcPr>
          <w:p>
            <w:pPr>
              <w:spacing w:after="0"/>
              <w:rPr>
                <w:sz w:val="1"/>
                <w:szCs w:val="1"/>
                <w:color w:val="auto"/>
              </w:rPr>
            </w:pPr>
          </w:p>
        </w:tc>
      </w:tr>
      <w:tr>
        <w:trPr>
          <w:trHeight w:val="198"/>
        </w:trPr>
        <w:tc>
          <w:tcPr>
            <w:tcW w:w="67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(12,663)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2,437</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Unpaid claims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15,729</w:t>
            </w:r>
          </w:p>
        </w:tc>
        <w:tc>
          <w:tcPr>
            <w:tcW w:w="0" w:type="dxa"/>
            <w:vAlign w:val="bottom"/>
          </w:tcPr>
          <w:p>
            <w:pPr>
              <w:spacing w:after="0"/>
              <w:rPr>
                <w:sz w:val="1"/>
                <w:szCs w:val="1"/>
                <w:color w:val="auto"/>
              </w:rPr>
            </w:pPr>
          </w:p>
        </w:tc>
      </w:tr>
      <w:tr>
        <w:trPr>
          <w:trHeight w:val="198"/>
        </w:trPr>
        <w:tc>
          <w:tcPr>
            <w:tcW w:w="67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24,706</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(1,201)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198"/>
        </w:trPr>
        <w:tc>
          <w:tcPr>
            <w:tcW w:w="67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Premium deficiency reserve (benefit)</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(7,204)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(16,356)</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Reinsurance premium payable</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(64,414)</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7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Deferred rent</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(2,078)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Other liabilities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(568)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198"/>
        </w:trPr>
        <w:tc>
          <w:tcPr>
            <w:tcW w:w="67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15,618</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(2,761)</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(92,948)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(58,594)</w:t>
            </w:r>
          </w:p>
        </w:tc>
        <w:tc>
          <w:tcPr>
            <w:tcW w:w="0" w:type="dxa"/>
            <w:vAlign w:val="bottom"/>
          </w:tcPr>
          <w:p>
            <w:pPr>
              <w:spacing w:after="0"/>
              <w:rPr>
                <w:sz w:val="1"/>
                <w:szCs w:val="1"/>
                <w:color w:val="auto"/>
              </w:rPr>
            </w:pPr>
          </w:p>
        </w:tc>
      </w:tr>
      <w:tr>
        <w:trPr>
          <w:trHeight w:val="202"/>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(445,832)</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(152,248)</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Proceeds from sales of available-for-sale securities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172,164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166,024</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Proceeds from maturities of available-for-sale securities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56,701</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Proceeds from maturities of held-to-maturity securities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(1,076)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(222,683)</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69,847</w:t>
            </w:r>
          </w:p>
        </w:tc>
        <w:tc>
          <w:tcPr>
            <w:tcW w:w="0" w:type="dxa"/>
            <w:vAlign w:val="bottom"/>
          </w:tcPr>
          <w:p>
            <w:pPr>
              <w:spacing w:after="0"/>
              <w:rPr>
                <w:sz w:val="1"/>
                <w:szCs w:val="1"/>
                <w:color w:val="auto"/>
              </w:rPr>
            </w:pPr>
          </w:p>
        </w:tc>
      </w:tr>
      <w:tr>
        <w:trPr>
          <w:trHeight w:val="202"/>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Proceeds from issuance of convertible securities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343,409</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(363)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Payment of notes payable principal</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(5,754)</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(13,868)</w:t>
            </w:r>
          </w:p>
        </w:tc>
        <w:tc>
          <w:tcPr>
            <w:tcW w:w="0" w:type="dxa"/>
            <w:vAlign w:val="bottom"/>
          </w:tcPr>
          <w:p>
            <w:pPr>
              <w:spacing w:after="0"/>
              <w:rPr>
                <w:sz w:val="1"/>
                <w:szCs w:val="1"/>
                <w:color w:val="auto"/>
              </w:rPr>
            </w:pPr>
          </w:p>
        </w:tc>
      </w:tr>
      <w:tr>
        <w:trPr>
          <w:trHeight w:val="198"/>
        </w:trPr>
        <w:tc>
          <w:tcPr>
            <w:tcW w:w="67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Issuance of common stock, net of early exercise liability</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7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337,862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22,134</w:t>
            </w:r>
          </w:p>
        </w:tc>
        <w:tc>
          <w:tcPr>
            <w:tcW w:w="0" w:type="dxa"/>
            <w:vAlign w:val="bottom"/>
          </w:tcPr>
          <w:p>
            <w:pPr>
              <w:spacing w:after="0"/>
              <w:rPr>
                <w:sz w:val="1"/>
                <w:szCs w:val="1"/>
                <w:color w:val="auto"/>
              </w:rPr>
            </w:pPr>
          </w:p>
        </w:tc>
      </w:tr>
      <w:tr>
        <w:trPr>
          <w:trHeight w:val="198"/>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75,403</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67,598</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97,634</w:t>
            </w: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89,732</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cash flow disclosures</w:t>
            </w:r>
          </w:p>
        </w:tc>
        <w:tc>
          <w:tcPr>
            <w:tcW w:w="1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2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1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3,524</w:t>
            </w:r>
          </w:p>
        </w:tc>
        <w:tc>
          <w:tcPr>
            <w:tcW w:w="0" w:type="dxa"/>
            <w:vAlign w:val="bottom"/>
          </w:tcPr>
          <w:p>
            <w:pPr>
              <w:spacing w:after="0"/>
              <w:rPr>
                <w:sz w:val="1"/>
                <w:szCs w:val="1"/>
                <w:color w:val="auto"/>
              </w:rPr>
            </w:pPr>
          </w:p>
        </w:tc>
      </w:tr>
      <w:tr>
        <w:trPr>
          <w:trHeight w:val="198"/>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Fair value of warrants issued in connection with notes payable</w:t>
            </w:r>
          </w:p>
        </w:tc>
        <w:tc>
          <w:tcPr>
            <w:tcW w:w="1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17,672</w:t>
            </w: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Settlement of bridge loan in connection with convertible securities</w:t>
            </w:r>
          </w:p>
        </w:tc>
        <w:tc>
          <w:tcPr>
            <w:tcW w:w="19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30,416</w:t>
            </w:r>
          </w:p>
        </w:tc>
        <w:tc>
          <w:tcPr>
            <w:tcW w:w="4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1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Paid in kind interest</w:t>
            </w:r>
          </w:p>
        </w:tc>
        <w:tc>
          <w:tcPr>
            <w:tcW w:w="19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18,769</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40"/>
          </w:cols>
          <w:pgMar w:left="320" w:top="450" w:right="339" w:bottom="1440" w:gutter="0" w:footer="0" w:header="0"/>
        </w:sectPr>
      </w:pPr>
    </w:p>
    <w:bookmarkStart w:id="298" w:name="page299"/>
    <w:bookmarkEnd w:id="2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12"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8"/>
          <w:szCs w:val="18"/>
          <w:color w:val="auto"/>
        </w:rPr>
        <w:t>Clover Health Investments, Corp., incorporated on July 17, 2014, in the state of Delaware, together with its affiliates and subsidiaries (collectively, the “Corporation” or “Clover”),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PPO and HMO health plans, respectively. Medical Service Professionals of NJ, LLC houses Clover’s employed physicians and the related support staff for Clover’s in-home care program. Clover’s administrative functions and insurance operations are primarily operated by the Clover Health, LLC and Clover Health Labs, LLC subsidiaries. Clover’s approach combines technology, data analytics and preventive care to lower costs and increase the quality of health and life of its members. Clover’s technology platform uses machine learning-powered systems to deliver data and insights to physicians at the point of care in order to improve outcomes for members and drive down costs. Clover provides access to a wide network of primary care physicians, specialists, and hospitals, enabling its members to see any doctor participating in Medicare willing to accept them. Clover focuses on keeping out-of-pocket costs for its members to a minimum and allows members to pay the same low cost-sharing regardless of whether their doctor is in- or out-of-network.</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4"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color w:val="auto"/>
        </w:rPr>
        <w:t>The Corporation’s interim condensed consolidated financial statements have been prepared in conformity with generally accepted accounting principles in the United States (“U.S. GAAP”) and include the accounts of the Corporation and its wholly owned subsidiaries. In the opinion of management, the Corporation has made all necessary adjustments, which include normal recurring adjustments necessary for a fair presentation of the Corporation’s condensed consolidated financial position and results of operations for the interim periods presented. All material intercompany balances and transactions have been eliminated in consolidating these financial statements. These interim condensed consolidated financial statements should be read in conjunction with the audited consolidated financial statements as of and for the year ended December 31, 2019, included elsewhere in this prospectus.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1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the opinion of the Corporation,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deficit and cash flows. The condensed consolidated balance sheet at December 31, 2019, was derived from audited annual financial statements but does not contain all of the footnote disclosures from the annual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4" w:lineRule="exact"/>
        <w:rPr>
          <w:sz w:val="20"/>
          <w:szCs w:val="20"/>
          <w:color w:val="auto"/>
        </w:rPr>
      </w:pPr>
    </w:p>
    <w:p>
      <w:pPr>
        <w:ind w:right="400" w:firstLine="449"/>
        <w:spacing w:after="0" w:line="270"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amounts reported in the Condensed Consolidated Financial Statements and accompanying notes.</w:t>
      </w:r>
    </w:p>
    <w:p>
      <w:pPr>
        <w:spacing w:after="0" w:line="16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areas involving the most significant use of estimates are the amounts incurred but not reported (“IBNR”) claims, recoveries from third parties for coordination of benefits, and final determination of medical cost adjustment pools. Many factors can cause actual outcomes to deviate from these assumptions and estimates,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60"/>
          </w:cols>
          <w:pgMar w:left="320" w:top="450" w:right="419" w:bottom="1440" w:gutter="0" w:footer="0" w:header="0"/>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risk adjustment provisions related to Medicare contracts and the valuation of investment securities, goodwill and other intangible assets, warrants, the embedded derivative related to the convertible securities, and stock-based compensation.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2" w:lineRule="exact"/>
        <w:rPr>
          <w:sz w:val="20"/>
          <w:szCs w:val="20"/>
          <w:color w:val="auto"/>
        </w:rPr>
      </w:pPr>
    </w:p>
    <w:p>
      <w:pPr>
        <w:ind w:right="560" w:firstLine="449"/>
        <w:spacing w:after="0" w:line="258" w:lineRule="auto"/>
        <w:rPr>
          <w:sz w:val="20"/>
          <w:szCs w:val="20"/>
          <w:color w:val="auto"/>
        </w:rPr>
      </w:pPr>
      <w:r>
        <w:rPr>
          <w:rFonts w:ascii="Times New Roman" w:cs="Times New Roman" w:eastAsia="Times New Roman" w:hAnsi="Times New Roman"/>
          <w:sz w:val="18"/>
          <w:szCs w:val="18"/>
          <w:color w:val="auto"/>
        </w:rPr>
        <w:t>The Corporation currently qualifies as an “emerging growth company” under the Jumpstart Our Business Startups Act of 2012, or the JOBS Act. Accordingly, the Corporation is provided the option to adopt new or revised accounting guidance either (i) within the same periods as those otherwise applicable to non-emerging growth companies or (ii) within the same time periods as private companies.</w:t>
      </w:r>
    </w:p>
    <w:p>
      <w:pPr>
        <w:spacing w:after="0" w:line="179" w:lineRule="exact"/>
        <w:rPr>
          <w:sz w:val="20"/>
          <w:szCs w:val="20"/>
          <w:color w:val="auto"/>
        </w:rPr>
      </w:pPr>
    </w:p>
    <w:p>
      <w:pPr>
        <w:ind w:right="100" w:firstLine="449"/>
        <w:spacing w:after="0" w:line="270" w:lineRule="auto"/>
        <w:rPr>
          <w:sz w:val="20"/>
          <w:szCs w:val="20"/>
          <w:color w:val="auto"/>
        </w:rPr>
      </w:pPr>
      <w:r>
        <w:rPr>
          <w:rFonts w:ascii="Times New Roman" w:cs="Times New Roman" w:eastAsia="Times New Roman" w:hAnsi="Times New Roman"/>
          <w:sz w:val="18"/>
          <w:szCs w:val="18"/>
          <w:color w:val="auto"/>
        </w:rPr>
        <w:t>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0" w:lineRule="exact"/>
        <w:rPr>
          <w:sz w:val="20"/>
          <w:szCs w:val="20"/>
          <w:color w:val="auto"/>
        </w:rPr>
      </w:pPr>
    </w:p>
    <w:p>
      <w:pPr>
        <w:ind w:right="320" w:firstLine="449"/>
        <w:spacing w:after="0" w:line="250"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 modified by subsequently issued ASU’s 2015-14, 2016-08, 2016-10, 2016-12 and 2016-20 (collectively ASU 2014-09). ASU 2014-09 superseded existing revenue recognition standards with a single model unless those contracts are within the scope of other standards (e.g., an insurance entity’s insurance contracts). The revenue recognition principle in ASU 2014-09 is that an entity should recognize revenue to depict the transfer of goods or services to customers in an amount that reflects the consideration to which the entity expects to be entitled in exchange for those goods or services. Adoption of ASU 2014-09 did not have a material impact on the Corporation’s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2"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ASC 842, as amended, which superseded the lease accounting requirements in ASC 840 and created ASC 842. The Corporation elected to early adopt ASC 842, using the required modified retrospective approach and utilizing the effective date of January 1, 2019, as its date of initial application. As a result, prior periods are presented in accordance with the previous guidance in ASC 840.</w:t>
      </w:r>
    </w:p>
    <w:p>
      <w:pPr>
        <w:spacing w:after="0" w:line="17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Corporation elected the short-term lease expedient for leases with a term of one year or less, which permits a lessee to not recognize lease assets and lease liabilities for those leases. Lessees continue to differentiate between finance leases (previously referred to as capital leases) and operating leases using classification criteria that are substantially similar to the previous guidance. In addition, the Corporation elected to utilize the package of practical expedients which allowed it to not reassess the following: (i) whether any expired or existing contracts contained leases; (ii) the lease classification for any expired or existing leases; and (iii) the treatment of initial direct costs for any existing leases.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240"/>
          </w:cols>
          <w:pgMar w:left="320" w:top="450" w:right="339"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In transition, the Corporation elected to utilize the remaining lease term of its leases, as of the effective date, in determining the appropriate incremental borrowing rate. Lease cost for operating leases is recognized on a straight-line basis over the lease term as an operating expense. Variable lease costs are expensed as incurred as an operating expense.</w:t>
      </w:r>
    </w:p>
    <w:p>
      <w:pPr>
        <w:spacing w:after="0" w:line="179" w:lineRule="exact"/>
        <w:rPr>
          <w:sz w:val="20"/>
          <w:szCs w:val="20"/>
          <w:color w:val="auto"/>
        </w:rPr>
      </w:pPr>
    </w:p>
    <w:p>
      <w:pPr>
        <w:ind w:right="360" w:firstLine="449"/>
        <w:spacing w:after="0" w:line="251" w:lineRule="auto"/>
        <w:rPr>
          <w:sz w:val="20"/>
          <w:szCs w:val="20"/>
          <w:color w:val="auto"/>
        </w:rPr>
      </w:pPr>
      <w:r>
        <w:rPr>
          <w:rFonts w:ascii="Times New Roman" w:cs="Times New Roman" w:eastAsia="Times New Roman" w:hAnsi="Times New Roman"/>
          <w:sz w:val="18"/>
          <w:szCs w:val="18"/>
          <w:color w:val="auto"/>
        </w:rPr>
        <w:t>The adoption of this standard resulted in the recognition of operating lease ROU assets of approximately $14.3 million and lease liabilities of approximately $17.4 million, on the Corporation’s Condensed Consolidated Balance Sheets at adoption relating to its office leases in New Jersey and San Francisco. The difference between the ROU assets and lease liabilities was due to previously recorded net deferred rent liabilities and incentives that were de-recognized and reclassified into the ROU assets. The adoption of ASU 2016-02 did not have a material impact on the Corporation’s liquidity or the Condensed Consolidated Statements of Operations and Comprehensive Loss.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110" w:lineRule="exact"/>
        <w:rPr>
          <w:sz w:val="20"/>
          <w:szCs w:val="20"/>
          <w:color w:val="auto"/>
        </w:rPr>
      </w:pPr>
    </w:p>
    <w:p>
      <w:pPr>
        <w:ind w:right="20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This update addresses eight specific cash flow issues with the objective of reducing the existing diversity in practice in how certain cash receipts and cash payments are presented and classified. ASU 2016-15 is effective for nonpublic entities in fiscal years beginning after December 15, 2018. Adoption of ASU 2016-15 did not have a material impact on the Corporation’s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0"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ASU 2016-18 is intended to clarify how entities present restricted cash in the statement of cash flows. The guidance requires entities to show the changes in the total of cash and cash equivalents and restricted cash in the statement of cash flows. As a result, entities will no longer present transfers between cash and cash equivalents and restricted cash in the statement of cash flows. When cash and cash equivalents and restricted cash are presented in more than one line-item on the balance sheet, the new guidance requires a reconciliation of the totals in the statement of cash flows to the related captions in the balance sheet. This reconciliation can be presented either on the face of the statement of cash flows or in the notes to the financial statements. ASU 2016-18 is effective for nonpublic entities in fiscal years beginning after December 15, 2018, and is to be applied retrospectively. The Corporation adopted ASC 2016-18 effective January 1, 2019. Adoption of ASU 2016-18 did not have a material impact on the Corporation’s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0" w:lineRule="exact"/>
        <w:rPr>
          <w:sz w:val="20"/>
          <w:szCs w:val="20"/>
          <w:color w:val="auto"/>
        </w:rPr>
      </w:pPr>
    </w:p>
    <w:p>
      <w:pPr>
        <w:ind w:right="160" w:firstLine="449"/>
        <w:spacing w:after="0" w:line="252"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ASU 2017-09 clarifies which changes to the terms or conditions of a share-based payment award must be accounted for as modifications. An entity should apply modification accounting if the fair value, vesting conditions or classification of the award (as an equity instrument or liability instrument) changes as a result of the change in terms or conditions of the award. The new standard was early adopted by the Corporation on January 1, 2018, on a prospective basis. The adoption of ASU 2017-09 did not have a material impact on the Corporation’s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comprehensive income</w:t>
      </w:r>
    </w:p>
    <w:p>
      <w:pPr>
        <w:spacing w:after="0" w:line="110" w:lineRule="exact"/>
        <w:rPr>
          <w:sz w:val="20"/>
          <w:szCs w:val="20"/>
          <w:color w:val="auto"/>
        </w:rPr>
      </w:pPr>
    </w:p>
    <w:p>
      <w:pPr>
        <w:ind w:right="60" w:firstLine="449"/>
        <w:spacing w:after="0" w:line="273"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 This update allows entities to make an election to reclassify from accumulated</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20"/>
          </w:cols>
          <w:pgMar w:left="320" w:top="450" w:right="359" w:bottom="1440" w:gutter="0" w:footer="0" w:header="0"/>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other comprehensive income to retained earnings the stranded tax effects resulting from the Tax Cuts and Jobs Act of 2017. This ASU is effective for nonpublic entities in fiscal years beginning after December 15, 2018. Early adoption is permitted. The Corporation elected to early adopt ASU 2018-02 on July 1, 2018. Adoption of ASU 2018-02 did not have a material impact on the Corporation’s Consolidated Financial Statements.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share-based payments</w:t>
      </w:r>
    </w:p>
    <w:p>
      <w:pPr>
        <w:spacing w:after="0" w:line="110"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This ASU expands the scope of Topic 718 to include share-based payment transactions for acquiring goods and services from nonemployees.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This ASU also includes nonpublic entity-specific amendments for calculated value and intrinsic value. For nonpublic entities, ASU 2018-07 is effective for nonpublic entities in fiscal years beginning after December 15, 2019. Early adoption is permitted, but no earlier than an entity’s adoption date of Topic 606. The new standard was early adopted by the Corporation on January 1, 2018. Adoption of ASU 2018-07 did not have a material impact on the Corporation’s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0"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Changes to Disclosure Requirements for Fair Value Measurements</w:t>
      </w:r>
      <w:r>
        <w:rPr>
          <w:rFonts w:ascii="Times New Roman" w:cs="Times New Roman" w:eastAsia="Times New Roman" w:hAnsi="Times New Roman"/>
          <w:sz w:val="18"/>
          <w:szCs w:val="18"/>
          <w:color w:val="auto"/>
        </w:rPr>
        <w:t>, which will improve the effectiveness of disclosure requirements for recurring and nonrecurring fair value measurements. The standard removes, modifies, and adds certain disclosure requirements, and is effective for all entities in fiscal years beginning after December 15, 2019. This standard became effective for the Corporation on January 1, 2020 and did not have a material impact on the Corporation’s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110" w:lineRule="exact"/>
        <w:rPr>
          <w:sz w:val="20"/>
          <w:szCs w:val="20"/>
          <w:color w:val="auto"/>
        </w:rPr>
      </w:pPr>
    </w:p>
    <w:p>
      <w:pPr>
        <w:ind w:right="240" w:firstLine="449"/>
        <w:spacing w:after="0" w:line="265"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which was subsequently modified by several ASUs issued in 2018 and 2019. This standard introduces a new current expected credit loss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Early adoption is permitted. The Corporation is currently evaluating the impact of the adoption of ASU 2016-13 on the Condensed Consolidated Financial Statements.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10" w:lineRule="exact"/>
        <w:rPr>
          <w:sz w:val="20"/>
          <w:szCs w:val="20"/>
          <w:color w:val="auto"/>
        </w:rPr>
      </w:pPr>
    </w:p>
    <w:p>
      <w:pPr>
        <w:ind w:right="280" w:firstLine="449"/>
        <w:spacing w:after="0" w:line="273"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This update removes Step 2 of the goodwill impairment test under</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00"/>
          </w:cols>
          <w:pgMar w:left="320" w:top="450" w:right="37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with early adoption permitted for interim or annual goodwill impairment tests performed on testing dates after January 1, 2017. The Corporation is currently evaluating the impact of the adoption of ASU 2017-04 on the Condensed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0" w:lineRule="exact"/>
        <w:rPr>
          <w:sz w:val="20"/>
          <w:szCs w:val="20"/>
          <w:color w:val="auto"/>
        </w:rPr>
      </w:pPr>
    </w:p>
    <w:p>
      <w:pPr>
        <w:ind w:right="120" w:firstLine="449"/>
        <w:spacing w:after="0" w:line="250"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Income Taxes (Topic 740):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with early adoption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ASU 2019-12 on the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cost or amortized cost and fair values of investments as of December 31, 2019 and September 30, 2020,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right"/>
              <w:ind w:right="4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unrealized</w:t>
            </w:r>
          </w:p>
        </w:tc>
        <w:tc>
          <w:tcPr>
            <w:tcW w:w="80" w:type="dxa"/>
            <w:vAlign w:val="bottom"/>
          </w:tcPr>
          <w:p>
            <w:pPr>
              <w:spacing w:after="0"/>
              <w:rPr>
                <w:sz w:val="12"/>
                <w:szCs w:val="12"/>
                <w:color w:val="auto"/>
              </w:rPr>
            </w:pPr>
          </w:p>
        </w:tc>
        <w:tc>
          <w:tcPr>
            <w:tcW w:w="6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8"/>
              </w:rPr>
              <w:t>unrealized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960" w:type="dxa"/>
            <w:vAlign w:val="bottom"/>
            <w:gridSpan w:val="3"/>
            <w:vMerge w:val="continue"/>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580"/>
              <w:spacing w:after="0" w:line="157" w:lineRule="exact"/>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5"/>
        </w:trPr>
        <w:tc>
          <w:tcPr>
            <w:tcW w:w="1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7"/>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tc>
        <w:tc>
          <w:tcPr>
            <w:tcW w:w="2420" w:type="dxa"/>
            <w:vAlign w:val="bottom"/>
            <w:gridSpan w:val="3"/>
          </w:tcPr>
          <w:p>
            <w:pPr>
              <w:ind w:left="23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2"/>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56,382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56,428</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3340" w:type="dxa"/>
            <w:vAlign w:val="bottom"/>
            <w:gridSpan w:val="6"/>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$ 57,045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57,113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24"/>
                <w:szCs w:val="24"/>
                <w:color w:val="auto"/>
              </w:rPr>
            </w:pPr>
          </w:p>
        </w:tc>
        <w:tc>
          <w:tcPr>
            <w:tcW w:w="10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24"/>
                <w:szCs w:val="24"/>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5"/>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1120" w:type="dxa"/>
            <w:vAlign w:val="bottom"/>
            <w:gridSpan w:val="5"/>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960" w:type="dxa"/>
            <w:vAlign w:val="bottom"/>
            <w:gridSpan w:val="3"/>
            <w:vMerge w:val="continue"/>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680"/>
              <w:spacing w:after="0" w:line="157" w:lineRule="exact"/>
              <w:rPr>
                <w:sz w:val="20"/>
                <w:szCs w:val="20"/>
                <w:color w:val="auto"/>
              </w:rPr>
            </w:pPr>
            <w:r>
              <w:rPr>
                <w:rFonts w:ascii="Times New Roman" w:cs="Times New Roman" w:eastAsia="Times New Roman" w:hAnsi="Times New Roman"/>
                <w:sz w:val="14"/>
                <w:szCs w:val="14"/>
                <w:b w:val="1"/>
                <w:bCs w:val="1"/>
                <w:color w:val="auto"/>
                <w:w w:val="94"/>
              </w:rPr>
              <w:t>cost</w:t>
            </w:r>
          </w:p>
        </w:tc>
        <w:tc>
          <w:tcPr>
            <w:tcW w:w="80" w:type="dxa"/>
            <w:vAlign w:val="bottom"/>
          </w:tcPr>
          <w:p>
            <w:pPr>
              <w:spacing w:after="0"/>
              <w:rPr>
                <w:sz w:val="14"/>
                <w:szCs w:val="14"/>
                <w:color w:val="auto"/>
              </w:rPr>
            </w:pPr>
          </w:p>
        </w:tc>
        <w:tc>
          <w:tcPr>
            <w:tcW w:w="1040" w:type="dxa"/>
            <w:vAlign w:val="bottom"/>
            <w:gridSpan w:val="4"/>
          </w:tcPr>
          <w:p>
            <w:pPr>
              <w:jc w:val="right"/>
              <w:ind w:right="640"/>
              <w:spacing w:after="0" w:line="157" w:lineRule="exact"/>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4"/>
                <w:szCs w:val="14"/>
                <w:color w:val="auto"/>
              </w:rPr>
            </w:pPr>
          </w:p>
        </w:tc>
        <w:tc>
          <w:tcPr>
            <w:tcW w:w="64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3"/>
              </w:rPr>
              <w:t>value</w:t>
            </w:r>
          </w:p>
        </w:tc>
        <w:tc>
          <w:tcPr>
            <w:tcW w:w="0" w:type="dxa"/>
            <w:vAlign w:val="bottom"/>
          </w:tcPr>
          <w:p>
            <w:pPr>
              <w:spacing w:after="0"/>
              <w:rPr>
                <w:sz w:val="1"/>
                <w:szCs w:val="1"/>
                <w:color w:val="auto"/>
              </w:rPr>
            </w:pPr>
          </w:p>
        </w:tc>
      </w:tr>
      <w:tr>
        <w:trPr>
          <w:trHeight w:val="145"/>
        </w:trPr>
        <w:tc>
          <w:tcPr>
            <w:tcW w:w="1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ind w:left="24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tc>
        <w:tc>
          <w:tcPr>
            <w:tcW w:w="232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w:t>
            </w:r>
          </w:p>
        </w:tc>
        <w:tc>
          <w:tcPr>
            <w:tcW w:w="3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2"/>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tc>
        <w:tc>
          <w:tcPr>
            <w:tcW w:w="2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109,712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110,477</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9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110,406</w:t>
            </w: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111,226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F-98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amortized cost and fair value of debt securities as of September 30, 2020, by contractual maturity:</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0" w:type="dxa"/>
            <w:vAlign w:val="bottom"/>
          </w:tcPr>
          <w:p>
            <w:pPr>
              <w:spacing w:after="0"/>
              <w:rPr>
                <w:sz w:val="1"/>
                <w:szCs w:val="1"/>
                <w:color w:val="auto"/>
              </w:rPr>
            </w:pPr>
          </w:p>
        </w:tc>
      </w:tr>
      <w:tr>
        <w:trPr>
          <w:trHeight w:val="114"/>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20" w:type="dxa"/>
            <w:vAlign w:val="bottom"/>
          </w:tcPr>
          <w:p>
            <w:pPr>
              <w:spacing w:after="0"/>
              <w:rPr>
                <w:sz w:val="9"/>
                <w:szCs w:val="9"/>
                <w:color w:val="auto"/>
              </w:rPr>
            </w:pPr>
          </w:p>
        </w:tc>
        <w:tc>
          <w:tcPr>
            <w:tcW w:w="1200" w:type="dxa"/>
            <w:vAlign w:val="bottom"/>
            <w:tcBorders>
              <w:top w:val="single" w:sz="8" w:color="auto"/>
            </w:tcBorders>
            <w:gridSpan w:val="3"/>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6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Fair</w:t>
            </w:r>
          </w:p>
        </w:tc>
        <w:tc>
          <w:tcPr>
            <w:tcW w:w="540" w:type="dxa"/>
            <w:vAlign w:val="bottom"/>
          </w:tcPr>
          <w:p>
            <w:pPr>
              <w:spacing w:after="0"/>
              <w:rPr>
                <w:sz w:val="9"/>
                <w:szCs w:val="9"/>
                <w:color w:val="auto"/>
              </w:rPr>
            </w:pPr>
          </w:p>
        </w:tc>
        <w:tc>
          <w:tcPr>
            <w:tcW w:w="1240" w:type="dxa"/>
            <w:vAlign w:val="bottom"/>
            <w:tcBorders>
              <w:top w:val="single" w:sz="8" w:color="auto"/>
            </w:tcBorders>
            <w:gridSpan w:val="3"/>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ind w:right="118"/>
              <w:spacing w:after="0" w:line="114" w:lineRule="exact"/>
              <w:rPr>
                <w:sz w:val="20"/>
                <w:szCs w:val="20"/>
                <w:color w:val="auto"/>
              </w:rPr>
            </w:pPr>
            <w:r>
              <w:rPr>
                <w:rFonts w:ascii="Times New Roman" w:cs="Times New Roman" w:eastAsia="Times New Roman" w:hAnsi="Times New Roman"/>
                <w:sz w:val="13"/>
                <w:szCs w:val="13"/>
                <w:b w:val="1"/>
                <w:bCs w:val="1"/>
                <w:color w:val="auto"/>
              </w:rPr>
              <w:t>Fair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46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60"/>
              <w:spacing w:after="0" w:line="157" w:lineRule="exact"/>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4"/>
                <w:szCs w:val="14"/>
                <w:color w:val="auto"/>
              </w:rPr>
            </w:pPr>
          </w:p>
        </w:tc>
        <w:tc>
          <w:tcPr>
            <w:tcW w:w="620" w:type="dxa"/>
            <w:vAlign w:val="bottom"/>
            <w:gridSpan w:val="2"/>
          </w:tcPr>
          <w:p>
            <w:pPr>
              <w:jc w:val="right"/>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5"/>
        </w:trPr>
        <w:tc>
          <w:tcPr>
            <w:tcW w:w="1180" w:type="dxa"/>
            <w:vAlign w:val="bottom"/>
            <w:tcBorders>
              <w:top w:val="single" w:sz="8" w:color="auto"/>
            </w:tcBorders>
          </w:tcPr>
          <w:p>
            <w:pPr>
              <w:spacing w:after="0"/>
              <w:rPr>
                <w:sz w:val="12"/>
                <w:szCs w:val="12"/>
                <w:color w:val="auto"/>
              </w:rPr>
            </w:pPr>
          </w:p>
        </w:tc>
        <w:tc>
          <w:tcPr>
            <w:tcW w:w="3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9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$271</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12,179</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319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86,183</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86,781</w:t>
            </w:r>
          </w:p>
        </w:tc>
        <w:tc>
          <w:tcPr>
            <w:tcW w:w="0" w:type="dxa"/>
            <w:vAlign w:val="bottom"/>
          </w:tcPr>
          <w:p>
            <w:pPr>
              <w:spacing w:after="0"/>
              <w:rPr>
                <w:sz w:val="1"/>
                <w:szCs w:val="1"/>
                <w:color w:val="auto"/>
              </w:rPr>
            </w:pPr>
          </w:p>
        </w:tc>
      </w:tr>
      <w:tr>
        <w:trPr>
          <w:trHeight w:val="212"/>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11,517</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694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749</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5"/>
              </w:rPr>
              <w:t>109,712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110,477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nine month periods ended September 30, 2019 and 2020, respectively, net investment income was derived from the following sources:</w:t>
      </w:r>
    </w:p>
    <w:p>
      <w:pPr>
        <w:spacing w:after="0" w:line="23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720"/>
        <w:spacing w:after="0" w:line="230"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360" w:type="dxa"/>
        <w:tblCellMar>
          <w:top w:w="0" w:type="dxa"/>
          <w:left w:w="0" w:type="dxa"/>
          <w:bottom w:w="0" w:type="dxa"/>
          <w:right w:w="0" w:type="dxa"/>
        </w:tblCellMar>
      </w:tblPr>
      <w:tr>
        <w:trPr>
          <w:trHeight w:val="139"/>
        </w:trPr>
        <w:tc>
          <w:tcPr>
            <w:tcW w:w="67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r>
      <w:tr>
        <w:trPr>
          <w:trHeight w:val="139"/>
        </w:trPr>
        <w:tc>
          <w:tcPr>
            <w:tcW w:w="6780" w:type="dxa"/>
            <w:vAlign w:val="bottom"/>
          </w:tcPr>
          <w:p>
            <w:pPr>
              <w:spacing w:after="0"/>
              <w:rPr>
                <w:sz w:val="12"/>
                <w:szCs w:val="12"/>
                <w:color w:val="auto"/>
              </w:rPr>
            </w:pPr>
          </w:p>
        </w:tc>
        <w:tc>
          <w:tcPr>
            <w:tcW w:w="1700" w:type="dxa"/>
            <w:vAlign w:val="bottom"/>
            <w:gridSpan w:val="4"/>
          </w:tcPr>
          <w:p>
            <w:pPr>
              <w:jc w:val="right"/>
              <w:ind w:right="335"/>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1,927</w:t>
            </w:r>
          </w:p>
        </w:tc>
        <w:tc>
          <w:tcPr>
            <w:tcW w:w="5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r>
      <w:tr>
        <w:trPr>
          <w:trHeight w:val="21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r>
      <w:tr>
        <w:trPr>
          <w:trHeight w:val="218"/>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6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and related gross realized gains (losses) included within net investment income were as follows for the nine month periods ended September 30, 2019 and 2020, respectively:</w:t>
      </w:r>
    </w:p>
    <w:p>
      <w:pPr>
        <w:spacing w:after="0" w:line="189"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500"/>
        <w:spacing w:after="0" w:line="230"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360" w:type="dxa"/>
        <w:tblCellMar>
          <w:top w:w="0" w:type="dxa"/>
          <w:left w:w="0" w:type="dxa"/>
          <w:bottom w:w="0" w:type="dxa"/>
          <w:right w:w="0" w:type="dxa"/>
        </w:tblCellMar>
      </w:tblPr>
      <w:tr>
        <w:trPr>
          <w:trHeight w:val="139"/>
        </w:trPr>
        <w:tc>
          <w:tcPr>
            <w:tcW w:w="6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r>
      <w:tr>
        <w:trPr>
          <w:trHeight w:val="139"/>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435"/>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r>
      <w:tr>
        <w:trPr>
          <w:trHeight w:val="21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9"/>
              </w:rPr>
              <w:t>172,164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166,024</w:t>
            </w:r>
          </w:p>
        </w:tc>
      </w:tr>
      <w:tr>
        <w:trPr>
          <w:trHeight w:val="21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56,701</w:t>
            </w:r>
          </w:p>
        </w:tc>
      </w:tr>
      <w:tr>
        <w:trPr>
          <w:trHeight w:val="26"/>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r>
      <w:tr>
        <w:trPr>
          <w:trHeight w:val="21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2"/>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r>
      <w:tr>
        <w:trPr>
          <w:trHeight w:val="20"/>
        </w:trPr>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As of December 31, 2019 and September 30, 2020, the Corporation had $3.7 million and $3.7 million, respectively, in deposits with various states and regulatory bodies.</w:t>
      </w:r>
    </w:p>
    <w:p>
      <w:pPr>
        <w:spacing w:after="0" w:line="1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060"/>
          </w:cols>
          <w:pgMar w:left="320" w:top="450" w:right="51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fair value measurements for items that are measured at fair value on a recurring basis as of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and September 30, 2020, respectively:</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4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8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7"/>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1920" w:type="dxa"/>
            <w:vAlign w:val="bottom"/>
            <w:gridSpan w:val="3"/>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56,428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56,428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138,561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138,561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payable</w:t>
            </w:r>
          </w:p>
        </w:tc>
        <w:tc>
          <w:tcPr>
            <w:tcW w:w="1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920" w:type="dxa"/>
            <w:vAlign w:val="bottom"/>
            <w:gridSpan w:val="3"/>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156,233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24"/>
                <w:szCs w:val="24"/>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63"/>
        </w:trPr>
        <w:tc>
          <w:tcPr>
            <w:tcW w:w="4520" w:type="dxa"/>
            <w:vAlign w:val="bottom"/>
            <w:gridSpan w:val="4"/>
            <w:vMerge w:val="continue"/>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7"/>
          </w:tcPr>
          <w:p>
            <w:pPr>
              <w:jc w:val="right"/>
              <w:ind w:right="66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1920" w:type="dxa"/>
            <w:vAlign w:val="bottom"/>
            <w:gridSpan w:val="3"/>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6"/>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$ 110,477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110,477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76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4"/>
              </w:rPr>
              <w:t>$ 110,477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110,477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payable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49,402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7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$ 100,488</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100,488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400" w:firstLine="449"/>
        <w:spacing w:after="0" w:line="270" w:lineRule="auto"/>
        <w:rPr>
          <w:sz w:val="20"/>
          <w:szCs w:val="20"/>
          <w:color w:val="auto"/>
        </w:rPr>
      </w:pPr>
      <w:r>
        <w:rPr>
          <w:rFonts w:ascii="Times New Roman" w:cs="Times New Roman" w:eastAsia="Times New Roman" w:hAnsi="Times New Roman"/>
          <w:sz w:val="18"/>
          <w:szCs w:val="18"/>
          <w:color w:val="auto"/>
        </w:rPr>
        <w:t>See Note 10 “Notes and securities payable”, Note 11 “Warrants payable”, and Note 12 “Derivative liabilities” for additional information regarding liabilities.</w:t>
      </w:r>
    </w:p>
    <w:p>
      <w:pPr>
        <w:spacing w:after="0" w:line="16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fair value of convertible securities is based on level 3 inputs. The estimated fair value of the convertible securities was $251.9 million at December 31, 2019, and $380.6 million at September 30, 2020. The significant unobservable inputs used in the Black-Scholes model to measure the convertible securities and derivative liabilities as of December 31, 2019 and September 30, 2020, are as follows: (the stock price and strike price are presented in thousands):</w:t>
      </w:r>
    </w:p>
    <w:p>
      <w:pPr>
        <w:spacing w:after="0" w:line="205"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14"/>
                <w:szCs w:val="14"/>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Convertible securities</w:t>
            </w:r>
          </w:p>
        </w:tc>
        <w:tc>
          <w:tcPr>
            <w:tcW w:w="220" w:type="dxa"/>
            <w:vAlign w:val="bottom"/>
          </w:tcPr>
          <w:p>
            <w:pPr>
              <w:spacing w:after="0"/>
              <w:rPr>
                <w:sz w:val="14"/>
                <w:szCs w:val="14"/>
                <w:color w:val="auto"/>
              </w:rPr>
            </w:pP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0"/>
        </w:trPr>
        <w:tc>
          <w:tcPr>
            <w:tcW w:w="114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8"/>
        </w:trPr>
        <w:tc>
          <w:tcPr>
            <w:tcW w:w="5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 stock price (total value)</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305,132 - $357,802</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305,132 - $357,802</w:t>
            </w:r>
          </w:p>
        </w:tc>
        <w:tc>
          <w:tcPr>
            <w:tcW w:w="80" w:type="dxa"/>
            <w:vAlign w:val="bottom"/>
            <w:shd w:val="clear" w:color="auto" w:fill="CCEEFF"/>
          </w:tcPr>
          <w:p>
            <w:pPr>
              <w:spacing w:after="0"/>
              <w:rPr>
                <w:sz w:val="17"/>
                <w:szCs w:val="17"/>
                <w:color w:val="auto"/>
              </w:rPr>
            </w:pPr>
          </w:p>
        </w:tc>
      </w:tr>
      <w:tr>
        <w:trPr>
          <w:trHeight w:val="212"/>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Strike price (total value)</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462,012 - $531,315</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462,012 - $965,184</w:t>
            </w:r>
          </w:p>
        </w:tc>
      </w:tr>
      <w:tr>
        <w:trPr>
          <w:trHeight w:val="212"/>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 - 49%</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 - 49%</w:t>
            </w:r>
          </w:p>
        </w:tc>
      </w:tr>
      <w:tr>
        <w:trPr>
          <w:trHeight w:val="212"/>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80" w:type="dxa"/>
            <w:vAlign w:val="bottom"/>
          </w:tcPr>
          <w:p>
            <w:pPr>
              <w:spacing w:after="0"/>
              <w:rPr>
                <w:sz w:val="18"/>
                <w:szCs w:val="18"/>
                <w:color w:val="auto"/>
              </w:rPr>
            </w:pPr>
          </w:p>
        </w:tc>
        <w:tc>
          <w:tcPr>
            <w:tcW w:w="21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2-3 years</w:t>
            </w:r>
          </w:p>
        </w:tc>
        <w:tc>
          <w:tcPr>
            <w:tcW w:w="22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years</w:t>
            </w:r>
          </w:p>
        </w:tc>
      </w:tr>
      <w:tr>
        <w:trPr>
          <w:trHeight w:val="212"/>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1.58% - 1.62%</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- 1.62%</w:t>
            </w:r>
          </w:p>
        </w:tc>
        <w:tc>
          <w:tcPr>
            <w:tcW w:w="80" w:type="dxa"/>
            <w:vAlign w:val="bottom"/>
            <w:shd w:val="clear" w:color="auto" w:fill="CCEEFF"/>
          </w:tcPr>
          <w:p>
            <w:pPr>
              <w:spacing w:after="0"/>
              <w:rPr>
                <w:sz w:val="18"/>
                <w:szCs w:val="18"/>
                <w:color w:val="auto"/>
              </w:rPr>
            </w:pPr>
          </w:p>
        </w:tc>
      </w:tr>
      <w:tr>
        <w:trPr>
          <w:trHeight w:val="22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 factor</w:t>
            </w:r>
          </w:p>
        </w:tc>
        <w:tc>
          <w:tcPr>
            <w:tcW w:w="180" w:type="dxa"/>
            <w:vAlign w:val="bottom"/>
          </w:tcPr>
          <w:p>
            <w:pPr>
              <w:spacing w:after="0"/>
              <w:rPr>
                <w:sz w:val="19"/>
                <w:szCs w:val="19"/>
                <w:color w:val="auto"/>
              </w:rPr>
            </w:pPr>
          </w:p>
        </w:tc>
        <w:tc>
          <w:tcPr>
            <w:tcW w:w="2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386"/>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September 30, 2020</w:t>
            </w: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Convertible securities</w:t>
            </w:r>
          </w:p>
        </w:tc>
        <w:tc>
          <w:tcPr>
            <w:tcW w:w="220" w:type="dxa"/>
            <w:vAlign w:val="bottom"/>
          </w:tcPr>
          <w:p>
            <w:pPr>
              <w:spacing w:after="0"/>
              <w:rPr>
                <w:sz w:val="24"/>
                <w:szCs w:val="24"/>
                <w:color w:val="auto"/>
              </w:rPr>
            </w:pP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8"/>
        </w:trPr>
        <w:tc>
          <w:tcPr>
            <w:tcW w:w="5100" w:type="dxa"/>
            <w:vAlign w:val="bottom"/>
            <w:tcBorders>
              <w:top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 stock price (total value)</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617,625 - $661,263</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617,625 - $661,263</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Strike price (total value)</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411,348 - $500,418</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620,545 - $868,821</w:t>
            </w:r>
          </w:p>
        </w:tc>
      </w:tr>
      <w:tr>
        <w:trPr>
          <w:trHeight w:val="212"/>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 - 58%</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 - 58%</w:t>
            </w:r>
          </w:p>
        </w:tc>
      </w:tr>
      <w:tr>
        <w:trPr>
          <w:trHeight w:val="212"/>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80" w:type="dxa"/>
            <w:vAlign w:val="bottom"/>
          </w:tcPr>
          <w:p>
            <w:pPr>
              <w:spacing w:after="0"/>
              <w:rPr>
                <w:sz w:val="18"/>
                <w:szCs w:val="18"/>
                <w:color w:val="auto"/>
              </w:rPr>
            </w:pPr>
          </w:p>
        </w:tc>
        <w:tc>
          <w:tcPr>
            <w:tcW w:w="21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0-2 years</w:t>
            </w:r>
          </w:p>
        </w:tc>
        <w:tc>
          <w:tcPr>
            <w:tcW w:w="22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 years</w:t>
            </w:r>
          </w:p>
        </w:tc>
      </w:tr>
      <w:tr>
        <w:trPr>
          <w:trHeight w:val="212"/>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0.10% - 0.13%</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- 0.13%</w:t>
            </w:r>
          </w:p>
        </w:tc>
        <w:tc>
          <w:tcPr>
            <w:tcW w:w="80" w:type="dxa"/>
            <w:vAlign w:val="bottom"/>
            <w:shd w:val="clear" w:color="auto" w:fill="CCEEFF"/>
          </w:tcPr>
          <w:p>
            <w:pPr>
              <w:spacing w:after="0"/>
              <w:rPr>
                <w:sz w:val="18"/>
                <w:szCs w:val="18"/>
                <w:color w:val="auto"/>
              </w:rPr>
            </w:pPr>
          </w:p>
        </w:tc>
      </w:tr>
      <w:tr>
        <w:trPr>
          <w:trHeight w:val="22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 factor</w:t>
            </w:r>
          </w:p>
        </w:tc>
        <w:tc>
          <w:tcPr>
            <w:tcW w:w="180" w:type="dxa"/>
            <w:vAlign w:val="bottom"/>
          </w:tcPr>
          <w:p>
            <w:pPr>
              <w:spacing w:after="0"/>
              <w:rPr>
                <w:sz w:val="19"/>
                <w:szCs w:val="19"/>
                <w:color w:val="auto"/>
              </w:rPr>
            </w:pPr>
          </w:p>
        </w:tc>
        <w:tc>
          <w:tcPr>
            <w:tcW w:w="2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76" w:lineRule="exact"/>
        <w:rPr>
          <w:sz w:val="20"/>
          <w:szCs w:val="20"/>
          <w:color w:val="auto"/>
        </w:rPr>
      </w:pPr>
    </w:p>
    <w:p>
      <w:pPr>
        <w:ind w:right="420" w:firstLine="449"/>
        <w:spacing w:after="0" w:line="270" w:lineRule="auto"/>
        <w:rPr>
          <w:sz w:val="20"/>
          <w:szCs w:val="20"/>
          <w:color w:val="auto"/>
        </w:rPr>
      </w:pPr>
      <w:r>
        <w:rPr>
          <w:rFonts w:ascii="Times New Roman" w:cs="Times New Roman" w:eastAsia="Times New Roman" w:hAnsi="Times New Roman"/>
          <w:sz w:val="18"/>
          <w:szCs w:val="18"/>
          <w:color w:val="auto"/>
        </w:rPr>
        <w:t>The stock price and strike price were used in multiple scenarios as part of the with and without approach to determine the fair value of convertible securities, and the derivative liabilities were calculated on a total value</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80"/>
          </w:cols>
          <w:pgMar w:left="320" w:top="450" w:right="399" w:bottom="1440" w:gutter="0" w:footer="0" w:header="0"/>
        </w:sectPr>
      </w:pPr>
    </w:p>
    <w:bookmarkStart w:id="305" w:name="page306"/>
    <w:bookmarkEnd w:id="3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basis. The stock price was calculated as the product of (i) the estimated number of conversion shares under the scenarios and (ii) the value per Series D preferred share at the valuation date. The strike price was equal to the effective value received by the holder upon the conversion of the convertible securities under the scenarios, calculated as the product of (i) principal and accrued interest at the conversion date and (ii) 1 / discount factor.</w:t>
      </w:r>
    </w:p>
    <w:p>
      <w:pPr>
        <w:spacing w:after="0" w:line="179" w:lineRule="exact"/>
        <w:rPr>
          <w:sz w:val="20"/>
          <w:szCs w:val="20"/>
          <w:color w:val="auto"/>
        </w:rPr>
      </w:pPr>
    </w:p>
    <w:p>
      <w:pPr>
        <w:ind w:right="200" w:firstLine="449"/>
        <w:spacing w:after="0" w:line="270" w:lineRule="auto"/>
        <w:rPr>
          <w:sz w:val="20"/>
          <w:szCs w:val="20"/>
          <w:color w:val="auto"/>
        </w:rPr>
      </w:pPr>
      <w:r>
        <w:rPr>
          <w:rFonts w:ascii="Times New Roman" w:cs="Times New Roman" w:eastAsia="Times New Roman" w:hAnsi="Times New Roman"/>
          <w:sz w:val="18"/>
          <w:szCs w:val="18"/>
          <w:color w:val="auto"/>
        </w:rPr>
        <w:t>The significant unobservable inputs used in the Black-Scholes model to measure the warrants payable that are categorized within Level 3 of the fair value hierarchy, as of the years ended December 31, 2019 and September 30, 2020, respectively, are as follows:</w:t>
      </w:r>
    </w:p>
    <w:p>
      <w:pPr>
        <w:spacing w:after="0" w:line="173"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December 31, 2019</w:t>
            </w:r>
          </w:p>
        </w:tc>
        <w:tc>
          <w:tcPr>
            <w:tcW w:w="2120" w:type="dxa"/>
            <w:vAlign w:val="bottom"/>
            <w:gridSpan w:val="2"/>
            <w:vMerge w:val="restart"/>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7"/>
        </w:trPr>
        <w:tc>
          <w:tcPr>
            <w:tcW w:w="1140" w:type="dxa"/>
            <w:vAlign w:val="bottom"/>
            <w:tcBorders>
              <w:bottom w:val="single" w:sz="8" w:color="auto"/>
            </w:tcBorders>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4"/>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purchase warrants</w:t>
            </w:r>
          </w:p>
        </w:tc>
        <w:tc>
          <w:tcPr>
            <w:tcW w:w="600" w:type="dxa"/>
            <w:vAlign w:val="bottom"/>
          </w:tcPr>
          <w:p>
            <w:pPr>
              <w:spacing w:after="0"/>
              <w:rPr>
                <w:sz w:val="15"/>
                <w:szCs w:val="15"/>
                <w:color w:val="auto"/>
              </w:rPr>
            </w:pPr>
          </w:p>
        </w:tc>
        <w:tc>
          <w:tcPr>
            <w:tcW w:w="1200" w:type="dxa"/>
            <w:vAlign w:val="bottom"/>
            <w:gridSpan w:val="3"/>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purchase warrants</w:t>
            </w:r>
          </w:p>
        </w:tc>
        <w:tc>
          <w:tcPr>
            <w:tcW w:w="0" w:type="dxa"/>
            <w:vAlign w:val="bottom"/>
          </w:tcPr>
          <w:p>
            <w:pPr>
              <w:spacing w:after="0"/>
              <w:rPr>
                <w:sz w:val="1"/>
                <w:szCs w:val="1"/>
                <w:color w:val="auto"/>
              </w:rPr>
            </w:pPr>
          </w:p>
        </w:tc>
      </w:tr>
      <w:tr>
        <w:trPr>
          <w:trHeight w:val="198"/>
        </w:trPr>
        <w:tc>
          <w:tcPr>
            <w:tcW w:w="3260" w:type="dxa"/>
            <w:vAlign w:val="bottom"/>
            <w:tcBorders>
              <w:top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 stock price</w:t>
            </w:r>
          </w:p>
        </w:tc>
        <w:tc>
          <w:tcPr>
            <w:tcW w:w="1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10.27</w:t>
            </w: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17.27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2"/>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45% - 49%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81.1% - 84.6%</w:t>
            </w:r>
          </w:p>
        </w:tc>
        <w:tc>
          <w:tcPr>
            <w:tcW w:w="0" w:type="dxa"/>
            <w:vAlign w:val="bottom"/>
          </w:tcPr>
          <w:p>
            <w:pPr>
              <w:spacing w:after="0"/>
              <w:rPr>
                <w:sz w:val="1"/>
                <w:szCs w:val="1"/>
                <w:color w:val="auto"/>
              </w:rPr>
            </w:pPr>
          </w:p>
        </w:tc>
      </w:tr>
      <w:tr>
        <w:trPr>
          <w:trHeight w:val="21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2-3 years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12"/>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1.58% - 1.62%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1.58% - 1.62%</w:t>
            </w:r>
          </w:p>
        </w:tc>
        <w:tc>
          <w:tcPr>
            <w:tcW w:w="0" w:type="dxa"/>
            <w:vAlign w:val="bottom"/>
          </w:tcPr>
          <w:p>
            <w:pPr>
              <w:spacing w:after="0"/>
              <w:rPr>
                <w:sz w:val="1"/>
                <w:szCs w:val="1"/>
                <w:color w:val="auto"/>
              </w:rPr>
            </w:pPr>
          </w:p>
        </w:tc>
      </w:tr>
      <w:tr>
        <w:trPr>
          <w:trHeight w:val="229"/>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 factor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41"/>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September 30, 2020</w:t>
            </w:r>
          </w:p>
        </w:tc>
        <w:tc>
          <w:tcPr>
            <w:tcW w:w="2080" w:type="dxa"/>
            <w:vAlign w:val="bottom"/>
            <w:vMerge w:val="restart"/>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7"/>
        </w:trPr>
        <w:tc>
          <w:tcPr>
            <w:tcW w:w="1180" w:type="dxa"/>
            <w:vAlign w:val="bottom"/>
            <w:tcBorders>
              <w:bottom w:val="single" w:sz="8" w:color="auto"/>
            </w:tcBorders>
            <w:gridSpan w:val="2"/>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76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purchase warrants</w:t>
            </w:r>
          </w:p>
        </w:tc>
        <w:tc>
          <w:tcPr>
            <w:tcW w:w="600" w:type="dxa"/>
            <w:vAlign w:val="bottom"/>
          </w:tcPr>
          <w:p>
            <w:pPr>
              <w:spacing w:after="0"/>
              <w:rPr>
                <w:sz w:val="15"/>
                <w:szCs w:val="15"/>
                <w:color w:val="auto"/>
              </w:rPr>
            </w:pPr>
          </w:p>
        </w:tc>
        <w:tc>
          <w:tcPr>
            <w:tcW w:w="1200" w:type="dxa"/>
            <w:vAlign w:val="bottom"/>
            <w:gridSpan w:val="3"/>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purchase warrants</w:t>
            </w:r>
          </w:p>
        </w:tc>
        <w:tc>
          <w:tcPr>
            <w:tcW w:w="0" w:type="dxa"/>
            <w:vAlign w:val="bottom"/>
          </w:tcPr>
          <w:p>
            <w:pPr>
              <w:spacing w:after="0"/>
              <w:rPr>
                <w:sz w:val="1"/>
                <w:szCs w:val="1"/>
                <w:color w:val="auto"/>
              </w:rPr>
            </w:pPr>
          </w:p>
        </w:tc>
      </w:tr>
      <w:tr>
        <w:trPr>
          <w:trHeight w:val="198"/>
        </w:trPr>
        <w:tc>
          <w:tcPr>
            <w:tcW w:w="3260" w:type="dxa"/>
            <w:vAlign w:val="bottom"/>
            <w:tcBorders>
              <w:top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 stock price</w:t>
            </w: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19.77</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19.49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8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17.27</w:t>
            </w: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2"/>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 - 58%</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 - 59%</w:t>
            </w:r>
          </w:p>
        </w:tc>
        <w:tc>
          <w:tcPr>
            <w:tcW w:w="0" w:type="dxa"/>
            <w:vAlign w:val="bottom"/>
          </w:tcPr>
          <w:p>
            <w:pPr>
              <w:spacing w:after="0"/>
              <w:rPr>
                <w:sz w:val="1"/>
                <w:szCs w:val="1"/>
                <w:color w:val="auto"/>
              </w:rPr>
            </w:pPr>
          </w:p>
        </w:tc>
      </w:tr>
      <w:tr>
        <w:trPr>
          <w:trHeight w:val="21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0-2 years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 years</w:t>
            </w:r>
          </w:p>
        </w:tc>
        <w:tc>
          <w:tcPr>
            <w:tcW w:w="0" w:type="dxa"/>
            <w:vAlign w:val="bottom"/>
          </w:tcPr>
          <w:p>
            <w:pPr>
              <w:spacing w:after="0"/>
              <w:rPr>
                <w:sz w:val="1"/>
                <w:szCs w:val="1"/>
                <w:color w:val="auto"/>
              </w:rPr>
            </w:pPr>
          </w:p>
        </w:tc>
      </w:tr>
      <w:tr>
        <w:trPr>
          <w:trHeight w:val="212"/>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 - 0.13%</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0.10% - 0.13%</w:t>
            </w:r>
          </w:p>
        </w:tc>
        <w:tc>
          <w:tcPr>
            <w:tcW w:w="0" w:type="dxa"/>
            <w:vAlign w:val="bottom"/>
          </w:tcPr>
          <w:p>
            <w:pPr>
              <w:spacing w:after="0"/>
              <w:rPr>
                <w:sz w:val="1"/>
                <w:szCs w:val="1"/>
                <w:color w:val="auto"/>
              </w:rPr>
            </w:pPr>
          </w:p>
        </w:tc>
      </w:tr>
      <w:tr>
        <w:trPr>
          <w:trHeight w:val="229"/>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 factor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value of level 3 assets are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2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3"/>
                <w:szCs w:val="13"/>
                <w:color w:val="auto"/>
              </w:rPr>
            </w:pPr>
          </w:p>
        </w:tc>
        <w:tc>
          <w:tcPr>
            <w:tcW w:w="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ind w:left="380"/>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88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251,885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138,561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$ 17,672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408,118</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Issuances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Transfers in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losses (gains)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128,758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(87,475)</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31,730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73,013</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September 30, 2020</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380,643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51,086</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$ 49,402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481,131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in and out of Level 3 financial assets or liabilities for the nine month periods ended September 30, 2019 or 2020.</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112" w:lineRule="exact"/>
        <w:rPr>
          <w:sz w:val="20"/>
          <w:szCs w:val="20"/>
          <w:color w:val="auto"/>
        </w:rPr>
      </w:pPr>
    </w:p>
    <w:p>
      <w:pPr>
        <w:ind w:right="280" w:firstLine="449"/>
        <w:spacing w:after="0" w:line="253" w:lineRule="auto"/>
        <w:rPr>
          <w:sz w:val="20"/>
          <w:szCs w:val="20"/>
          <w:color w:val="auto"/>
        </w:rPr>
      </w:pPr>
      <w:r>
        <w:rPr>
          <w:rFonts w:ascii="Times New Roman" w:cs="Times New Roman" w:eastAsia="Times New Roman" w:hAnsi="Times New Roman"/>
          <w:sz w:val="18"/>
          <w:szCs w:val="18"/>
          <w:color w:val="auto"/>
        </w:rPr>
        <w:t>On February 28, 2019, the Corporation entered into a securities purchase agreement with Censeo Health, LLC, to acquire 100% of the outstanding equity interests of Principium Health, LLC (“Principium”) and Medical Service Professionals of NJ, LLC (“MSPNJ”), providers of in-home chronic care management services, for a total purchase price of approximately $1.4 million. The goodwill resulting from the transaction that was recorded by the Corporation was approximately $1.2 million.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080"/>
          </w:cols>
          <w:pgMar w:left="320" w:top="450" w:right="499" w:bottom="1440" w:gutter="0" w:footer="0" w:header="0"/>
        </w:sectPr>
      </w:pPr>
    </w:p>
    <w:bookmarkStart w:id="306" w:name="page307"/>
    <w:bookmarkEnd w:id="3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Healthcare receivables</w:t>
      </w:r>
    </w:p>
    <w:p>
      <w:pPr>
        <w:spacing w:after="0" w:line="11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December 31, 2019 and September 30, 2020, the Corporation recognized rebate receivables of approximately $17.5 million and $24.3 million, respectively. In addition to pharmaceutical rebates, Medicare Part D settlement receivables, member premium receivables and other CMS receivables included in the balance totaled $8.3 million and $10.0 million at December 31, 2019 and September 30, 2020,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14"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The Corporation has various contracts with IJKG Opco LLC (d/b/a CarePoint Health—Bayonne Medical Center), Hudson Hospital Opco LLC (d/b/a CarePoint Health—Christ Hospital) and Hoboken University Medical Center (“HUMC”) Opco LLC (d/b/a CarePoint Health—Hoboken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$9.4 million and $5.3 million for the nine month periods ended September 30, 2019 and 2020,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payable to related parties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Corporation has entered into various securities payable with certain related parties as further discussed in Note 10 “Notes and securities payable”.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12"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7"/>
          <w:szCs w:val="17"/>
          <w:color w:val="auto"/>
        </w:rPr>
        <w:t>Other intangible assets were $3.0 million and $3.0 million as of December 31, 2019 and September 30, 2020, respectively. The other intangible assets consist of licenses with indefinite useful lives that are related to Certificates of Operating Authority in 45 states and the District of Columbia. Goodwill was $1.2 million as of December 31, 2019, and $1.2 million as of September 30, 2020. Intangible assets with indefinite useful lives and goodwill are not amortized but are tested for impairment at least annually, or more frequently if events or changes in circumstances indicate that the assets may be impaired. As of December 31, 2019 and September 30 2020, there were no circumstances that indicate that the carrying amount of intangible assets deemed to have an indefinite useful life may not be recoverable. No impairment was recorded during the nine month periods ended September 30, 2019 and 2020, respectively.</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200"/>
          </w:cols>
          <w:pgMar w:left="320" w:top="450" w:right="379" w:bottom="1440" w:gutter="0" w:footer="0" w:header="0"/>
        </w:sectPr>
      </w:pPr>
    </w:p>
    <w:bookmarkStart w:id="307" w:name="page308"/>
    <w:bookmarkEnd w:id="3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Unpaid claims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liability for unpaid claims, including claims adjustment expenses, is summarized as follows: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76"/>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45"/>
        </w:trPr>
        <w:tc>
          <w:tcPr>
            <w:tcW w:w="2060" w:type="dxa"/>
            <w:vAlign w:val="bottom"/>
            <w:tcBorders>
              <w:top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453"/>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balance, beginning of period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54,004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77,886</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reinsurance recoverable, 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(12,344)</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2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balance,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77,886</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340,079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425,941</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(2,638)</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(15,401)</w:t>
            </w:r>
          </w:p>
        </w:tc>
      </w:tr>
      <w:tr>
        <w:trPr>
          <w:trHeight w:val="26"/>
        </w:trPr>
        <w:tc>
          <w:tcPr>
            <w:tcW w:w="2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incurred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337,441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410,540</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279,545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339,252</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55,559</w:t>
            </w:r>
          </w:p>
        </w:tc>
      </w:tr>
      <w:tr>
        <w:trPr>
          <w:trHeight w:val="26"/>
        </w:trPr>
        <w:tc>
          <w:tcPr>
            <w:tcW w:w="2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316,433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394,811</w:t>
            </w:r>
          </w:p>
        </w:tc>
      </w:tr>
      <w:tr>
        <w:trPr>
          <w:trHeight w:val="212"/>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balance, end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62,668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93,615</w:t>
            </w:r>
          </w:p>
        </w:tc>
      </w:tr>
      <w:tr>
        <w:trPr>
          <w:trHeight w:val="212"/>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 end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balance, end of period</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93,615</w:t>
            </w:r>
          </w:p>
        </w:tc>
        <w:tc>
          <w:tcPr>
            <w:tcW w:w="120" w:type="dxa"/>
            <w:vAlign w:val="bottom"/>
          </w:tcPr>
          <w:p>
            <w:pPr>
              <w:spacing w:after="0"/>
              <w:rPr>
                <w:sz w:val="18"/>
                <w:szCs w:val="18"/>
                <w:color w:val="auto"/>
              </w:rPr>
            </w:pPr>
          </w:p>
        </w:tc>
      </w:tr>
      <w:tr>
        <w:trPr>
          <w:trHeight w:val="20"/>
        </w:trPr>
        <w:tc>
          <w:tcPr>
            <w:tcW w:w="2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00" w:firstLine="449"/>
        <w:spacing w:after="0" w:line="251" w:lineRule="auto"/>
        <w:rPr>
          <w:sz w:val="20"/>
          <w:szCs w:val="20"/>
          <w:color w:val="auto"/>
        </w:rPr>
      </w:pPr>
      <w:r>
        <w:rPr>
          <w:rFonts w:ascii="Times New Roman" w:cs="Times New Roman" w:eastAsia="Times New Roman" w:hAnsi="Times New Roman"/>
          <w:sz w:val="18"/>
          <w:szCs w:val="18"/>
          <w:color w:val="auto"/>
        </w:rPr>
        <w:t>Unpaid claims as of September 30, 2020, were $93.6 million. As of September 30, 2020, $55.6 million has been paid for incurred claims and claims adjustment expenses attributable to insured events of prior years. The favorable development recognized in 2020 resulted from the actual experience developing differently from estimates as of December 31, 2019. Original estimates are increased or decreased, as additional information becomes known regarding individual claims. The ratio of current year medical claims paid as a percent of current year net medical claims incurred was 82.2% for the nine month period ended September 30, 2019, and 79.6% for the nine month period ended September 30, 2020.</w:t>
      </w:r>
    </w:p>
    <w:p>
      <w:pPr>
        <w:spacing w:after="0" w:line="187"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The Corporation did not have any significant changes in methodologies or assumptions used in the calculation of the liability for unpaid claims or claims adjustment expenses.</w:t>
      </w:r>
    </w:p>
    <w:p>
      <w:pPr>
        <w:spacing w:after="0" w:line="169"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Corporation uses a variety of standard actuarial techniques to establish unpaid claims reserves. Management estimates are supported by the Corporation’s annual actuarial analysis. The Corporation utilized an in-house actuary to review the adequacy of unpaid claim and unpaid claim adjustment expense. Management believes that the current reserves are adequate based on the available information. The estimation of claim costs is inherently difficult and requires significant judgement. The estimation has considerable inherent variability can vary significantly depending upon several factors, including medical cost trends and claim payment patterns, general economic conditions and regulatory changes. Only time and the eventual resolution of each claim will determine whether the claim reserves will ultimately prove to be adequate. The time value of money is not taken into account for the purposes of calculating the liability for unpaid claims.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Notes and securities payable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Non-convertible notes</w:t>
      </w:r>
    </w:p>
    <w:p>
      <w:pPr>
        <w:spacing w:after="0" w:line="114"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On March 21, 2017, the Corporation entered into a loan facility (the “Loan Facility) for an aggregate principal amount of $60.0 million. In March 2017, the Corporation drew down $40.0 million under the Loan</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200"/>
          </w:cols>
          <w:pgMar w:left="320" w:top="450" w:right="379" w:bottom="1440" w:gutter="0" w:footer="0" w:header="0"/>
        </w:sectPr>
      </w:pPr>
    </w:p>
    <w:bookmarkStart w:id="308" w:name="page309"/>
    <w:bookmarkEnd w:id="3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Facility. The proceeds were used to pay all obligations under a $30.0 million 2015 senior secured note, and to provide additional working capital for the Corporation’s subsidiaries. The Loan Facility is secured by the assets of the Corporation. The initial obligation has a maturity date of March 1, 2022, and is subject to an interest rate of 11%, payable monthly, with the majority of principal payments commencing 36 months prior to the maturity date. In October 2017, the Corporation drew down the remaining $20.0 million under the Loan Facility. The additional obligation has a maturity date of October 1, 2022, and is subject to an interest rate of 11.25%, payable monthly, with the majority of principal payments commencing 36 months prior to the maturity date. In conjunction with the Loan Facility, the Corporation issued warrants. See Note 11 “Warrants payable” for additional information.</w:t>
      </w:r>
    </w:p>
    <w:p>
      <w:pPr>
        <w:spacing w:after="0" w:line="187" w:lineRule="exact"/>
        <w:rPr>
          <w:sz w:val="20"/>
          <w:szCs w:val="20"/>
          <w:color w:val="auto"/>
        </w:rPr>
      </w:pPr>
    </w:p>
    <w:p>
      <w:pPr>
        <w:ind w:right="260" w:firstLine="449"/>
        <w:spacing w:after="0" w:line="270" w:lineRule="auto"/>
        <w:rPr>
          <w:sz w:val="20"/>
          <w:szCs w:val="20"/>
          <w:color w:val="auto"/>
        </w:rPr>
      </w:pPr>
      <w:r>
        <w:rPr>
          <w:rFonts w:ascii="Times New Roman" w:cs="Times New Roman" w:eastAsia="Times New Roman" w:hAnsi="Times New Roman"/>
          <w:sz w:val="18"/>
          <w:szCs w:val="18"/>
          <w:color w:val="auto"/>
        </w:rPr>
        <w:t>The Corporation capitalized approximately $0.3 million of debt issuance costs associated with the Loan Facility, which are being amortized using the effective interest method over the term of the Loan Facility.</w:t>
      </w:r>
    </w:p>
    <w:p>
      <w:pPr>
        <w:spacing w:after="0" w:line="16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carrying amount of the Loan Facility was approximately $49.3 million and $35.6 million at December 31, 2019 and September 30, 2020, respectively. Amortization of debt discounts associated with the warrants and debt issuance costs was approximately $0.3 million and $0.2 million during the nine month periods ended September 30, 2019 and 2020, respectively. Interest expense was approximately $4.8 million and $3.5 million during the nine month periods ended September 30, 2019 and 2020, respectively. The effective interest rate was 11.77% and 11.78% during the nine month periods ended September 30, 2019 and 2020,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w:t>
      </w:r>
    </w:p>
    <w:p>
      <w:pPr>
        <w:spacing w:after="0" w:line="114"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In connection with the Convertible Securities Purchase Agreement (the “Convertible Agreement”) effective December 27, 2018, discussed in the “Convertible securities” section below, the Corporation entered into a series of non-convertible promissory notes agreements (“Bridge Loan”) with qualified institutional buyers for an aggregate principal amount of $30.0 million for the purpose of providing additional working capital for the Corporation’s subsidiaries. The Bridge Loan was issued to the Corporation on a bridge basis upon execution of the Convertible Agreement and accrued interest at a rate of 10%. The outstanding Bridge Loan balance at February 21, 2019 of approximately $30.4 million, inclusive of accrued interest, was settled through the issuance of convertible securities under the first tranche of the Convertible Agreement. Interest expense was approximately $0.4 million during the nine month period ended September 30, 2019, and there was no interest expense during the nine month period ended September 30,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w:t>
      </w:r>
    </w:p>
    <w:p>
      <w:pPr>
        <w:spacing w:after="0" w:line="114"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8"/>
          <w:szCs w:val="18"/>
          <w:color w:val="auto"/>
        </w:rPr>
        <w:t>On December 27, 2018, the Corporation entered into a Convertible Agreement with qualified institutional buyers, including entities affiliated with the Corporation, for an aggregate principal amount of up to $500.0 million to support the Corporation’s growth in the MA market. The convertible securities were issued during 2019 in multiple tranches and at December 31, 2019, the Corporation’s principal balance of borrowings under the Convertible Agreement was approximately $373.8 million, consisting of $343.4 million proceeds and $30.4 million related to the settlement of the Bridge Loan. The convertible securities bear a yield (“interest”) at the increasing rates noted below which compound semi-annually, and mature April 1, 2023 (“End Date”), unless earlier converted, repurchased, or extended, as discussed below.</w:t>
      </w:r>
    </w:p>
    <w:p>
      <w:pPr>
        <w:spacing w:after="0" w:line="187" w:lineRule="exact"/>
        <w:rPr>
          <w:sz w:val="20"/>
          <w:szCs w:val="20"/>
          <w:color w:val="auto"/>
        </w:rPr>
      </w:pPr>
    </w:p>
    <w:p>
      <w:pPr>
        <w:jc w:val="both"/>
        <w:ind w:right="200" w:firstLine="449"/>
        <w:spacing w:after="0" w:line="258" w:lineRule="auto"/>
        <w:rPr>
          <w:sz w:val="20"/>
          <w:szCs w:val="20"/>
          <w:color w:val="auto"/>
        </w:rPr>
      </w:pPr>
      <w:r>
        <w:rPr>
          <w:rFonts w:ascii="Times New Roman" w:cs="Times New Roman" w:eastAsia="Times New Roman" w:hAnsi="Times New Roman"/>
          <w:sz w:val="18"/>
          <w:szCs w:val="18"/>
          <w:color w:val="auto"/>
        </w:rPr>
        <w:t>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240"/>
          </w:cols>
          <w:pgMar w:left="320" w:top="450" w:right="339" w:bottom="1440" w:gutter="0" w:footer="0" w:header="0"/>
        </w:sectPr>
      </w:pPr>
    </w:p>
    <w:bookmarkStart w:id="309" w:name="page310"/>
    <w:bookmarkEnd w:id="3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factors begin at 75% for the first twelve-month period through the first anniversary of the security issue date, decreasing ratably on a semi-annual basis, to 55% at the forty-two month anniversary of the security issue date until the convertible securities cease to be outstanding.</w:t>
      </w:r>
    </w:p>
    <w:p>
      <w:pPr>
        <w:spacing w:after="0" w:line="169" w:lineRule="exact"/>
        <w:rPr>
          <w:sz w:val="20"/>
          <w:szCs w:val="20"/>
          <w:color w:val="auto"/>
        </w:rPr>
      </w:pPr>
    </w:p>
    <w:p>
      <w:pPr>
        <w:ind w:right="280" w:firstLine="449"/>
        <w:spacing w:after="0" w:line="253" w:lineRule="auto"/>
        <w:rPr>
          <w:sz w:val="20"/>
          <w:szCs w:val="20"/>
          <w:color w:val="auto"/>
        </w:rPr>
      </w:pPr>
      <w:r>
        <w:rPr>
          <w:rFonts w:ascii="Times New Roman" w:cs="Times New Roman" w:eastAsia="Times New Roman" w:hAnsi="Times New Roman"/>
          <w:sz w:val="18"/>
          <w:szCs w:val="18"/>
          <w:color w:val="auto"/>
        </w:rPr>
        <w:t>The securities issued as part of the Convertible Agreement contain the following embedded features, some of which contain components of both conversion and redemption features: mandatory conversion in a qualified public offering (“QPO”), financing conversion (security holder election), extraordinary event conversion (security holder election), end date conversion (security holder election), redemption upon default, Corporation repurchase (Corporation election), and extended end date conversion (Corporation election).</w:t>
      </w:r>
    </w:p>
    <w:p>
      <w:pPr>
        <w:spacing w:after="0" w:line="185"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8"/>
          <w:szCs w:val="18"/>
          <w:color w:val="auto"/>
        </w:rPr>
        <w:t>In the mandatory conversion in a QPO, financing conversion, and extraordinary event conversion, the outstanding principal and accrued interest will convert into capital or preferred stock, pursuant to the terms of the Convertible Agreement based on a conversion price calculated as the lesser of (i) the price per share at which the Corporation’s equity securities are issued to the public in the applicable transaction multiplied by the discount factor in effect and (ii) a price per share equal to (x) US$2.5 billion, divided by (y) the number of shares of common stock outstanding as of the closing of the applicable transaction on an as-converted, as-exercised basis as defined in the Convertible Agreement.</w:t>
      </w:r>
    </w:p>
    <w:p>
      <w:pPr>
        <w:spacing w:after="0" w:line="187"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In the end date conversion, the outstanding principal and accrued interest will convert into shares of senior preferred stock or most recent preferred stock. Shares are calculated as principal and accrued interest divided by the applicable conversion price. Conversion price is the lowest of (i) the product obtained by multiplying (x) the lowest price per share at which the Corporation issued applicable preferred stock, by (y) the discount factor, and (ii) the lowest price per share at which the Corporation issued its most recently authorized series of preferred stock and (iii) a price per share equal to (x) US$2.5 billion, divided by (y) the number of shares of common stock outstanding as of the conversion on an as-converted, as-exercised basis as defined in the Convertible Agreement.</w:t>
      </w:r>
    </w:p>
    <w:p>
      <w:pPr>
        <w:spacing w:after="0" w:line="187"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Upon the occurrence of any event of default, all accrued but unpaid expenses, and the principal and accrued interest will be immediately due and payable in full. In the event of Corporation repurchase, the Corporation would pay the security holders an amount equal to the portion being repurchased, divided by the discount factor and issuing to the security holders a warrant for a number of repurchase warrant shares equal to the repurchase amount divided by the repurchase warrant share price, with the warrant having an exercise price equal to the repurchase warrant share price. Repurchase warrant share price is calculated as the lower of (a) lowest price at which the repurchase warrant shares were originally issued and (b) the quotient obtained by dividing (x) US $2.5 billion, divided by (y) the number of shares of common stock outstanding as of the date of issuance of the applicable repurchase warrant on an as-converted, as-exercised basis as defined in the Convertible Agreement.</w:t>
      </w:r>
    </w:p>
    <w:p>
      <w:pPr>
        <w:spacing w:after="0" w:line="189" w:lineRule="exact"/>
        <w:rPr>
          <w:sz w:val="20"/>
          <w:szCs w:val="20"/>
          <w:color w:val="auto"/>
        </w:rPr>
      </w:pPr>
    </w:p>
    <w:p>
      <w:pPr>
        <w:ind w:right="120" w:firstLine="449"/>
        <w:spacing w:after="0" w:line="280" w:lineRule="auto"/>
        <w:rPr>
          <w:sz w:val="20"/>
          <w:szCs w:val="20"/>
          <w:color w:val="auto"/>
        </w:rPr>
      </w:pPr>
      <w:r>
        <w:rPr>
          <w:rFonts w:ascii="Times New Roman" w:cs="Times New Roman" w:eastAsia="Times New Roman" w:hAnsi="Times New Roman"/>
          <w:sz w:val="17"/>
          <w:szCs w:val="17"/>
          <w:color w:val="auto"/>
        </w:rPr>
        <w:t>The Corporation may elect to extend the end date until the earlier of (i) a deemed liquidation event and (ii) the end of a period designated by the Corporation of not less than 15 days and not more than 180 days (if the security holder is an original security holder or an affiliate of the original security holder), or otherwise 365 days (if the security holder is not an original security holder or an affiliate of such security holder), following the original end date.</w:t>
      </w:r>
    </w:p>
    <w:p>
      <w:pPr>
        <w:spacing w:after="0" w:line="162"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Certain conversion features were determined to be share-settled redemption features. The Corporation analyzed the embedded features for derivative accounting consideration and determined the following:</w:t>
      </w:r>
    </w:p>
    <w:p>
      <w:pPr>
        <w:spacing w:after="0" w:line="76" w:lineRule="exact"/>
        <w:rPr>
          <w:sz w:val="20"/>
          <w:szCs w:val="20"/>
          <w:color w:val="auto"/>
        </w:rPr>
      </w:pPr>
    </w:p>
    <w:p>
      <w:pPr>
        <w:ind w:left="1000" w:right="220" w:hanging="439"/>
        <w:spacing w:after="0" w:line="258"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feature in the mandatory conversion in a QPO, financing conversion and extraordinary event conversion features meet the requirements to be accounted for separately from the debt host as a derivative because the feature is not clearly and closely related to the debt host, the debt host. See Note 12 “Derivative liabilities” for additional information.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80"/>
          </w:cols>
          <w:pgMar w:left="320" w:top="450" w:right="399" w:bottom="1440" w:gutter="0" w:footer="0" w:header="0"/>
        </w:sectPr>
      </w:pPr>
    </w:p>
    <w:bookmarkStart w:id="310" w:name="page311"/>
    <w:bookmarkEnd w:id="3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1000" w:hanging="439"/>
        <w:spacing w:after="0"/>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extended end date feature requires separate accounting as a derivative. See Note 12 “Derivative liabilities” for additional information.</w:t>
      </w:r>
    </w:p>
    <w:p>
      <w:pPr>
        <w:spacing w:after="0" w:line="123" w:lineRule="exact"/>
        <w:rPr>
          <w:rFonts w:ascii="Times New Roman" w:cs="Times New Roman" w:eastAsia="Times New Roman" w:hAnsi="Times New Roman"/>
          <w:sz w:val="18"/>
          <w:szCs w:val="18"/>
          <w:color w:val="auto"/>
        </w:rPr>
      </w:pPr>
    </w:p>
    <w:p>
      <w:pPr>
        <w:ind w:left="1000" w:hanging="439"/>
        <w:spacing w:after="0" w:line="250"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date conversion feature represents a BCF with an intrinsic value that exceeded the approximately $373.8 million principal balance of the convertible securities. The BCF was recorded within equity in additional-paid-in-capital and as a discount to the convertible securities in an amount equal to the full principal amount of the securities, thus reducing the carrying value of the convertible securities to zero. The discount of $373.8 million is being accreted to the principal amount over the term of the securities, assuming a maturity of April 1, 2023, using the effective interest method. The accretion is recognized in amortization of notes and securities discounts on the Condensed Consolidated Statements of Operations and Comprehensive Loss.</w:t>
      </w:r>
    </w:p>
    <w:p>
      <w:pPr>
        <w:spacing w:after="0" w:line="94"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embedded features are clearly and closely related to the debt host and do not require separate accounting as a derivative.</w:t>
      </w:r>
    </w:p>
    <w:p>
      <w:pPr>
        <w:spacing w:after="0" w:line="216" w:lineRule="exact"/>
        <w:rPr>
          <w:sz w:val="20"/>
          <w:szCs w:val="20"/>
          <w:color w:val="auto"/>
        </w:rPr>
      </w:pPr>
    </w:p>
    <w:p>
      <w:pPr>
        <w:ind w:right="300" w:firstLine="449"/>
        <w:spacing w:after="0" w:line="248" w:lineRule="auto"/>
        <w:rPr>
          <w:sz w:val="20"/>
          <w:szCs w:val="20"/>
          <w:color w:val="auto"/>
        </w:rPr>
      </w:pPr>
      <w:r>
        <w:rPr>
          <w:rFonts w:ascii="Times New Roman" w:cs="Times New Roman" w:eastAsia="Times New Roman" w:hAnsi="Times New Roman"/>
          <w:sz w:val="18"/>
          <w:szCs w:val="18"/>
          <w:color w:val="auto"/>
        </w:rPr>
        <w:t>Since the carrying amount of the convertible securities was initially recognized as $0, debt issuance costs incurred in the amount of approximately $0.4 million were expensed on the Condensed Consolidated Statements of Operations and Comprehensive Loss during the year ended December 31, 2019. The carrying amount of the convertible securities was approximately $27.1 million and $60.8 million at December 31, 2019 and September 30, 2020, respectively. Unamortized discount was approximately $358.3 million and $343.5 million at December 31, 2019 and September 30, 2020, respectively. Amortization of the debt discount was approximately $9.8 million and $14.9 million during the nine month periods ended September 30, 2019 and 2020, respectively. Interest expense on the convertible securities was approximately $10.5 million and $22.0 million during the nine month periods ended September 30, 2019 and 2020, respectively. The effective interest rate, inclusive of amortization of the discount and the contractual rate, was in excess of 100% during the year ended December 31, 2019, as a result of the beginning convertible securities carrying value of $0. The end date conversion feature represents a BCF with an intrinsic value of $2.3 billion.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Corporation was in compliance with all applicable financial and non-financial covenants under its financing arrangements for all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Convertible Note</w:t>
      </w:r>
    </w:p>
    <w:p>
      <w:pPr>
        <w:spacing w:after="0" w:line="11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On September 25, 2020, Seek Insurance Services, Inc.(“Seek”), the Corporation’s wholly-owned subsidiary, entered into a note purchase agreement (the “Seek Convertible Note Agreement”) with a third party investor, and issued a note for a principal of $20.0 million. The principal borrowed as of September 30, 2020, was $20.0 million. The note bears simple interest at an annual rate of 8% and matures on September 25, 2023, unless earlier accelerated, converted, or paid in full, as discussed below.</w:t>
      </w:r>
    </w:p>
    <w:p>
      <w:pPr>
        <w:spacing w:after="0" w:line="185" w:lineRule="exact"/>
        <w:rPr>
          <w:sz w:val="20"/>
          <w:szCs w:val="20"/>
          <w:color w:val="auto"/>
        </w:rPr>
      </w:pPr>
    </w:p>
    <w:p>
      <w:pPr>
        <w:ind w:right="420" w:firstLine="449"/>
        <w:spacing w:after="0" w:line="270" w:lineRule="auto"/>
        <w:rPr>
          <w:sz w:val="20"/>
          <w:szCs w:val="20"/>
          <w:color w:val="auto"/>
        </w:rPr>
      </w:pPr>
      <w:r>
        <w:rPr>
          <w:rFonts w:ascii="Times New Roman" w:cs="Times New Roman" w:eastAsia="Times New Roman" w:hAnsi="Times New Roman"/>
          <w:sz w:val="18"/>
          <w:szCs w:val="18"/>
          <w:color w:val="auto"/>
        </w:rPr>
        <w:t>The outstanding principal and any accrued but unpaid interest will become immediately due and payable at the election of the note holder upon the occurrence of any Event of Default as defined in the note.</w:t>
      </w:r>
    </w:p>
    <w:p>
      <w:pPr>
        <w:spacing w:after="0" w:line="169" w:lineRule="exact"/>
        <w:rPr>
          <w:sz w:val="20"/>
          <w:szCs w:val="20"/>
          <w:color w:val="auto"/>
        </w:rPr>
      </w:pPr>
    </w:p>
    <w:p>
      <w:pPr>
        <w:ind w:right="180" w:firstLine="449"/>
        <w:spacing w:after="0" w:line="253" w:lineRule="auto"/>
        <w:rPr>
          <w:sz w:val="20"/>
          <w:szCs w:val="20"/>
          <w:color w:val="auto"/>
        </w:rPr>
      </w:pPr>
      <w:r>
        <w:rPr>
          <w:rFonts w:ascii="Times New Roman" w:cs="Times New Roman" w:eastAsia="Times New Roman" w:hAnsi="Times New Roman"/>
          <w:sz w:val="18"/>
          <w:szCs w:val="18"/>
          <w:color w:val="auto"/>
        </w:rPr>
        <w:t>Under the terms of the note Seek is obligated to repurchase the note or any shares issued upon conversion thereof for an aggregate cash purchase price equal to the outstanding principal and accrued but unpaid interest thereunder if by December 24, 2020 (i) Seek and the note holder have not entered into a binding strategic commercial partnership agreement or (ii) Seek, the Corporation and note holder have not agreed and finalized amended and restated organizational documents</w:t>
      </w:r>
    </w:p>
    <w:p>
      <w:pPr>
        <w:spacing w:after="0" w:line="185" w:lineRule="exact"/>
        <w:rPr>
          <w:sz w:val="20"/>
          <w:szCs w:val="20"/>
          <w:color w:val="auto"/>
        </w:rPr>
      </w:pPr>
    </w:p>
    <w:p>
      <w:pPr>
        <w:ind w:right="760" w:firstLine="449"/>
        <w:spacing w:after="0" w:line="270" w:lineRule="auto"/>
        <w:rPr>
          <w:sz w:val="20"/>
          <w:szCs w:val="20"/>
          <w:color w:val="auto"/>
        </w:rPr>
      </w:pPr>
      <w:r>
        <w:rPr>
          <w:rFonts w:ascii="Times New Roman" w:cs="Times New Roman" w:eastAsia="Times New Roman" w:hAnsi="Times New Roman"/>
          <w:sz w:val="18"/>
          <w:szCs w:val="18"/>
          <w:color w:val="auto"/>
        </w:rPr>
        <w:t>The outstanding principal and accrued but unpaid interest will convert into a minority equity interest in Seek if prior to maturity, repayment or conversion of the note: (1) the note holder elects to convert the note, (2) upon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240"/>
          </w:cols>
          <w:pgMar w:left="320" w:top="449" w:right="339" w:bottom="1440" w:gutter="0" w:footer="0" w:header="0"/>
        </w:sectPr>
      </w:pPr>
    </w:p>
    <w:bookmarkStart w:id="311" w:name="page312"/>
    <w:bookmarkEnd w:id="3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color w:val="auto"/>
        </w:rPr>
        <w:t>the closing of Seek’s next equity financing; or (3) upon consummation of an initial public offering of Seek’s common stock or a special purpose acquisition company (“SPAC”) or reverse merger transaction with Seek.</w:t>
      </w:r>
    </w:p>
    <w:p>
      <w:pPr>
        <w:spacing w:after="0" w:line="169"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16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The carrying amount of the note was $0 million and $19.9 million at December 31, 2019 and September 30, 2020, respectively. The Corporation capitalized $0.1 million of issuance costs which are being amortized using the effective interest method over the term of the note. Unamortized debt issue costs were $0 million and $0.1 million at December 31, 2019 and September 30, 2020, respectively. Amortization of the debt issue costs and interest expense on the note were $0 million and immaterial during the nine-month periods ended September 30, 2019 and 2020,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Warrants payable</w:t>
      </w:r>
    </w:p>
    <w:p>
      <w:pPr>
        <w:spacing w:after="0" w:line="112" w:lineRule="exact"/>
        <w:rPr>
          <w:sz w:val="20"/>
          <w:szCs w:val="20"/>
          <w:color w:val="auto"/>
        </w:rPr>
      </w:pPr>
    </w:p>
    <w:p>
      <w:pPr>
        <w:ind w:right="40" w:firstLine="449"/>
        <w:spacing w:after="0" w:line="249" w:lineRule="auto"/>
        <w:rPr>
          <w:sz w:val="20"/>
          <w:szCs w:val="20"/>
          <w:color w:val="auto"/>
        </w:rPr>
      </w:pPr>
      <w:r>
        <w:rPr>
          <w:rFonts w:ascii="Times New Roman" w:cs="Times New Roman" w:eastAsia="Times New Roman" w:hAnsi="Times New Roman"/>
          <w:sz w:val="18"/>
          <w:szCs w:val="18"/>
          <w:color w:val="auto"/>
        </w:rPr>
        <w:t>In conjunction with the Loan Facility effective March 21, 2017, the Corporation issued warrants to purchase 1,266,284 shares of the Corporation’s Series D preferred stock at an exercise price of $9.3778 per share, which expire on September 30, 2027. The warrants are exercisable at any time and up to the expiration date. In the event of an automatic conversion of the preferred stock prior to the exercise of the warrants, the warrants shall be exercisable in common stock. The warrants were accounted for as derivative instruments and the initial fair value of approximately $1.2 million, which was calculated using a Black-Scholes based valuation model, was recorded as a discount to the carrying amount of the Loan Facility. This discount is being amortized using the effective interest method over the term of the Loan Facility. The warrants were recorded as liabilities and are being marked to market at each reporting period. In the event of a change of control, the Lender may elect to exchange its warrants for a cash amount equal to $10.0 million.</w:t>
      </w:r>
    </w:p>
    <w:p>
      <w:pPr>
        <w:spacing w:after="0" w:line="189"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8"/>
          <w:szCs w:val="18"/>
          <w:color w:val="auto"/>
        </w:rPr>
        <w:t>In September 2015, the Corporation issued warrants to purchase 2,100,000 shares of the Corporation’s common stock at an exercise price of $1.04219 per share which expire on September 2, 2022. The warrants are exercisable at any time up to the expiration date. The warrants are also contingently exercisable for an additional 2,100,000 shares based proportionally on the aggregate principal amounts of additional notes borrowed by the Corporation. The warrants are being recorded at fair value and are reflected as liabilities on the Corporation’s Condensed Consolidated Balance Sheets at each reporting period. See Note 5 “Acquisition” for additional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liabilities</w:t>
      </w:r>
    </w:p>
    <w:p>
      <w:pPr>
        <w:spacing w:after="0" w:line="112"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In connection with the $373.8 million convertible securities issued in 2019, the Corporation determined that certain of the conversion and redemption features were embedded derivatives which have been bifurcated from the host instrument and accounted for as embedded derivative instruments. The Corporation recognized a $134.1 million loss and a $87.5 million gain related to derivative liabilities during the nine month periods ended September 30, 2019 and 2020, respectively. The aggregate loss was recognized in loss (gain) on derivative in the Condensed Consolidated Statements of Operations and Comprehensive Loss. The fair value of embedded derivatives was $138.6 million and $51.1 million at December 31, 2019 and September 30, 2020, respectively, and is included as derivative liabilities in the Corporation’s Condensed Consolidated Balance Sheets. See Note 4 “Fair value measurements” and Note 10 “Notes and securities payable” for additional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Letter of credit</w:t>
      </w:r>
    </w:p>
    <w:p>
      <w:pPr>
        <w:spacing w:after="0" w:line="112"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On April 19, 2018, the Corporation entered into a secured letter of credit agreement (“the Letter”) for an amount up to an aggregate of $2.5 million with a commercial lender that expires on April 19, 2021. The Letter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220"/>
          </w:cols>
          <w:pgMar w:left="320" w:top="450" w:right="359" w:bottom="1440" w:gutter="0" w:footer="0" w:header="0"/>
        </w:sectPr>
      </w:pPr>
    </w:p>
    <w:bookmarkStart w:id="312" w:name="page313"/>
    <w:bookmarkEnd w:id="3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bears an interest rate of 1%. There was an unused balance of $2.5 million and $2.5 million as of December 31, 2019 and September 30, 2020,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4"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The Corporation leases office space in New Jersey, Tennessee, and San Francisco under non-cancelable operating leases, further described below. For each lease the Corporation recorded a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The Corporation is not reasonably certain that it will exercise the renewal options described in the individual lease descriptions below. Therefore, these options are not recognized as part of the ROU asset and lease liability.</w:t>
      </w:r>
    </w:p>
    <w:p>
      <w:pPr>
        <w:spacing w:after="0" w:line="187" w:lineRule="exact"/>
        <w:rPr>
          <w:sz w:val="20"/>
          <w:szCs w:val="20"/>
          <w:color w:val="auto"/>
        </w:rPr>
      </w:pPr>
    </w:p>
    <w:p>
      <w:pPr>
        <w:ind w:right="500" w:firstLine="449"/>
        <w:spacing w:after="0" w:line="270" w:lineRule="auto"/>
        <w:rPr>
          <w:sz w:val="20"/>
          <w:szCs w:val="20"/>
          <w:color w:val="auto"/>
        </w:rPr>
      </w:pPr>
      <w:r>
        <w:rPr>
          <w:rFonts w:ascii="Times New Roman" w:cs="Times New Roman" w:eastAsia="Times New Roman" w:hAnsi="Times New Roman"/>
          <w:sz w:val="18"/>
          <w:szCs w:val="18"/>
          <w:color w:val="auto"/>
        </w:rPr>
        <w:t>The Corporation subleases certain of its leases to third parties for which it receives rental income to manage occupancy costs. These subleases are classified as operating and are further described below.</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Montgomery leases:</w:t>
      </w:r>
    </w:p>
    <w:p>
      <w:pPr>
        <w:spacing w:after="0" w:line="114" w:lineRule="exact"/>
        <w:rPr>
          <w:sz w:val="20"/>
          <w:szCs w:val="20"/>
          <w:color w:val="auto"/>
        </w:rPr>
      </w:pPr>
    </w:p>
    <w:p>
      <w:pPr>
        <w:ind w:right="460" w:firstLine="449"/>
        <w:spacing w:after="0" w:line="270" w:lineRule="auto"/>
        <w:rPr>
          <w:sz w:val="20"/>
          <w:szCs w:val="20"/>
          <w:color w:val="auto"/>
        </w:rPr>
      </w:pPr>
      <w:r>
        <w:rPr>
          <w:rFonts w:ascii="Times New Roman" w:cs="Times New Roman" w:eastAsia="Times New Roman" w:hAnsi="Times New Roman"/>
          <w:sz w:val="18"/>
          <w:szCs w:val="18"/>
          <w:color w:val="auto"/>
        </w:rPr>
        <w:t>On September 28, 2016, the Corporation entered into an agreement to lease 23,390 square feet of office space on the 15th floor at 30 Montgomery Street, Jersey City, New Jersey (the “Montgomery Lease”). The lease expires September 30, 2027 with one option to renew for 5 years.</w:t>
      </w:r>
    </w:p>
    <w:p>
      <w:pPr>
        <w:spacing w:after="0" w:line="169" w:lineRule="exact"/>
        <w:rPr>
          <w:sz w:val="20"/>
          <w:szCs w:val="20"/>
          <w:color w:val="auto"/>
        </w:rPr>
      </w:pPr>
    </w:p>
    <w:p>
      <w:pPr>
        <w:ind w:right="360" w:firstLine="449"/>
        <w:spacing w:after="0" w:line="258" w:lineRule="auto"/>
        <w:rPr>
          <w:sz w:val="20"/>
          <w:szCs w:val="20"/>
          <w:color w:val="auto"/>
        </w:rPr>
      </w:pPr>
      <w:r>
        <w:rPr>
          <w:rFonts w:ascii="Times New Roman" w:cs="Times New Roman" w:eastAsia="Times New Roman" w:hAnsi="Times New Roman"/>
          <w:sz w:val="18"/>
          <w:szCs w:val="18"/>
          <w:color w:val="auto"/>
        </w:rPr>
        <w:t>On July 26, 2017, the Corporation entered into a first amendment to the lease (the “Montgomery First Amendment”). The Montgomery First Amendment added approximately 11,101 square feet on the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The lease for the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expires August 31, 2023 with one option to renew for 5 years.</w:t>
      </w:r>
    </w:p>
    <w:p>
      <w:pPr>
        <w:spacing w:after="0" w:line="179" w:lineRule="exact"/>
        <w:rPr>
          <w:sz w:val="20"/>
          <w:szCs w:val="20"/>
          <w:color w:val="auto"/>
        </w:rPr>
      </w:pPr>
    </w:p>
    <w:p>
      <w:pPr>
        <w:ind w:right="860" w:firstLine="449"/>
        <w:spacing w:after="0" w:line="270" w:lineRule="auto"/>
        <w:rPr>
          <w:sz w:val="20"/>
          <w:szCs w:val="20"/>
          <w:color w:val="auto"/>
        </w:rPr>
      </w:pPr>
      <w:r>
        <w:rPr>
          <w:rFonts w:ascii="Times New Roman" w:cs="Times New Roman" w:eastAsia="Times New Roman" w:hAnsi="Times New Roman"/>
          <w:sz w:val="18"/>
          <w:szCs w:val="18"/>
          <w:color w:val="auto"/>
        </w:rPr>
        <w:t>The Corporation entered into an agreement to sublease the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which commenced October 4, 2019 (the “Montgomery Sublease”). The Corporation receives rental income for this sublease which has a lease term through March 31, 2021.</w:t>
      </w:r>
    </w:p>
    <w:p>
      <w:pPr>
        <w:spacing w:after="0" w:line="169" w:lineRule="exact"/>
        <w:rPr>
          <w:sz w:val="20"/>
          <w:szCs w:val="20"/>
          <w:color w:val="auto"/>
        </w:rPr>
      </w:pPr>
    </w:p>
    <w:p>
      <w:pPr>
        <w:ind w:right="120" w:firstLine="449"/>
        <w:spacing w:after="0" w:line="248" w:lineRule="auto"/>
        <w:rPr>
          <w:sz w:val="20"/>
          <w:szCs w:val="20"/>
          <w:color w:val="auto"/>
        </w:rPr>
      </w:pPr>
      <w:r>
        <w:rPr>
          <w:rFonts w:ascii="Times New Roman" w:cs="Times New Roman" w:eastAsia="Times New Roman" w:hAnsi="Times New Roman"/>
          <w:sz w:val="18"/>
          <w:szCs w:val="18"/>
          <w:color w:val="auto"/>
        </w:rPr>
        <w:t>The Corporation uses the long-lived assets impairment to determine when to test ROU assets (or asset groups that contain one or more ROU assets) for impairment, whether ROU assets are impaired, and if so, the amount of the impairment loss to recognize. The sublease income expected to be received under the Montgomery Sublease is less than the amount to be paid under the Montgomery Lease for the sublease term, which indicated that the Montgomery Lease may not be recoverable. Upon execution of the sublease agreement, the Corporation reassessed the asset group and determined that the lowest level of identifiable cash flows pertaining to the Montgomery Sublease was at the individual lease level. The asset group, comprised of both the ROU asset and corresponding leasehold improvements related to the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of the Montgomery Lease, were determined to not be recoverable and were written down to their respective fair values with an impairment charge of $1.6 million recorded to general and administrative expenses in the Condensed Consolidated Statements of Operations and Comprehensive Loss for the year ended December 31, 2019.</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 Francisco leases:</w:t>
      </w:r>
    </w:p>
    <w:p>
      <w:pPr>
        <w:spacing w:after="0" w:line="114"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8"/>
          <w:szCs w:val="18"/>
          <w:color w:val="auto"/>
        </w:rPr>
        <w:t>On June 29, 2015, the Corporation entered into an agreement to lease office space at 22 Fourth Street, San Francisco, California. The total rentable space is 16,374 square feet on the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240"/>
          </w:cols>
          <w:pgMar w:left="320" w:top="450" w:right="339" w:bottom="1440" w:gutter="0" w:footer="0" w:header="0"/>
        </w:sectPr>
      </w:pPr>
    </w:p>
    <w:bookmarkStart w:id="313" w:name="page314"/>
    <w:bookmarkEnd w:id="3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420" w:firstLine="449"/>
        <w:spacing w:after="0" w:line="270" w:lineRule="auto"/>
        <w:rPr>
          <w:sz w:val="20"/>
          <w:szCs w:val="20"/>
          <w:color w:val="auto"/>
        </w:rPr>
      </w:pPr>
      <w:r>
        <w:rPr>
          <w:rFonts w:ascii="Times New Roman" w:cs="Times New Roman" w:eastAsia="Times New Roman" w:hAnsi="Times New Roman"/>
          <w:sz w:val="18"/>
          <w:szCs w:val="18"/>
          <w:color w:val="auto"/>
        </w:rPr>
        <w:t>On January 15, 2016, the Corporation entered into a first amendment to the lease (the “San Francisco First Amendment”). The San Francisco First Amendment added approximately 16,374 square feet on the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169" w:lineRule="exact"/>
        <w:rPr>
          <w:sz w:val="20"/>
          <w:szCs w:val="20"/>
          <w:color w:val="auto"/>
        </w:rPr>
      </w:pPr>
    </w:p>
    <w:p>
      <w:pPr>
        <w:ind w:right="600" w:firstLine="449"/>
        <w:spacing w:after="0" w:line="270" w:lineRule="auto"/>
        <w:rPr>
          <w:sz w:val="20"/>
          <w:szCs w:val="20"/>
          <w:color w:val="auto"/>
        </w:rPr>
      </w:pPr>
      <w:r>
        <w:rPr>
          <w:rFonts w:ascii="Times New Roman" w:cs="Times New Roman" w:eastAsia="Times New Roman" w:hAnsi="Times New Roman"/>
          <w:sz w:val="18"/>
          <w:szCs w:val="18"/>
          <w:color w:val="auto"/>
        </w:rPr>
        <w:t>On October 5, 2016, the Corporation entered into a second amendment to the lease (the “Second Amendment”). The Second Amendment added approximately 14,847 square feet on the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and extended the term of all floors through April 30, 2022.</w:t>
      </w:r>
    </w:p>
    <w:p>
      <w:pPr>
        <w:spacing w:after="0" w:line="169" w:lineRule="exact"/>
        <w:rPr>
          <w:sz w:val="20"/>
          <w:szCs w:val="20"/>
          <w:color w:val="auto"/>
        </w:rPr>
      </w:pPr>
    </w:p>
    <w:p>
      <w:pPr>
        <w:ind w:right="300" w:firstLine="449"/>
        <w:spacing w:after="0" w:line="270" w:lineRule="auto"/>
        <w:rPr>
          <w:sz w:val="20"/>
          <w:szCs w:val="20"/>
          <w:color w:val="auto"/>
        </w:rPr>
      </w:pPr>
      <w:r>
        <w:rPr>
          <w:rFonts w:ascii="Times New Roman" w:cs="Times New Roman" w:eastAsia="Times New Roman" w:hAnsi="Times New Roman"/>
          <w:sz w:val="18"/>
          <w:szCs w:val="18"/>
          <w:color w:val="auto"/>
        </w:rPr>
        <w:t>On June 25, 2019, the Corporation entered into a sublease agreement to sublease the leased space of the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(the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Sublease”). The 5</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Sublease expires contemporaneously with the Second Amendment on April 30, 2022.</w:t>
      </w:r>
    </w:p>
    <w:p>
      <w:pPr>
        <w:spacing w:after="0" w:line="169" w:lineRule="exact"/>
        <w:rPr>
          <w:sz w:val="20"/>
          <w:szCs w:val="20"/>
          <w:color w:val="auto"/>
        </w:rPr>
      </w:pPr>
    </w:p>
    <w:p>
      <w:pPr>
        <w:ind w:right="100" w:firstLine="449"/>
        <w:spacing w:after="0" w:line="270" w:lineRule="auto"/>
        <w:rPr>
          <w:sz w:val="20"/>
          <w:szCs w:val="20"/>
          <w:color w:val="auto"/>
        </w:rPr>
      </w:pPr>
      <w:r>
        <w:rPr>
          <w:rFonts w:ascii="Times New Roman" w:cs="Times New Roman" w:eastAsia="Times New Roman" w:hAnsi="Times New Roman"/>
          <w:sz w:val="18"/>
          <w:szCs w:val="18"/>
          <w:color w:val="auto"/>
        </w:rPr>
        <w:t>At October 15, 2019, the Corporation entered into a sublease agreement to sublease the leased space of the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(the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Sublease”). The 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Sublease expires contemporaneously with the Second Amendment on April 30, 2022.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Lyndhurst lease:</w:t>
      </w:r>
    </w:p>
    <w:p>
      <w:pPr>
        <w:spacing w:after="0" w:line="114" w:lineRule="exact"/>
        <w:rPr>
          <w:sz w:val="20"/>
          <w:szCs w:val="20"/>
          <w:color w:val="auto"/>
        </w:rPr>
      </w:pPr>
    </w:p>
    <w:p>
      <w:pPr>
        <w:ind w:right="180" w:firstLine="449"/>
        <w:spacing w:after="0" w:line="270" w:lineRule="auto"/>
        <w:rPr>
          <w:sz w:val="20"/>
          <w:szCs w:val="20"/>
          <w:color w:val="auto"/>
        </w:rPr>
      </w:pPr>
      <w:r>
        <w:rPr>
          <w:rFonts w:ascii="Times New Roman" w:cs="Times New Roman" w:eastAsia="Times New Roman" w:hAnsi="Times New Roman"/>
          <w:sz w:val="18"/>
          <w:szCs w:val="18"/>
          <w:color w:val="auto"/>
        </w:rPr>
        <w:t>On February 28, 2019, the Corporation completed its acquisition of Principium and assumed its office lease located at 125 Chubb Avenue, Lyndhurst, New Jersey. The total rentable space is 3,308 square feet. The lease expires May 31, 2022 and has one option to renew for 5 years.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Tennessee lease:</w:t>
      </w:r>
    </w:p>
    <w:p>
      <w:pPr>
        <w:spacing w:after="0" w:line="11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May 7, 2019, the Corporation entered into an agreement to lease office space at 725 Cool Springs Boulevard, Franklin, Tennessee. The total rentable space is 10,450 square feet. The lease expired on August 31, 2020, with the company entering into a new lease term that commenced on September 1, 2020 on a month-to-month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lease costs recognized under ASC 842</w:t>
      </w:r>
      <w:r>
        <w:rPr>
          <w:rFonts w:ascii="Times New Roman" w:cs="Times New Roman" w:eastAsia="Times New Roman" w:hAnsi="Times New Roman"/>
          <w:sz w:val="18"/>
          <w:szCs w:val="18"/>
          <w:i w:val="1"/>
          <w:iCs w:val="1"/>
          <w:color w:val="auto"/>
        </w:rPr>
        <w:t>:</w:t>
      </w:r>
    </w:p>
    <w:p>
      <w:pPr>
        <w:spacing w:after="0" w:line="114" w:lineRule="exact"/>
        <w:rPr>
          <w:sz w:val="20"/>
          <w:szCs w:val="20"/>
          <w:color w:val="auto"/>
        </w:rPr>
      </w:pPr>
    </w:p>
    <w:p>
      <w:pPr>
        <w:ind w:right="200" w:firstLine="449"/>
        <w:spacing w:after="0" w:line="270"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under ASC 842 and other information pertaining to the Corporation’s operating leases for the nine month periods ended September 30, 2020:</w:t>
      </w:r>
    </w:p>
    <w:p>
      <w:pPr>
        <w:spacing w:after="0" w:line="189"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cost</w:t>
            </w:r>
          </w:p>
        </w:tc>
        <w:tc>
          <w:tcPr>
            <w:tcW w:w="6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3,425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F-109</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0" w:right="379" w:bottom="1440" w:gutter="0" w:footer="0" w:header="0"/>
        </w:sectPr>
      </w:pPr>
    </w:p>
    <w:bookmarkStart w:id="314" w:name="page315"/>
    <w:bookmarkEnd w:id="3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terms of the Corporation’s non-cancelable lease agreements in effect at December 31, 2019, the following table summarizes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maturities of lease liabilities as of September 30, 2020:</w:t>
      </w:r>
    </w:p>
    <w:p>
      <w:pPr>
        <w:spacing w:after="0" w:line="219" w:lineRule="exact"/>
        <w:rPr>
          <w:sz w:val="20"/>
          <w:szCs w:val="20"/>
          <w:color w:val="auto"/>
        </w:rPr>
      </w:pPr>
    </w:p>
    <w:tbl>
      <w:tblPr>
        <w:tblLayout w:type="fixed"/>
        <w:tblInd w:w="1800" w:type="dxa"/>
        <w:tblCellMar>
          <w:top w:w="0" w:type="dxa"/>
          <w:left w:w="0" w:type="dxa"/>
          <w:bottom w:w="0" w:type="dxa"/>
          <w:right w:w="0" w:type="dxa"/>
        </w:tblCellMar>
      </w:tblPr>
      <w:tr>
        <w:trPr>
          <w:trHeight w:val="190"/>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43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98"/>
        </w:trPr>
        <w:tc>
          <w:tcPr>
            <w:tcW w:w="23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4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w:t>
            </w:r>
          </w:p>
        </w:tc>
      </w:tr>
      <w:tr>
        <w:trPr>
          <w:trHeight w:val="21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2,730</w:t>
            </w:r>
          </w:p>
        </w:tc>
      </w:tr>
      <w:tr>
        <w:trPr>
          <w:trHeight w:val="21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w:t>
            </w:r>
          </w:p>
        </w:tc>
      </w:tr>
      <w:tr>
        <w:trPr>
          <w:trHeight w:val="21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r>
      <w:tr>
        <w:trPr>
          <w:trHeight w:val="21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3,768</w:t>
            </w:r>
          </w:p>
        </w:tc>
      </w:tr>
      <w:tr>
        <w:trPr>
          <w:trHeight w:val="21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540" w:type="dxa"/>
            <w:vAlign w:val="bottom"/>
            <w:gridSpan w:val="2"/>
            <w:shd w:val="clear" w:color="auto" w:fill="CCEEFF"/>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15,215</w:t>
            </w:r>
          </w:p>
        </w:tc>
      </w:tr>
      <w:tr>
        <w:trPr>
          <w:trHeight w:val="22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tcPr>
          <w:p>
            <w:pPr>
              <w:spacing w:after="0"/>
              <w:rPr>
                <w:sz w:val="19"/>
                <w:szCs w:val="19"/>
                <w:color w:val="auto"/>
              </w:rPr>
            </w:pPr>
          </w:p>
        </w:tc>
      </w:tr>
      <w:tr>
        <w:trPr>
          <w:trHeight w:val="21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540" w:type="dxa"/>
            <w:vAlign w:val="bottom"/>
            <w:gridSpan w:val="2"/>
            <w:shd w:val="clear" w:color="auto" w:fill="CCEEFF"/>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12,044</w:t>
            </w:r>
          </w:p>
        </w:tc>
      </w:tr>
      <w:tr>
        <w:trPr>
          <w:trHeight w:val="20"/>
        </w:trPr>
        <w:tc>
          <w:tcPr>
            <w:tcW w:w="2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Convertible preferred stock</w:t>
      </w:r>
    </w:p>
    <w:p>
      <w:pPr>
        <w:spacing w:after="0" w:line="112"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auto"/>
        </w:rPr>
        <w:t>During 2015, the Corporation issued 5,274,468 shares of Series A and 7,199,261 shares of Series A-1 preferred stock at $1.04219 per share for total proceeds of approximately $13.0 million. During 2015, the Corporation issued 10,338,818 shares of Series B preferred stock at $3.385 per share for total proceeds of approximately $35.0 million.</w:t>
      </w:r>
    </w:p>
    <w:p>
      <w:pPr>
        <w:spacing w:after="0" w:line="179" w:lineRule="exact"/>
        <w:rPr>
          <w:sz w:val="20"/>
          <w:szCs w:val="20"/>
          <w:color w:val="auto"/>
        </w:rPr>
      </w:pPr>
    </w:p>
    <w:p>
      <w:pPr>
        <w:ind w:right="940" w:firstLine="449"/>
        <w:spacing w:after="0" w:line="270" w:lineRule="auto"/>
        <w:rPr>
          <w:sz w:val="20"/>
          <w:szCs w:val="20"/>
          <w:color w:val="auto"/>
        </w:rPr>
      </w:pPr>
      <w:r>
        <w:rPr>
          <w:rFonts w:ascii="Times New Roman" w:cs="Times New Roman" w:eastAsia="Times New Roman" w:hAnsi="Times New Roman"/>
          <w:sz w:val="18"/>
          <w:szCs w:val="18"/>
          <w:color w:val="auto"/>
        </w:rPr>
        <w:t>During 2016, the Corporation issued 19,066,809 shares of Series C preferred stock at $8.4002 per share for total proceeds of approximately $160.2 million. Issuance costs totaled approximately $0.4 million.</w:t>
      </w:r>
    </w:p>
    <w:p>
      <w:pPr>
        <w:spacing w:after="0" w:line="169" w:lineRule="exact"/>
        <w:rPr>
          <w:sz w:val="20"/>
          <w:szCs w:val="20"/>
          <w:color w:val="auto"/>
        </w:rPr>
      </w:pPr>
    </w:p>
    <w:p>
      <w:pPr>
        <w:ind w:right="940" w:firstLine="449"/>
        <w:spacing w:after="0" w:line="270" w:lineRule="auto"/>
        <w:rPr>
          <w:sz w:val="20"/>
          <w:szCs w:val="20"/>
          <w:color w:val="auto"/>
        </w:rPr>
      </w:pPr>
      <w:r>
        <w:rPr>
          <w:rFonts w:ascii="Times New Roman" w:cs="Times New Roman" w:eastAsia="Times New Roman" w:hAnsi="Times New Roman"/>
          <w:sz w:val="18"/>
          <w:szCs w:val="18"/>
          <w:color w:val="auto"/>
        </w:rPr>
        <w:t>During 2017, the Corporation issued 20,749,216 shares of Series D preferred stock at $9.3778 per share for total proceeds of approximately $194.6 million. Issuance costs totaled approximately $0.3 million.</w:t>
      </w:r>
    </w:p>
    <w:p>
      <w:pPr>
        <w:spacing w:after="0" w:line="169" w:lineRule="exact"/>
        <w:rPr>
          <w:sz w:val="20"/>
          <w:szCs w:val="20"/>
          <w:color w:val="auto"/>
        </w:rPr>
      </w:pPr>
    </w:p>
    <w:p>
      <w:pPr>
        <w:ind w:right="280" w:firstLine="449"/>
        <w:spacing w:after="0" w:line="270" w:lineRule="auto"/>
        <w:rPr>
          <w:sz w:val="20"/>
          <w:szCs w:val="20"/>
          <w:color w:val="auto"/>
        </w:rPr>
      </w:pPr>
      <w:r>
        <w:rPr>
          <w:rFonts w:ascii="Times New Roman" w:cs="Times New Roman" w:eastAsia="Times New Roman" w:hAnsi="Times New Roman"/>
          <w:sz w:val="18"/>
          <w:szCs w:val="18"/>
          <w:color w:val="auto"/>
        </w:rPr>
        <w:t>During 2018, the Corporation issued 4,798,566 additional shares of Series D preferred stock at $9.3778 per share for total proceeds of approximately $45.0 million. Issuance costs totaled approximately $0.5 million.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each balance sheet date, preferred stock consisted of the following ($ in millions, except for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5"/>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360" w:type="dxa"/>
            <w:vAlign w:val="bottom"/>
            <w:gridSpan w:val="2"/>
            <w:vMerge w:val="continue"/>
          </w:tcPr>
          <w:p>
            <w:pPr>
              <w:spacing w:after="0"/>
              <w:rPr>
                <w:sz w:val="12"/>
                <w:szCs w:val="12"/>
                <w:color w:val="auto"/>
              </w:rPr>
            </w:pPr>
          </w:p>
        </w:tc>
        <w:tc>
          <w:tcPr>
            <w:tcW w:w="13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Issued and</w:t>
            </w:r>
          </w:p>
        </w:tc>
        <w:tc>
          <w:tcPr>
            <w:tcW w:w="7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57"/>
        </w:trPr>
        <w:tc>
          <w:tcPr>
            <w:tcW w:w="5380" w:type="dxa"/>
            <w:vAlign w:val="bottom"/>
            <w:gridSpan w:val="2"/>
            <w:vMerge w:val="continue"/>
          </w:tcPr>
          <w:p>
            <w:pPr>
              <w:spacing w:after="0"/>
              <w:rPr>
                <w:sz w:val="13"/>
                <w:szCs w:val="13"/>
                <w:color w:val="auto"/>
              </w:rPr>
            </w:pPr>
          </w:p>
        </w:tc>
        <w:tc>
          <w:tcPr>
            <w:tcW w:w="1360" w:type="dxa"/>
            <w:vAlign w:val="bottom"/>
            <w:gridSpan w:val="2"/>
          </w:tcPr>
          <w:p>
            <w:pPr>
              <w:jc w:val="right"/>
              <w:ind w:right="52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38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3"/>
                <w:szCs w:val="13"/>
                <w:color w:val="auto"/>
              </w:rPr>
            </w:pPr>
          </w:p>
        </w:tc>
        <w:tc>
          <w:tcPr>
            <w:tcW w:w="6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3"/>
                <w:szCs w:val="13"/>
                <w:color w:val="auto"/>
              </w:rPr>
            </w:pPr>
          </w:p>
        </w:tc>
        <w:tc>
          <w:tcPr>
            <w:tcW w:w="112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04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9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5,274,468</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5,274,468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5.5</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5,274,468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A-1 Preferred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7,199,261</w:t>
            </w:r>
          </w:p>
        </w:tc>
        <w:tc>
          <w:tcPr>
            <w:tcW w:w="3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7,199,261</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7,199,261</w:t>
            </w:r>
          </w:p>
        </w:tc>
        <w:tc>
          <w:tcPr>
            <w:tcW w:w="0" w:type="dxa"/>
            <w:vAlign w:val="bottom"/>
          </w:tcPr>
          <w:p>
            <w:pPr>
              <w:spacing w:after="0"/>
              <w:rPr>
                <w:sz w:val="1"/>
                <w:szCs w:val="1"/>
                <w:color w:val="auto"/>
              </w:rPr>
            </w:pPr>
          </w:p>
        </w:tc>
      </w:tr>
      <w:tr>
        <w:trPr>
          <w:trHeight w:val="212"/>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10,338,818</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10,338,818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10,338,818</w:t>
            </w:r>
          </w:p>
        </w:tc>
        <w:tc>
          <w:tcPr>
            <w:tcW w:w="0" w:type="dxa"/>
            <w:vAlign w:val="bottom"/>
          </w:tcPr>
          <w:p>
            <w:pPr>
              <w:spacing w:after="0"/>
              <w:rPr>
                <w:sz w:val="1"/>
                <w:szCs w:val="1"/>
                <w:color w:val="auto"/>
              </w:rPr>
            </w:pPr>
          </w:p>
        </w:tc>
      </w:tr>
      <w:tr>
        <w:trPr>
          <w:trHeight w:val="21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C Preferred stock</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19,066,809</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19,066,809</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160.2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19,066,809</w:t>
            </w:r>
          </w:p>
        </w:tc>
        <w:tc>
          <w:tcPr>
            <w:tcW w:w="0" w:type="dxa"/>
            <w:vAlign w:val="bottom"/>
          </w:tcPr>
          <w:p>
            <w:pPr>
              <w:spacing w:after="0"/>
              <w:rPr>
                <w:sz w:val="1"/>
                <w:szCs w:val="1"/>
                <w:color w:val="auto"/>
              </w:rPr>
            </w:pPr>
          </w:p>
        </w:tc>
      </w:tr>
      <w:tr>
        <w:trPr>
          <w:trHeight w:val="212"/>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D Preferred stock</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33,256,730</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25,547,782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239.6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25,547,782</w:t>
            </w: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75,136,086</w:t>
            </w:r>
          </w:p>
        </w:tc>
        <w:tc>
          <w:tcPr>
            <w:tcW w:w="3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67,427,138</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3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67,427,138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4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F-110</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0" w:right="339" w:bottom="1440" w:gutter="0" w:footer="0" w:header="0"/>
        </w:sectPr>
      </w:pPr>
    </w:p>
    <w:bookmarkStart w:id="315" w:name="page316"/>
    <w:bookmarkEnd w:id="3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0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0" w:type="dxa"/>
            <w:vAlign w:val="bottom"/>
          </w:tcPr>
          <w:p>
            <w:pPr>
              <w:spacing w:after="0"/>
              <w:rPr>
                <w:sz w:val="1"/>
                <w:szCs w:val="1"/>
                <w:color w:val="auto"/>
              </w:rPr>
            </w:pPr>
          </w:p>
        </w:tc>
      </w:tr>
      <w:tr>
        <w:trPr>
          <w:trHeight w:val="145"/>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420" w:type="dxa"/>
            <w:vAlign w:val="bottom"/>
            <w:gridSpan w:val="3"/>
            <w:vMerge w:val="continue"/>
          </w:tcPr>
          <w:p>
            <w:pPr>
              <w:spacing w:after="0"/>
              <w:rPr>
                <w:sz w:val="12"/>
                <w:szCs w:val="12"/>
                <w:color w:val="auto"/>
              </w:rPr>
            </w:pPr>
          </w:p>
        </w:tc>
        <w:tc>
          <w:tcPr>
            <w:tcW w:w="14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0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Issuable Upon</w:t>
            </w:r>
          </w:p>
        </w:tc>
        <w:tc>
          <w:tcPr>
            <w:tcW w:w="0" w:type="dxa"/>
            <w:vAlign w:val="bottom"/>
          </w:tcPr>
          <w:p>
            <w:pPr>
              <w:spacing w:after="0"/>
              <w:rPr>
                <w:sz w:val="1"/>
                <w:szCs w:val="1"/>
                <w:color w:val="auto"/>
              </w:rPr>
            </w:pPr>
          </w:p>
        </w:tc>
      </w:tr>
      <w:tr>
        <w:trPr>
          <w:trHeight w:val="157"/>
        </w:trPr>
        <w:tc>
          <w:tcPr>
            <w:tcW w:w="5160" w:type="dxa"/>
            <w:vAlign w:val="bottom"/>
            <w:gridSpan w:val="2"/>
            <w:vMerge w:val="continue"/>
          </w:tcPr>
          <w:p>
            <w:pPr>
              <w:spacing w:after="0"/>
              <w:rPr>
                <w:sz w:val="13"/>
                <w:szCs w:val="13"/>
                <w:color w:val="auto"/>
              </w:rPr>
            </w:pPr>
          </w:p>
        </w:tc>
        <w:tc>
          <w:tcPr>
            <w:tcW w:w="1420" w:type="dxa"/>
            <w:vAlign w:val="bottom"/>
            <w:gridSpan w:val="3"/>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42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3"/>
                <w:szCs w:val="13"/>
                <w:color w:val="auto"/>
              </w:rPr>
            </w:pPr>
          </w:p>
        </w:tc>
        <w:tc>
          <w:tcPr>
            <w:tcW w:w="900" w:type="dxa"/>
            <w:vAlign w:val="bottom"/>
            <w:gridSpan w:val="2"/>
          </w:tcPr>
          <w:p>
            <w:pPr>
              <w:jc w:val="center"/>
              <w:ind w:right="4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gridSpan w:val="3"/>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10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Conversion</w:t>
            </w:r>
          </w:p>
        </w:tc>
        <w:tc>
          <w:tcPr>
            <w:tcW w:w="0" w:type="dxa"/>
            <w:vAlign w:val="bottom"/>
          </w:tcPr>
          <w:p>
            <w:pPr>
              <w:spacing w:after="0"/>
              <w:rPr>
                <w:sz w:val="1"/>
                <w:szCs w:val="1"/>
                <w:color w:val="auto"/>
              </w:rPr>
            </w:pPr>
          </w:p>
        </w:tc>
      </w:tr>
      <w:tr>
        <w:trPr>
          <w:trHeight w:val="20"/>
        </w:trPr>
        <w:tc>
          <w:tcPr>
            <w:tcW w:w="152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10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5,274,468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5,274,468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5.50</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5.50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5,274,468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A-1 Preferred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7,199,261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7,199,261</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7,199,261</w:t>
            </w: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10,338,818</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10,338,818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10,338,818</w:t>
            </w:r>
          </w:p>
        </w:tc>
        <w:tc>
          <w:tcPr>
            <w:tcW w:w="0" w:type="dxa"/>
            <w:vAlign w:val="bottom"/>
          </w:tcPr>
          <w:p>
            <w:pPr>
              <w:spacing w:after="0"/>
              <w:rPr>
                <w:sz w:val="1"/>
                <w:szCs w:val="1"/>
                <w:color w:val="auto"/>
              </w:rPr>
            </w:pPr>
          </w:p>
        </w:tc>
      </w:tr>
      <w:tr>
        <w:trPr>
          <w:trHeight w:val="21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C Preferred stock</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19,066,809</w:t>
            </w:r>
          </w:p>
        </w:tc>
        <w:tc>
          <w:tcPr>
            <w:tcW w:w="3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19,066,809</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160.2</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160.2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19,066,809</w:t>
            </w: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D Preferred stock</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33,256,730</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25,547,782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239.6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239.6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25,547,782</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75,136,086</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67,427,138</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470.30</w:t>
            </w:r>
          </w:p>
        </w:tc>
        <w:tc>
          <w:tcPr>
            <w:tcW w:w="3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67,427,138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the preferred stock have rights, preferences and privileges as follows: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4"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The Series A and Series A-1 dividend rate is $0.08338 per share of Series A preferred stock per annum, subject to appropriate adjustment in the event of any stock dividend, stock split, combination or other similar recapitalization with respect to the Series A and Series A-1 preferred stock. The Series B rate is $0.2708 per share of Series B preferred stock per annum, subject to appropriate adjustment in the event of any stock dividend, stock split, combination or other similar recapitalization with respect to Series B preferred stock. The Series C rate is $0.67202 per share of Series C preferred stock per annum, subject to appropriate adjustment in the event of any stock split, combination or other similar recapitalization with respect to the Series C preferred stock. The Series D rate is $0.750224 per share of Series D preferred stock per annum, subject to appropriate adjustment in the event of any stock dividend, stock split, combination or other similar recapitalization with respect to the Series D preferred stock.</w:t>
      </w:r>
    </w:p>
    <w:p>
      <w:pPr>
        <w:spacing w:after="0" w:line="189"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The Corporation cannot declare, pay or set aside any dividends on shares of any other class or series of capital stock of the Corporation (other than dividends on shares of common stock payable in shares of common stock) unless the holders of the outstanding preferred stock will first receive (on a pari passu basis), or simultaneously receive, a dividend on each outstanding share of preferred stock in an amount equal to the greater of (a) the applicable dividend rate (as listed above) or (b) an amount that such holders of the preferred stock would receive on a pari passu basis with the holders of common stock if such shares of preferred stock had been converted to common stock. The holders of the outstanding preferred stock can waive any dividend preference that the holders are entitled to receive upon the affirmative vote or written consent of the holders of a majority of the shares of outstanding preferred stock (voting together as a single class and on as-converted to common stock basis).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1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Each holder of the outstanding share of preferred stock is entitled to cast the number of votes equal to the number of whole shares of common stock into which the shares of preferred stock held by such holder are convertible as of the record date for determining stockholders entitled to vote on such matter. Unless provided by law or any other provisions of the Certificate of Incorporation, holders of preferred stock can vote together with the holders of common stock as a single class on all matters presented to the stockholders of the Corporation.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4" w:lineRule="exact"/>
        <w:rPr>
          <w:sz w:val="20"/>
          <w:szCs w:val="20"/>
          <w:color w:val="auto"/>
        </w:rPr>
      </w:pPr>
    </w:p>
    <w:p>
      <w:pPr>
        <w:ind w:right="400" w:firstLine="449"/>
        <w:spacing w:after="0" w:line="258" w:lineRule="auto"/>
        <w:rPr>
          <w:sz w:val="20"/>
          <w:szCs w:val="20"/>
          <w:color w:val="auto"/>
        </w:rPr>
      </w:pPr>
      <w:r>
        <w:rPr>
          <w:rFonts w:ascii="Times New Roman" w:cs="Times New Roman" w:eastAsia="Times New Roman" w:hAnsi="Times New Roman"/>
          <w:sz w:val="18"/>
          <w:szCs w:val="18"/>
          <w:color w:val="auto"/>
        </w:rPr>
        <w:t>Each share of preferred stock can be converted at the option of the holder, at any time and from time to time, and without the payment of additional consideration by the holder thereof, into a number of fully paid and non-assessable shares of common stock as is determined by dividing the applicable original issue price by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240"/>
          </w:cols>
          <w:pgMar w:left="320" w:top="450" w:right="339" w:bottom="1440" w:gutter="0" w:footer="0" w:header="0"/>
        </w:sectPr>
      </w:pPr>
    </w:p>
    <w:bookmarkStart w:id="316" w:name="page317"/>
    <w:bookmarkEnd w:id="3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applicable common conversion price (as defined below) in effect at the time of conversion. The “Series A conversion price” will initially be equal to the Series A-1 original issue price. The “Series B conversion price” will initially be equal to the Series B original issue price. The “Series C conversion price” will initially be equal to the Series C original issue price. The “Series D conversion price” will initially be equal to the Series D original issue price. The “applicable conversion price” is defined as the Series A conversion price with respect to the Series A preferred stock, the Series A-1 conversion price with respect to the Series A-1 preferred stock, the Series B conversion price with respect to the Series B preferred stock, the Series C conversion price with respect to the Series C preferred stock, and the Series D conversion price with respect to the Series D preferred stock. Each applicable conversion price, and the rate at which shares of preferred stock may be converted into shares of common stock, is subject to adjustment as provided below.</w:t>
      </w:r>
    </w:p>
    <w:p>
      <w:pPr>
        <w:spacing w:after="0" w:line="189" w:lineRule="exact"/>
        <w:rPr>
          <w:sz w:val="20"/>
          <w:szCs w:val="20"/>
          <w:color w:val="auto"/>
        </w:rPr>
      </w:pPr>
    </w:p>
    <w:p>
      <w:pPr>
        <w:ind w:right="120" w:firstLine="449"/>
        <w:spacing w:after="0" w:line="300" w:lineRule="auto"/>
        <w:rPr>
          <w:sz w:val="20"/>
          <w:szCs w:val="20"/>
          <w:color w:val="auto"/>
        </w:rPr>
      </w:pPr>
      <w:r>
        <w:rPr>
          <w:rFonts w:ascii="Times New Roman" w:cs="Times New Roman" w:eastAsia="Times New Roman" w:hAnsi="Times New Roman"/>
          <w:sz w:val="17"/>
          <w:szCs w:val="17"/>
          <w:color w:val="auto"/>
        </w:rPr>
        <w:t>In the event of liquidation, dissolution or winding up of the Corporation or a deemed liquidation event, the conversion rights will terminate at the close of business on the last full day preceding the date fixed for the payment of such amounts distributable on such event to the holders of preferred stock.</w:t>
      </w:r>
    </w:p>
    <w:p>
      <w:pPr>
        <w:spacing w:after="0" w:line="146" w:lineRule="exact"/>
        <w:rPr>
          <w:sz w:val="20"/>
          <w:szCs w:val="20"/>
          <w:color w:val="auto"/>
        </w:rPr>
      </w:pPr>
    </w:p>
    <w:p>
      <w:pPr>
        <w:ind w:right="80" w:firstLine="449"/>
        <w:spacing w:after="0" w:line="273" w:lineRule="auto"/>
        <w:rPr>
          <w:sz w:val="20"/>
          <w:szCs w:val="20"/>
          <w:color w:val="auto"/>
        </w:rPr>
      </w:pPr>
      <w:r>
        <w:rPr>
          <w:rFonts w:ascii="Times New Roman" w:cs="Times New Roman" w:eastAsia="Times New Roman" w:hAnsi="Times New Roman"/>
          <w:sz w:val="17"/>
          <w:szCs w:val="17"/>
          <w:color w:val="auto"/>
        </w:rPr>
        <w:t>No fractional shares of common stock can be issued upon conversion of the preferred stock. In lieu of any fractional shares to which the holder would otherwise be entitled, the Corporation will pay cash equal to such fraction multiplied by the fair value of a share of common stock as determined in good faith by the Board. Whether or not fractional shares would be issuable upon such conversion will be determined on the basis of the total number of shares of preferred stock the holder is at the time converting into common stock and the aggregate number of shares of common stock issuable upon conversion.</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preferred stock of the Corporation is subject to broad based weighted-average anti-dilution subject to customary carveouts.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4"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auto"/>
        </w:rPr>
        <w:t>The preferred stock is not mandatorily redeemable. Any shares of preferred stock that are redeemed or otherwise acquired by the Corporation or any of its subsidiaries will be automatically and immediately cancelled and retired and will not be reissued, sold or transferred. Neither the Corporation nor any of its subsidiaries may exercise any voting or other rights granted to the holders of preferred stock following redemption.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plan</w:t>
      </w:r>
    </w:p>
    <w:p>
      <w:pPr>
        <w:spacing w:after="0" w:line="114" w:lineRule="exact"/>
        <w:rPr>
          <w:sz w:val="20"/>
          <w:szCs w:val="20"/>
          <w:color w:val="auto"/>
        </w:rPr>
      </w:pPr>
    </w:p>
    <w:p>
      <w:pPr>
        <w:ind w:right="20" w:firstLine="449"/>
        <w:spacing w:after="0" w:line="250" w:lineRule="auto"/>
        <w:rPr>
          <w:sz w:val="20"/>
          <w:szCs w:val="20"/>
          <w:color w:val="auto"/>
        </w:rPr>
      </w:pPr>
      <w:r>
        <w:rPr>
          <w:rFonts w:ascii="Times New Roman" w:cs="Times New Roman" w:eastAsia="Times New Roman" w:hAnsi="Times New Roman"/>
          <w:sz w:val="18"/>
          <w:szCs w:val="18"/>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compensation that is contributed by the employee up to 4% of eligible annual compensation. The Corporation’s service contributions to the 401(k) Plan amounted to approximately $1.0 million and $1.0 million for the nine month periods ended September 30, 2019 and 2020, respectively, and are included in salaries and benefits on the Condensed Consolidated Statements of Operations and Comprehensive Loss. The Corporation’s cash match is invested pursuant to the participant’s contribution direction. Employer contributions are immediately 100% vested.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4" w:lineRule="exact"/>
        <w:rPr>
          <w:sz w:val="20"/>
          <w:szCs w:val="20"/>
          <w:color w:val="auto"/>
        </w:rPr>
      </w:pPr>
    </w:p>
    <w:p>
      <w:pPr>
        <w:ind w:right="500" w:firstLine="449"/>
        <w:spacing w:after="0" w:line="270" w:lineRule="auto"/>
        <w:rPr>
          <w:sz w:val="20"/>
          <w:szCs w:val="20"/>
          <w:color w:val="auto"/>
        </w:rPr>
      </w:pPr>
      <w:r>
        <w:rPr>
          <w:rFonts w:ascii="Times New Roman" w:cs="Times New Roman" w:eastAsia="Times New Roman" w:hAnsi="Times New Roman"/>
          <w:sz w:val="18"/>
          <w:szCs w:val="18"/>
          <w:color w:val="auto"/>
        </w:rPr>
        <w:t>The Corporation’s 2014 Equity Incentive Plan (“the Plan”) grants options of common stock, par value $0.0001 per share, to employees, directors, officers and consultants of the Corporation. The maximum number of</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220"/>
          </w:cols>
          <w:pgMar w:left="320" w:top="450" w:right="359" w:bottom="1440" w:gutter="0" w:footer="0" w:header="0"/>
        </w:sectPr>
      </w:pPr>
    </w:p>
    <w:bookmarkStart w:id="317" w:name="page318"/>
    <w:bookmarkEnd w:id="3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common shares reserved for issuance over the term of the Plan may not exceed 17,917,902 shares as of December 31, 2019, and 22,521,770 as of September 30, 2020. Shares that are expired, terminated, surrendered or canceled under the Plan without having been fully exercised will be available for future awards. As of December 31, 2019 and September 30, 2020, there were 13,630,783 and 18,034,183, respectively, outstanding options and common stock issued under the Plan, leaving 4,287,119 and 4,487,587 shares, respectively, remaining for future grants, assuming all stock options were granted. Shares may be issued from authorized but unissued Corporation stock.</w:t>
      </w:r>
    </w:p>
    <w:p>
      <w:pPr>
        <w:spacing w:after="0" w:line="187" w:lineRule="exact"/>
        <w:rPr>
          <w:sz w:val="20"/>
          <w:szCs w:val="20"/>
          <w:color w:val="auto"/>
        </w:rPr>
      </w:pPr>
    </w:p>
    <w:p>
      <w:pPr>
        <w:ind w:firstLine="449"/>
        <w:spacing w:after="0" w:line="269" w:lineRule="auto"/>
        <w:rPr>
          <w:sz w:val="20"/>
          <w:szCs w:val="20"/>
          <w:color w:val="auto"/>
        </w:rPr>
      </w:pPr>
      <w:r>
        <w:rPr>
          <w:rFonts w:ascii="Times New Roman" w:cs="Times New Roman" w:eastAsia="Times New Roman" w:hAnsi="Times New Roman"/>
          <w:sz w:val="17"/>
          <w:szCs w:val="17"/>
          <w:color w:val="auto"/>
        </w:rPr>
        <w:t>The Plan is administered by the Board. The options will be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the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four years.</w:t>
      </w:r>
    </w:p>
    <w:p>
      <w:pPr>
        <w:spacing w:after="0" w:line="174" w:lineRule="exact"/>
        <w:rPr>
          <w:sz w:val="20"/>
          <w:szCs w:val="20"/>
          <w:color w:val="auto"/>
        </w:rPr>
      </w:pPr>
    </w:p>
    <w:p>
      <w:pPr>
        <w:ind w:right="240" w:firstLine="449"/>
        <w:spacing w:after="0" w:line="258" w:lineRule="auto"/>
        <w:rPr>
          <w:sz w:val="20"/>
          <w:szCs w:val="20"/>
          <w:color w:val="auto"/>
        </w:rPr>
      </w:pPr>
      <w:r>
        <w:rPr>
          <w:rFonts w:ascii="Times New Roman" w:cs="Times New Roman" w:eastAsia="Times New Roman" w:hAnsi="Times New Roman"/>
          <w:sz w:val="18"/>
          <w:szCs w:val="18"/>
          <w:color w:val="auto"/>
        </w:rPr>
        <w:t>As part of the Plan, the Corporation may also grant some of its employees restricted stock awards. The fair value of each stock award is determined based on the fair value of the Corporation’s common shares on the date of grant. The total estimated fair value is amortized as an expense over the requisite service period as determined by the Board.</w:t>
      </w:r>
    </w:p>
    <w:p>
      <w:pPr>
        <w:spacing w:after="0" w:line="17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8"/>
          <w:szCs w:val="18"/>
          <w:color w:val="auto"/>
        </w:rPr>
        <w:t>The Corporation granted options to purchase 3,589,365 and 6,866,351 shares of common stock during the nine month periods ended September 30, 2019 and 2020, respectively. The Corporation recorded stock-based compensation expense for options granted of $2.6 million and $4.9 million during the nine month periods ended September 30, 2019 and 2020, respectively, presented in salaries and benefits in the accompanying Condensed Consolidated Statements of Operations and Comprehensive Loss. During the nine month periods ended September 30, 2019 and 2020, the Corporation granted no shares of restricted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14" w:lineRule="exact"/>
        <w:rPr>
          <w:sz w:val="20"/>
          <w:szCs w:val="20"/>
          <w:color w:val="auto"/>
        </w:rPr>
      </w:pPr>
    </w:p>
    <w:p>
      <w:pPr>
        <w:ind w:right="40" w:firstLine="449"/>
        <w:spacing w:after="0" w:line="270" w:lineRule="auto"/>
        <w:rPr>
          <w:sz w:val="20"/>
          <w:szCs w:val="20"/>
          <w:color w:val="auto"/>
        </w:rPr>
      </w:pPr>
      <w:r>
        <w:rPr>
          <w:rFonts w:ascii="Times New Roman" w:cs="Times New Roman" w:eastAsia="Times New Roman" w:hAnsi="Times New Roman"/>
          <w:sz w:val="18"/>
          <w:szCs w:val="18"/>
          <w:color w:val="auto"/>
        </w:rPr>
        <w:t>The assumptions that the Corporation used in the Black-Scholes option-pricing model to determine the grant-date fair value of stock options granted for the nine month periods ended September 30, 2019 and 2020, respectively, were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0"/>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Nine month ended September 30,</w:t>
            </w:r>
          </w:p>
        </w:tc>
        <w:tc>
          <w:tcPr>
            <w:tcW w:w="492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gridSpan w:val="2"/>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1.99%</w:t>
            </w:r>
          </w:p>
        </w:tc>
        <w:tc>
          <w:tcPr>
            <w:tcW w:w="66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1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28.21%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29"/>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option activity under the Plan during the nine month period ended September 30, 2020 is as follows:</w:t>
      </w:r>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w w:val="99"/>
              </w:rPr>
              <w:t>Number of options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5"/>
        </w:trPr>
        <w:tc>
          <w:tcPr>
            <w:tcW w:w="33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January 1, 2020</w:t>
            </w:r>
          </w:p>
        </w:tc>
        <w:tc>
          <w:tcPr>
            <w:tcW w:w="1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13,630,783</w:t>
            </w:r>
          </w:p>
        </w:tc>
        <w:tc>
          <w:tcPr>
            <w:tcW w:w="10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2020</w:t>
            </w:r>
          </w:p>
        </w:tc>
        <w:tc>
          <w:tcPr>
            <w:tcW w:w="1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6,866,351</w:t>
            </w:r>
          </w:p>
        </w:tc>
        <w:tc>
          <w:tcPr>
            <w:tcW w:w="1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40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(361,975)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Pr>
          <w:p>
            <w:pPr>
              <w:spacing w:after="0"/>
              <w:rPr>
                <w:sz w:val="18"/>
                <w:szCs w:val="18"/>
                <w:color w:val="auto"/>
              </w:rPr>
            </w:pPr>
          </w:p>
        </w:tc>
        <w:tc>
          <w:tcPr>
            <w:tcW w:w="2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(2,100,976)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September 30, 2020</w:t>
            </w:r>
          </w:p>
        </w:tc>
        <w:tc>
          <w:tcPr>
            <w:tcW w:w="1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18,034,183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380" w:type="dxa"/>
            <w:vAlign w:val="bottom"/>
          </w:tcPr>
          <w:p>
            <w:pPr>
              <w:spacing w:after="0"/>
              <w:rPr>
                <w:sz w:val="24"/>
                <w:szCs w:val="24"/>
                <w:color w:val="auto"/>
              </w:rPr>
            </w:pPr>
          </w:p>
        </w:tc>
        <w:tc>
          <w:tcPr>
            <w:tcW w:w="4000" w:type="dxa"/>
            <w:vAlign w:val="bottom"/>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F-113</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0" w:right="379" w:bottom="1440" w:gutter="0" w:footer="0" w:header="0"/>
        </w:sectPr>
      </w:pPr>
    </w:p>
    <w:bookmarkStart w:id="318" w:name="page319"/>
    <w:bookmarkEnd w:id="3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200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360" w:firstLine="449"/>
        <w:spacing w:after="0" w:line="270"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169"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8"/>
          <w:szCs w:val="18"/>
          <w:color w:val="auto"/>
        </w:rPr>
        <w:t>In February 2020, the Corporation granted 1,774,408 of non-qualified stock options which were determined to have implied market conditions attached to their vesting schedule. As such, these options are valued using a Monte Carlo valuation model to estimate each share’s fair value as of the grant date. The Monte Carlo valuation model uses multiple simulations to evaluate the probability of achieving certain stock prices, the outputs of which are utilized to determine the grant date fair value of these options. Based on the Monte Carlo simulation, the grant date fair value of these options was determined to be $2.45, and the Corporation recognized approximately $1.3 million in related stock compensation expense for the nine month period ended September 30, 2020, respectively.</w:t>
      </w:r>
    </w:p>
    <w:p>
      <w:pPr>
        <w:spacing w:after="0" w:line="187"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nine month periods ended September 30, 2019 and 2020 was $0.00 and $2.10 per share, respectively. As of December 31, 2019 and September 30, 2020, there was approximately $9.0 million and $16.1 million, respectively, of unrecognized stock-based compensation expense related to unvested stock options. The unrecognized stock-based compensation expense is estimated to be recognized over a period of 2.7 years as of September 30, 2020.</w:t>
      </w:r>
    </w:p>
    <w:p>
      <w:pPr>
        <w:spacing w:after="0" w:line="185" w:lineRule="exact"/>
        <w:rPr>
          <w:sz w:val="20"/>
          <w:szCs w:val="20"/>
          <w:color w:val="auto"/>
        </w:rPr>
      </w:pPr>
    </w:p>
    <w:p>
      <w:pPr>
        <w:ind w:right="760" w:firstLine="449"/>
        <w:spacing w:after="0" w:line="270" w:lineRule="auto"/>
        <w:rPr>
          <w:sz w:val="20"/>
          <w:szCs w:val="20"/>
          <w:color w:val="auto"/>
        </w:rPr>
      </w:pPr>
      <w:r>
        <w:rPr>
          <w:rFonts w:ascii="Times New Roman" w:cs="Times New Roman" w:eastAsia="Times New Roman" w:hAnsi="Times New Roman"/>
          <w:sz w:val="18"/>
          <w:szCs w:val="18"/>
          <w:color w:val="auto"/>
        </w:rPr>
        <w:t>The total fair value of options vested during the nine month periods ended September 30, 2019 and 2020, was approximately $2.9 million and $4.3 million, respectively.</w:t>
      </w:r>
    </w:p>
    <w:p>
      <w:pPr>
        <w:spacing w:after="0" w:line="169"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8"/>
          <w:szCs w:val="18"/>
          <w:color w:val="auto"/>
        </w:rPr>
        <w:t>As of September 30, 2020, outstanding stock options, substantially all of which are expected to vest, had an aggregate intrinsic value of $165.1 million, and a weighted-average remaining contractual term of 7.99 years. As of September 30, 2020, there were 8,916,964 options exercisable under the Plan, with an aggregate intrinsic value of $94.2 million, a weighted-average exercise price of $3.18, and a weighted-average remaining contractual term of 6.98 years. The total intrinsic value of stock options exercised during the nine month periods ended September 30, 2019 and 2020 was $1.1 million and $1.6 million, respectively. Cash received from stock option exercises during the nine month periods ended September 30, 2019 and 2020 totaled $0.6 million and $1.0 million, respectively.</w:t>
      </w:r>
    </w:p>
    <w:p>
      <w:pPr>
        <w:spacing w:after="0" w:line="187" w:lineRule="exact"/>
        <w:rPr>
          <w:sz w:val="20"/>
          <w:szCs w:val="20"/>
          <w:color w:val="auto"/>
        </w:rPr>
      </w:pPr>
    </w:p>
    <w:p>
      <w:pPr>
        <w:jc w:val="both"/>
        <w:ind w:right="80" w:firstLine="449"/>
        <w:spacing w:after="0" w:line="253" w:lineRule="auto"/>
        <w:rPr>
          <w:sz w:val="20"/>
          <w:szCs w:val="20"/>
          <w:color w:val="auto"/>
        </w:rPr>
      </w:pPr>
      <w:r>
        <w:rPr>
          <w:rFonts w:ascii="Times New Roman" w:cs="Times New Roman" w:eastAsia="Times New Roman" w:hAnsi="Times New Roman"/>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warrants</w:t>
      </w:r>
    </w:p>
    <w:p>
      <w:pPr>
        <w:spacing w:after="0" w:line="11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Corporation entered into two separate scopes of work with certain providers to provide services to the Corporation. As part of the payment for the services the Corporation issued warrants, in November 2016 and December 2017. The warrants were issued to purchase 139,629 shares of common stock at an exercise price of $2.61 per share, and 122,052 shares of common stock at an exercise price of $3.45 per share. The warrants are exercisable comprising the vesting portion at any time up to and including the earlier of (a) the consummation of an Initial Public Offering (“IPO”); (b) the consummation of a transaction or series of related transactions that is deemed to constitute a liquidation, dissolution or winding up of the Corporation including a change in control or (c) on the 10 year anniversary of the date of issuance (the expiration date). The warrants are being recorded as equity awards, and compensation expense was recognized over the vesting period.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220"/>
          </w:cols>
          <w:pgMar w:left="320" w:top="450" w:right="359" w:bottom="1440" w:gutter="0" w:footer="0" w:header="0"/>
        </w:sectPr>
      </w:pPr>
    </w:p>
    <w:bookmarkStart w:id="319" w:name="page320"/>
    <w:bookmarkEnd w:id="3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60" w:firstLine="449"/>
        <w:spacing w:after="0" w:line="280" w:lineRule="auto"/>
        <w:rPr>
          <w:sz w:val="20"/>
          <w:szCs w:val="20"/>
          <w:color w:val="auto"/>
        </w:rPr>
      </w:pPr>
      <w:r>
        <w:rPr>
          <w:rFonts w:ascii="Times New Roman" w:cs="Times New Roman" w:eastAsia="Times New Roman" w:hAnsi="Times New Roman"/>
          <w:sz w:val="17"/>
          <w:szCs w:val="17"/>
          <w:color w:val="auto"/>
        </w:rPr>
        <w:t>As of September 30, 2020, there were 261,681 warrants exercisable under the Plan, substantially all of which are expected to vest, with an aggregate intrinsic value of $3.6 million, a weighted-average exercise price of $3.0 and a weighted-average remaining contractual term of 6.59 years. The total fair value of warrants vested during the nine month periods ended September 30, 2019 and 2020, was approximately $1.0 million and $4.0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warrant activity during the nine month periods ended September 30, 2019 and 2020, respectively, is as follows:</w:t>
      </w:r>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60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0"/>
        </w:trPr>
        <w:tc>
          <w:tcPr>
            <w:tcW w:w="578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05"/>
        </w:trPr>
        <w:tc>
          <w:tcPr>
            <w:tcW w:w="57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December 31, 2018</w:t>
            </w:r>
          </w:p>
        </w:tc>
        <w:tc>
          <w:tcPr>
            <w:tcW w:w="6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261,681</w:t>
            </w:r>
          </w:p>
        </w:tc>
        <w:tc>
          <w:tcPr>
            <w:tcW w:w="9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2019</w:t>
            </w: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September 30, 2019</w:t>
            </w:r>
          </w:p>
        </w:tc>
        <w:tc>
          <w:tcPr>
            <w:tcW w:w="16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261,681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2020</w:t>
            </w: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September 30, 2020</w:t>
            </w:r>
          </w:p>
        </w:tc>
        <w:tc>
          <w:tcPr>
            <w:tcW w:w="16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261,681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12"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The consolidated effective tax rate for the nine month periods ended September 30, 2019 and 2020, was 0.0% and 0.0%, respectively. The Corporation believes that as of September 30, 2020, it had no material uncertain tax position. Interest and penalties related to unrecognized tax expense (benefits) are recognized in income tax expense, when applicable.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liabilities for interest and penalties accrued as of September 30, 2020.</w:t>
      </w:r>
    </w:p>
    <w:p>
      <w:pPr>
        <w:spacing w:after="0" w:line="216"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COVID-19. As of September 30, 2020, the Corporation has determined that neither the CARES Act nor changes to income tax laws or regulations in other jurisdictions had a significant impact on our effective tax rate.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loss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39"/>
        </w:trPr>
        <w:tc>
          <w:tcPr>
            <w:tcW w:w="53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8"/>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5"/>
        </w:trPr>
        <w:tc>
          <w:tcPr>
            <w:tcW w:w="53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30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(285,066)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(10,001)</w:t>
            </w:r>
          </w:p>
        </w:tc>
        <w:tc>
          <w:tcPr>
            <w:tcW w:w="100" w:type="dxa"/>
            <w:vAlign w:val="bottom"/>
            <w:shd w:val="clear" w:color="auto" w:fill="CCEEFF"/>
          </w:tcPr>
          <w:p>
            <w:pPr>
              <w:spacing w:after="0"/>
              <w:rPr>
                <w:sz w:val="17"/>
                <w:szCs w:val="17"/>
                <w:color w:val="auto"/>
              </w:rPr>
            </w:pPr>
          </w:p>
        </w:tc>
      </w:tr>
      <w:tr>
        <w:trPr>
          <w:trHeight w:val="21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(285,066)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(10,001)</w:t>
            </w:r>
          </w:p>
        </w:tc>
      </w:tr>
      <w:tr>
        <w:trPr>
          <w:trHeight w:val="21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42,491,451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42,849,576</w:t>
            </w:r>
          </w:p>
        </w:tc>
      </w:tr>
      <w:tr>
        <w:trPr>
          <w:trHeight w:val="21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w w:val="98"/>
              </w:rPr>
              <w:t>Net loss per share attributable to common stockholders— basic and diluted</w:t>
            </w:r>
          </w:p>
        </w:tc>
        <w:tc>
          <w:tcPr>
            <w:tcW w:w="30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5360" w:type="dxa"/>
            <w:vAlign w:val="bottom"/>
          </w:tcPr>
          <w:p>
            <w:pPr>
              <w:spacing w:after="0"/>
              <w:rPr>
                <w:sz w:val="24"/>
                <w:szCs w:val="24"/>
                <w:color w:val="auto"/>
              </w:rPr>
            </w:pPr>
          </w:p>
        </w:tc>
        <w:tc>
          <w:tcPr>
            <w:tcW w:w="3180" w:type="dxa"/>
            <w:vAlign w:val="bottom"/>
            <w:gridSpan w:val="2"/>
          </w:tcPr>
          <w:p>
            <w:pPr>
              <w:jc w:val="right"/>
              <w:ind w:right="2617"/>
              <w:spacing w:after="0"/>
              <w:rPr>
                <w:sz w:val="20"/>
                <w:szCs w:val="20"/>
                <w:color w:val="auto"/>
              </w:rPr>
            </w:pPr>
            <w:r>
              <w:rPr>
                <w:rFonts w:ascii="Times New Roman" w:cs="Times New Roman" w:eastAsia="Times New Roman" w:hAnsi="Times New Roman"/>
                <w:sz w:val="18"/>
                <w:szCs w:val="18"/>
                <w:color w:val="auto"/>
              </w:rPr>
              <w:t>F-115</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0" w:right="339" w:bottom="1440" w:gutter="0" w:footer="0" w:header="0"/>
        </w:sectPr>
      </w:pPr>
    </w:p>
    <w:bookmarkStart w:id="320" w:name="page321"/>
    <w:bookmarkEnd w:id="3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CLOVER HEALTH INVESTMENTS, CORP.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8"/>
          <w:szCs w:val="18"/>
          <w:color w:val="auto"/>
        </w:rPr>
        <w:t>The Corporation’s potentially dilutive securities, which include stock options, preferred stock and warrants to purchase shares of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Corporation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60" w:type="dxa"/>
            <w:vAlign w:val="bottom"/>
          </w:tcPr>
          <w:p>
            <w:pPr>
              <w:spacing w:after="0"/>
              <w:rPr>
                <w:sz w:val="14"/>
                <w:szCs w:val="14"/>
                <w:color w:val="auto"/>
              </w:rPr>
            </w:pPr>
          </w:p>
        </w:tc>
        <w:tc>
          <w:tcPr>
            <w:tcW w:w="25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39"/>
        </w:trPr>
        <w:tc>
          <w:tcPr>
            <w:tcW w:w="86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7"/>
              <w:spacing w:after="0" w:line="139"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5"/>
              <w:spacing w:after="0" w:line="139"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5"/>
        </w:trPr>
        <w:tc>
          <w:tcPr>
            <w:tcW w:w="86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Options to purchase common stock</w:t>
            </w:r>
          </w:p>
        </w:tc>
        <w:tc>
          <w:tcPr>
            <w:tcW w:w="10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13,650,856</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18,034,183</w:t>
            </w:r>
          </w:p>
        </w:tc>
        <w:tc>
          <w:tcPr>
            <w:tcW w:w="60" w:type="dxa"/>
            <w:vAlign w:val="bottom"/>
            <w:shd w:val="clear" w:color="auto" w:fill="CCEEFF"/>
          </w:tcPr>
          <w:p>
            <w:pPr>
              <w:spacing w:after="0"/>
              <w:rPr>
                <w:sz w:val="17"/>
                <w:szCs w:val="17"/>
                <w:color w:val="auto"/>
              </w:rPr>
            </w:pPr>
          </w:p>
        </w:tc>
      </w:tr>
      <w:tr>
        <w:trPr>
          <w:trHeight w:val="212"/>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67,427,138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67,427,138</w:t>
            </w:r>
          </w:p>
        </w:tc>
      </w:tr>
      <w:tr>
        <w:trPr>
          <w:trHeight w:val="21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 (as converted to common stock)</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2,361,681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2,361,681</w:t>
            </w:r>
          </w:p>
        </w:tc>
      </w:tr>
      <w:tr>
        <w:trPr>
          <w:trHeight w:val="218"/>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convertible preferred stock (as converted to common 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1,266,284</w:t>
            </w:r>
          </w:p>
        </w:tc>
        <w:tc>
          <w:tcPr>
            <w:tcW w:w="3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1,266,284</w:t>
            </w:r>
          </w:p>
        </w:tc>
        <w:tc>
          <w:tcPr>
            <w:tcW w:w="60" w:type="dxa"/>
            <w:vAlign w:val="bottom"/>
          </w:tcPr>
          <w:p>
            <w:pPr>
              <w:spacing w:after="0"/>
              <w:rPr>
                <w:sz w:val="18"/>
                <w:szCs w:val="18"/>
                <w:color w:val="auto"/>
              </w:rPr>
            </w:pPr>
          </w:p>
        </w:tc>
      </w:tr>
      <w:tr>
        <w:trPr>
          <w:trHeight w:val="212"/>
        </w:trPr>
        <w:tc>
          <w:tcPr>
            <w:tcW w:w="8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84,705,959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89,089,286</w:t>
            </w:r>
          </w:p>
        </w:tc>
      </w:tr>
      <w:tr>
        <w:trPr>
          <w:trHeight w:val="20"/>
        </w:trPr>
        <w:tc>
          <w:tcPr>
            <w:tcW w:w="8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14"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December 31, 2019 and September 30, 2020, respectively, there were no material known contingent liabilities arising outside the normal course of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Guaranty assessments</w:t>
      </w:r>
    </w:p>
    <w:p>
      <w:pPr>
        <w:spacing w:after="0" w:line="11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Dividend restrictions</w:t>
      </w:r>
    </w:p>
    <w:p>
      <w:pPr>
        <w:spacing w:after="0" w:line="112"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8"/>
          <w:szCs w:val="18"/>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Although such regulations do not specifically restrict the regulated insurance subsidiaries from paying dividends, they require the regulated insurance subsidiaries to be financially sound as determined by New Jersey Department of Banking and Insurance (“DOBI”). As of December 31, 2019 and September 30, 2020, respectively, neither the regulated insurance subsidiaries paid any dividends and may not do so until they meet those requirements and are granted permission to do so by DOBI.</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240"/>
          </w:cols>
          <w:pgMar w:left="320" w:top="450" w:right="339" w:bottom="1440" w:gutter="0" w:footer="0" w:header="0"/>
        </w:sectPr>
      </w:pPr>
    </w:p>
    <w:bookmarkStart w:id="321" w:name="page322"/>
    <w:bookmarkEnd w:id="3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2" w:lineRule="exact"/>
        <w:rPr>
          <w:sz w:val="20"/>
          <w:szCs w:val="20"/>
          <w:color w:val="auto"/>
        </w:rPr>
      </w:pPr>
    </w:p>
    <w:p>
      <w:pPr>
        <w:ind w:right="360" w:firstLine="449"/>
        <w:spacing w:after="0" w:line="270"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89" w:lineRule="exact"/>
        <w:rPr>
          <w:sz w:val="20"/>
          <w:szCs w:val="20"/>
          <w:color w:val="auto"/>
        </w:rPr>
      </w:pPr>
    </w:p>
    <w:tbl>
      <w:tblPr>
        <w:tblLayout w:type="fixed"/>
        <w:tblInd w:w="180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5"/>
        </w:trPr>
        <w:tc>
          <w:tcPr>
            <w:tcW w:w="49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SEC registration fee</w:t>
            </w:r>
          </w:p>
        </w:tc>
        <w:tc>
          <w:tcPr>
            <w:tcW w:w="1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254,745.85</w:t>
            </w:r>
          </w:p>
        </w:tc>
        <w:tc>
          <w:tcPr>
            <w:tcW w:w="140" w:type="dxa"/>
            <w:vAlign w:val="bottom"/>
            <w:tcBorders>
              <w:top w:val="single" w:sz="8" w:color="CCEEFF"/>
            </w:tcBorders>
            <w:shd w:val="clear" w:color="auto" w:fill="CCEEFF"/>
          </w:tcPr>
          <w:p>
            <w:pPr>
              <w:spacing w:after="0"/>
              <w:rPr>
                <w:sz w:val="17"/>
                <w:szCs w:val="17"/>
                <w:color w:val="auto"/>
              </w:rPr>
            </w:pPr>
          </w:p>
        </w:tc>
      </w:tr>
      <w:tr>
        <w:trPr>
          <w:trHeight w:val="212"/>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893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defined at this time.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2"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Securities Act.</w:t>
      </w:r>
    </w:p>
    <w:p>
      <w:pPr>
        <w:spacing w:after="0" w:line="18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amended and restated certificate of incorporation that will be in effect upon the completion of the offering contains provisions that eliminate the personal liability of its directors for monetary damages for any breach of fiduciary duties as a director, except liability for the following:</w:t>
      </w:r>
    </w:p>
    <w:p>
      <w:pPr>
        <w:spacing w:after="0" w:line="86" w:lineRule="exact"/>
        <w:rPr>
          <w:sz w:val="20"/>
          <w:szCs w:val="20"/>
          <w:color w:val="auto"/>
        </w:rPr>
      </w:pPr>
    </w:p>
    <w:p>
      <w:pPr>
        <w:ind w:left="1000" w:hanging="439"/>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and stock purchases); or</w:t>
      </w:r>
    </w:p>
    <w:p>
      <w:pPr>
        <w:spacing w:after="0" w:line="123"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6" w:lineRule="exact"/>
        <w:rPr>
          <w:sz w:val="20"/>
          <w:szCs w:val="20"/>
          <w:color w:val="auto"/>
        </w:rPr>
      </w:pPr>
    </w:p>
    <w:p>
      <w:pPr>
        <w:ind w:right="100" w:firstLine="449"/>
        <w:spacing w:after="0" w:line="270"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amended and restated bylaws that will be in effect upon the completion of the offering provide that:</w:t>
      </w:r>
    </w:p>
    <w:p>
      <w:pPr>
        <w:spacing w:after="0" w:line="76" w:lineRule="exact"/>
        <w:rPr>
          <w:sz w:val="20"/>
          <w:szCs w:val="20"/>
          <w:color w:val="auto"/>
        </w:rPr>
      </w:pPr>
    </w:p>
    <w:p>
      <w:pPr>
        <w:ind w:left="1000" w:hanging="439"/>
        <w:spacing w:after="0" w:line="270"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officers to the fullest extent permitted by the Delaware General Corporation Law, subject to very limited exceptions;</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Delaware General Corporation Law;</w:t>
      </w:r>
    </w:p>
    <w:p>
      <w:pPr>
        <w:spacing w:after="0" w:line="123" w:lineRule="exact"/>
        <w:rPr>
          <w:rFonts w:ascii="Times New Roman" w:cs="Times New Roman" w:eastAsia="Times New Roman" w:hAnsi="Times New Roman"/>
          <w:sz w:val="18"/>
          <w:szCs w:val="18"/>
          <w:color w:val="auto"/>
        </w:rPr>
      </w:pPr>
    </w:p>
    <w:p>
      <w:pPr>
        <w:ind w:left="1000" w:right="40" w:hanging="439"/>
        <w:spacing w:after="0" w:line="270" w:lineRule="auto"/>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7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bylaws are not exclusive.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20"/>
          </w:cols>
          <w:pgMar w:left="320" w:top="449" w:right="359" w:bottom="1440" w:gutter="0" w:footer="0" w:header="0"/>
        </w:sectPr>
      </w:pPr>
    </w:p>
    <w:bookmarkStart w:id="322" w:name="page323"/>
    <w:bookmarkEnd w:id="3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8"/>
          <w:szCs w:val="18"/>
          <w:color w:val="auto"/>
        </w:rPr>
        <w:t>The Registrant has entered, and intends to continue to enter into separate indemnification agreements with its current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At present, there is no pending litigation or proceeding involving a director, executive officer or employee of the Registrant for which indemnification is sought. The indemnification provisions in the Registrant’s amended and restated certificate of incorporation, amended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has directors’ and officers’ liability insurance for securities matters.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January 1, 2018, the Registrant has issued and sold the following unregistered securities:</w:t>
      </w:r>
    </w:p>
    <w:p>
      <w:pPr>
        <w:spacing w:after="0" w:line="124" w:lineRule="exact"/>
        <w:rPr>
          <w:sz w:val="20"/>
          <w:szCs w:val="20"/>
          <w:color w:val="auto"/>
        </w:rPr>
      </w:pPr>
    </w:p>
    <w:p>
      <w:pPr>
        <w:ind w:left="1000" w:right="560" w:hanging="439"/>
        <w:spacing w:after="0" w:line="270"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2020, an aggregate of 17,250,000 founder shares to SCH Sponsor III LLC, the Sponsor for an aggregate offering price of $25,000 at an average purchase price of approximately $0.001 per share;</w:t>
      </w:r>
    </w:p>
    <w:p>
      <w:pPr>
        <w:spacing w:after="0" w:line="76" w:lineRule="exact"/>
        <w:rPr>
          <w:rFonts w:ascii="Times New Roman" w:cs="Times New Roman" w:eastAsia="Times New Roman" w:hAnsi="Times New Roman"/>
          <w:sz w:val="18"/>
          <w:szCs w:val="18"/>
          <w:color w:val="auto"/>
        </w:rPr>
      </w:pPr>
    </w:p>
    <w:p>
      <w:pPr>
        <w:ind w:left="1000" w:right="280" w:hanging="439"/>
        <w:spacing w:after="0" w:line="270"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2020, 10,933,333 private placement warrants at an exercise price of $11.50 to the Sponsor at a price of $1.50 per warrant for an aggregate purchase price of $16,400,000;</w:t>
      </w:r>
    </w:p>
    <w:p>
      <w:pPr>
        <w:spacing w:after="0" w:line="76" w:lineRule="exact"/>
        <w:rPr>
          <w:rFonts w:ascii="Times New Roman" w:cs="Times New Roman" w:eastAsia="Times New Roman" w:hAnsi="Times New Roman"/>
          <w:sz w:val="18"/>
          <w:szCs w:val="18"/>
          <w:color w:val="auto"/>
        </w:rPr>
      </w:pPr>
    </w:p>
    <w:p>
      <w:pPr>
        <w:ind w:left="1000" w:right="80" w:hanging="439"/>
        <w:spacing w:after="0" w:line="300" w:lineRule="auto"/>
        <w:tabs>
          <w:tab w:leader="none" w:pos="10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7, 2021, 40,000,000 shares of Class A common stock to certain qualified institutional buyers and accredited investors that agreed to purchase such shares in connection with the Business Combination at a price of $10.00 per share for aggregate consideration of $400,000,000.</w:t>
      </w:r>
    </w:p>
    <w:p>
      <w:pPr>
        <w:spacing w:after="0" w:line="146" w:lineRule="exact"/>
        <w:rPr>
          <w:sz w:val="20"/>
          <w:szCs w:val="20"/>
          <w:color w:val="auto"/>
        </w:rPr>
      </w:pPr>
    </w:p>
    <w:p>
      <w:pPr>
        <w:ind w:right="260" w:firstLine="449"/>
        <w:spacing w:after="0" w:line="270" w:lineRule="auto"/>
        <w:rPr>
          <w:sz w:val="20"/>
          <w:szCs w:val="20"/>
          <w:color w:val="auto"/>
        </w:rPr>
      </w:pPr>
      <w:r>
        <w:rPr>
          <w:rFonts w:ascii="Times New Roman" w:cs="Times New Roman" w:eastAsia="Times New Roman" w:hAnsi="Times New Roman"/>
          <w:sz w:val="18"/>
          <w:szCs w:val="18"/>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00"/>
          </w:cols>
          <w:pgMar w:left="320" w:top="450" w:right="379" w:bottom="1440" w:gutter="0" w:footer="0" w:header="0"/>
        </w:sectPr>
      </w:pPr>
    </w:p>
    <w:bookmarkStart w:id="323" w:name="page324"/>
    <w:bookmarkEnd w:id="3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Exhibits.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Exhibit title</w:t>
            </w:r>
          </w:p>
        </w:tc>
        <w:tc>
          <w:tcPr>
            <w:tcW w:w="2020" w:type="dxa"/>
            <w:vAlign w:val="bottom"/>
            <w:gridSpan w:val="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4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No.</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c>
          <w:tcPr>
            <w:tcW w:w="4980" w:type="dxa"/>
            <w:vAlign w:val="bottom"/>
            <w:gridSpan w:val="10"/>
          </w:tcPr>
          <w:p>
            <w:pPr>
              <w:spacing w:after="0"/>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Agreement and Plan of Merger, dated as of October 5, 2020, by and</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80" w:type="dxa"/>
            <w:vAlign w:val="bottom"/>
            <w:gridSpan w:val="10"/>
          </w:tcPr>
          <w:p>
            <w:pPr>
              <w:spacing w:after="0" w:line="192"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among the Registrant, Asclepius Merger Sub Inc. and Clover Health</w:t>
              </w:r>
            </w:hyperlink>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Investments, Corp.</w:t>
              </w:r>
            </w:hyperlink>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2.1(a)</w:t>
            </w:r>
          </w:p>
        </w:tc>
        <w:tc>
          <w:tcPr>
            <w:tcW w:w="44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385">
              <w:r>
                <w:rPr>
                  <w:rFonts w:ascii="Times New Roman" w:cs="Times New Roman" w:eastAsia="Times New Roman" w:hAnsi="Times New Roman"/>
                  <w:sz w:val="18"/>
                  <w:szCs w:val="18"/>
                  <w:color w:val="0000EE"/>
                  <w:w w:val="97"/>
                </w:rPr>
                <w:t>Amendment to the Agreement and Plan of Merger, dated as of</w:t>
              </w:r>
            </w:hyperlink>
          </w:p>
        </w:tc>
        <w:tc>
          <w:tcPr>
            <w:tcW w:w="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80" w:type="dxa"/>
            <w:vAlign w:val="bottom"/>
            <w:gridSpan w:val="10"/>
          </w:tcPr>
          <w:p>
            <w:pPr>
              <w:spacing w:after="0" w:line="192" w:lineRule="exact"/>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December 8, 2020</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86">
              <w:r>
                <w:rPr>
                  <w:rFonts w:ascii="Times New Roman" w:cs="Times New Roman" w:eastAsia="Times New Roman" w:hAnsi="Times New Roman"/>
                  <w:sz w:val="18"/>
                  <w:szCs w:val="18"/>
                  <w:u w:val="single" w:color="auto"/>
                  <w:color w:val="0000EE"/>
                </w:rPr>
                <w:t>Amended and Restated Certificate of Incorporation of the Registrant</w:t>
              </w:r>
            </w:hyperlink>
          </w:p>
        </w:tc>
        <w:tc>
          <w:tcPr>
            <w:tcW w:w="0" w:type="dxa"/>
            <w:vAlign w:val="bottom"/>
          </w:tcPr>
          <w:p>
            <w:pPr>
              <w:spacing w:after="0"/>
              <w:rPr>
                <w:sz w:val="1"/>
                <w:szCs w:val="1"/>
                <w:color w:val="auto"/>
              </w:rPr>
            </w:pPr>
          </w:p>
        </w:tc>
      </w:tr>
      <w:tr>
        <w:trPr>
          <w:trHeight w:val="317"/>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87">
              <w:r>
                <w:rPr>
                  <w:rFonts w:ascii="Times New Roman" w:cs="Times New Roman" w:eastAsia="Times New Roman" w:hAnsi="Times New Roman"/>
                  <w:sz w:val="18"/>
                  <w:szCs w:val="18"/>
                  <w:u w:val="single" w:color="auto"/>
                  <w:color w:val="0000EE"/>
                </w:rPr>
                <w:t>Amended and Restated Bylaws of the Registrant</w:t>
              </w:r>
            </w:hyperlink>
          </w:p>
        </w:tc>
        <w:tc>
          <w:tcPr>
            <w:tcW w:w="0" w:type="dxa"/>
            <w:vAlign w:val="bottom"/>
          </w:tcPr>
          <w:p>
            <w:pPr>
              <w:spacing w:after="0"/>
              <w:rPr>
                <w:sz w:val="1"/>
                <w:szCs w:val="1"/>
                <w:color w:val="auto"/>
              </w:rPr>
            </w:pPr>
          </w:p>
        </w:tc>
      </w:tr>
      <w:tr>
        <w:trPr>
          <w:trHeight w:val="278"/>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color w:val="0000EE"/>
                <w:w w:val="98"/>
              </w:rPr>
            </w:pPr>
            <w:hyperlink r:id="rId388">
              <w:r>
                <w:rPr>
                  <w:rFonts w:ascii="Times New Roman" w:cs="Times New Roman" w:eastAsia="Times New Roman" w:hAnsi="Times New Roman"/>
                  <w:sz w:val="18"/>
                  <w:szCs w:val="18"/>
                  <w:color w:val="0000EE"/>
                  <w:w w:val="98"/>
                </w:rPr>
                <w:t>Warrant Agreement, dated April 21, 2020, between the Company and</w:t>
              </w:r>
            </w:hyperlink>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00" w:type="dxa"/>
            <w:vAlign w:val="bottom"/>
            <w:tcBorders>
              <w:top w:val="single" w:sz="8" w:color="0000EE"/>
            </w:tcBorders>
            <w:gridSpan w:val="9"/>
          </w:tcPr>
          <w:p>
            <w:pPr>
              <w:spacing w:after="0"/>
              <w:rPr>
                <w:rFonts w:ascii="Times New Roman" w:cs="Times New Roman" w:eastAsia="Times New Roman" w:hAnsi="Times New Roman"/>
                <w:sz w:val="18"/>
                <w:szCs w:val="18"/>
                <w:u w:val="single" w:color="auto"/>
                <w:color w:val="0000EE"/>
              </w:rPr>
            </w:pPr>
            <w:hyperlink r:id="rId388">
              <w:r>
                <w:rPr>
                  <w:rFonts w:ascii="Times New Roman" w:cs="Times New Roman" w:eastAsia="Times New Roman" w:hAnsi="Times New Roman"/>
                  <w:sz w:val="18"/>
                  <w:szCs w:val="18"/>
                  <w:u w:val="single" w:color="auto"/>
                  <w:color w:val="0000EE"/>
                </w:rPr>
                <w:t>Continental Stock Transfer &amp; Trust Company, as warrant agent.</w:t>
              </w:r>
            </w:hyperlink>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89">
              <w:r>
                <w:rPr>
                  <w:rFonts w:ascii="Times New Roman" w:cs="Times New Roman" w:eastAsia="Times New Roman" w:hAnsi="Times New Roman"/>
                  <w:sz w:val="18"/>
                  <w:szCs w:val="18"/>
                  <w:u w:val="single" w:color="auto"/>
                  <w:color w:val="0000EE"/>
                </w:rPr>
                <w:t>Specimen Class A Common Stock Certificate of the Registrant</w:t>
              </w:r>
            </w:hyperlink>
          </w:p>
        </w:tc>
        <w:tc>
          <w:tcPr>
            <w:tcW w:w="0" w:type="dxa"/>
            <w:vAlign w:val="bottom"/>
          </w:tcPr>
          <w:p>
            <w:pPr>
              <w:spacing w:after="0"/>
              <w:rPr>
                <w:sz w:val="1"/>
                <w:szCs w:val="1"/>
                <w:color w:val="auto"/>
              </w:rPr>
            </w:pPr>
          </w:p>
        </w:tc>
      </w:tr>
      <w:tr>
        <w:trPr>
          <w:trHeight w:val="317"/>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90">
              <w:r>
                <w:rPr>
                  <w:rFonts w:ascii="Times New Roman" w:cs="Times New Roman" w:eastAsia="Times New Roman" w:hAnsi="Times New Roman"/>
                  <w:sz w:val="18"/>
                  <w:szCs w:val="18"/>
                  <w:u w:val="single" w:color="auto"/>
                  <w:color w:val="0000EE"/>
                </w:rPr>
                <w:t>Specimen Class B Common Stock Certificate of the Registrant</w:t>
              </w:r>
            </w:hyperlink>
          </w:p>
        </w:tc>
        <w:tc>
          <w:tcPr>
            <w:tcW w:w="0" w:type="dxa"/>
            <w:vAlign w:val="bottom"/>
          </w:tcPr>
          <w:p>
            <w:pPr>
              <w:spacing w:after="0"/>
              <w:rPr>
                <w:sz w:val="1"/>
                <w:szCs w:val="1"/>
                <w:color w:val="auto"/>
              </w:rPr>
            </w:pPr>
          </w:p>
        </w:tc>
      </w:tr>
      <w:tr>
        <w:trPr>
          <w:trHeight w:val="317"/>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w:anchor="page329">
              <w:r>
                <w:rPr>
                  <w:rFonts w:ascii="Times New Roman" w:cs="Times New Roman" w:eastAsia="Times New Roman" w:hAnsi="Times New Roman"/>
                  <w:sz w:val="18"/>
                  <w:szCs w:val="18"/>
                  <w:u w:val="single" w:color="auto"/>
                  <w:color w:val="0000EE"/>
                </w:rPr>
                <w:t>Opinion of Orrick, Herrington &amp; Sutcliffe LLP</w:t>
              </w:r>
            </w:hyperlink>
          </w:p>
        </w:tc>
        <w:tc>
          <w:tcPr>
            <w:tcW w:w="0" w:type="dxa"/>
            <w:vAlign w:val="bottom"/>
          </w:tcPr>
          <w:p>
            <w:pPr>
              <w:spacing w:after="0"/>
              <w:rPr>
                <w:sz w:val="1"/>
                <w:szCs w:val="1"/>
                <w:color w:val="auto"/>
              </w:rPr>
            </w:pPr>
          </w:p>
        </w:tc>
      </w:tr>
      <w:tr>
        <w:trPr>
          <w:trHeight w:val="278"/>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5"/>
              </w:rPr>
              <w:t>10.1</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Amended and Restated Registration Rights Agreement, dated as of</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8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8"/>
              </w:rPr>
            </w:pPr>
            <w:hyperlink r:id="rId391">
              <w:r>
                <w:rPr>
                  <w:rFonts w:ascii="Times New Roman" w:cs="Times New Roman" w:eastAsia="Times New Roman" w:hAnsi="Times New Roman"/>
                  <w:sz w:val="18"/>
                  <w:szCs w:val="18"/>
                  <w:color w:val="0000EE"/>
                  <w:w w:val="98"/>
                </w:rPr>
                <w:t>January 7, 2021, by and among the Registrant, SCH Sponsor III LLC,</w:t>
              </w:r>
            </w:hyperlink>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391">
              <w:r>
                <w:rPr>
                  <w:rFonts w:ascii="Times New Roman" w:cs="Times New Roman" w:eastAsia="Times New Roman" w:hAnsi="Times New Roman"/>
                  <w:sz w:val="18"/>
                  <w:szCs w:val="18"/>
                  <w:color w:val="0000EE"/>
                  <w:w w:val="97"/>
                </w:rPr>
                <w:t>certain former stockholders of Clover Health Investments, Corp.,</w:t>
              </w:r>
            </w:hyperlink>
          </w:p>
        </w:tc>
        <w:tc>
          <w:tcPr>
            <w:tcW w:w="3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91">
              <w:r>
                <w:rPr>
                  <w:rFonts w:ascii="Times New Roman" w:cs="Times New Roman" w:eastAsia="Times New Roman" w:hAnsi="Times New Roman"/>
                  <w:sz w:val="18"/>
                  <w:szCs w:val="18"/>
                  <w:u w:val="single" w:color="auto"/>
                  <w:color w:val="0000EE"/>
                </w:rPr>
                <w:t>Dr. James Ryans, Jacqueline D. Reses and the other parties thereto</w:t>
              </w:r>
            </w:hyperlink>
          </w:p>
        </w:tc>
        <w:tc>
          <w:tcPr>
            <w:tcW w:w="0" w:type="dxa"/>
            <w:vAlign w:val="bottom"/>
          </w:tcPr>
          <w:p>
            <w:pPr>
              <w:spacing w:after="0"/>
              <w:rPr>
                <w:sz w:val="1"/>
                <w:szCs w:val="1"/>
                <w:color w:val="auto"/>
              </w:rPr>
            </w:pPr>
          </w:p>
        </w:tc>
      </w:tr>
      <w:tr>
        <w:trPr>
          <w:trHeight w:val="317"/>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5"/>
              </w:rPr>
              <w:t>10.2</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92">
              <w:r>
                <w:rPr>
                  <w:rFonts w:ascii="Times New Roman" w:cs="Times New Roman" w:eastAsia="Times New Roman" w:hAnsi="Times New Roman"/>
                  <w:sz w:val="18"/>
                  <w:szCs w:val="18"/>
                  <w:u w:val="single" w:color="auto"/>
                  <w:color w:val="0000EE"/>
                </w:rPr>
                <w:t>Form of Indemnification Agreement</w:t>
              </w:r>
            </w:hyperlink>
          </w:p>
        </w:tc>
        <w:tc>
          <w:tcPr>
            <w:tcW w:w="0" w:type="dxa"/>
            <w:vAlign w:val="bottom"/>
          </w:tcPr>
          <w:p>
            <w:pPr>
              <w:spacing w:after="0"/>
              <w:rPr>
                <w:sz w:val="1"/>
                <w:szCs w:val="1"/>
                <w:color w:val="auto"/>
              </w:rPr>
            </w:pPr>
          </w:p>
        </w:tc>
      </w:tr>
      <w:tr>
        <w:trPr>
          <w:trHeight w:val="278"/>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5"/>
              </w:rPr>
              <w:t>10.3</w:t>
            </w:r>
          </w:p>
        </w:tc>
        <w:tc>
          <w:tcPr>
            <w:tcW w:w="280" w:type="dxa"/>
            <w:vAlign w:val="bottom"/>
          </w:tcPr>
          <w:p>
            <w:pPr>
              <w:spacing w:after="0"/>
              <w:rPr>
                <w:sz w:val="24"/>
                <w:szCs w:val="24"/>
                <w:color w:val="auto"/>
              </w:rPr>
            </w:pPr>
          </w:p>
        </w:tc>
        <w:tc>
          <w:tcPr>
            <w:tcW w:w="4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r:id="rId393">
              <w:r>
                <w:rPr>
                  <w:rFonts w:ascii="Times New Roman" w:cs="Times New Roman" w:eastAsia="Times New Roman" w:hAnsi="Times New Roman"/>
                  <w:sz w:val="18"/>
                  <w:szCs w:val="18"/>
                  <w:color w:val="0000EE"/>
                  <w:w w:val="97"/>
                </w:rPr>
                <w:t>Amended and Restated 2014 Equity Incentive Plan, and forms of</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6"/>
              </w:rPr>
            </w:pPr>
            <w:hyperlink r:id="rId393">
              <w:r>
                <w:rPr>
                  <w:rFonts w:ascii="Times New Roman" w:cs="Times New Roman" w:eastAsia="Times New Roman" w:hAnsi="Times New Roman"/>
                  <w:sz w:val="18"/>
                  <w:szCs w:val="18"/>
                  <w:color w:val="0000EE"/>
                  <w:w w:val="96"/>
                </w:rPr>
                <w:t>agreement thereunder.</w:t>
              </w:r>
            </w:hyperlink>
          </w:p>
        </w:tc>
        <w:tc>
          <w:tcPr>
            <w:tcW w:w="34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5"/>
              </w:rPr>
              <w:t>10.4</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94">
              <w:r>
                <w:rPr>
                  <w:rFonts w:ascii="Times New Roman" w:cs="Times New Roman" w:eastAsia="Times New Roman" w:hAnsi="Times New Roman"/>
                  <w:sz w:val="18"/>
                  <w:szCs w:val="18"/>
                  <w:u w:val="single" w:color="auto"/>
                  <w:color w:val="0000EE"/>
                </w:rPr>
                <w:t>2020 Equity Incentive Plan and forms of agreement thereunder.</w:t>
              </w:r>
            </w:hyperlink>
          </w:p>
        </w:tc>
        <w:tc>
          <w:tcPr>
            <w:tcW w:w="0" w:type="dxa"/>
            <w:vAlign w:val="bottom"/>
          </w:tcPr>
          <w:p>
            <w:pPr>
              <w:spacing w:after="0"/>
              <w:rPr>
                <w:sz w:val="1"/>
                <w:szCs w:val="1"/>
                <w:color w:val="auto"/>
              </w:rPr>
            </w:pPr>
          </w:p>
        </w:tc>
      </w:tr>
      <w:tr>
        <w:trPr>
          <w:trHeight w:val="317"/>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5"/>
              </w:rPr>
              <w:t>10.5</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95">
              <w:r>
                <w:rPr>
                  <w:rFonts w:ascii="Times New Roman" w:cs="Times New Roman" w:eastAsia="Times New Roman" w:hAnsi="Times New Roman"/>
                  <w:sz w:val="18"/>
                  <w:szCs w:val="18"/>
                  <w:u w:val="single" w:color="auto"/>
                  <w:color w:val="0000EE"/>
                </w:rPr>
                <w:t>2020 Employee Stock Purchase Plan</w:t>
              </w:r>
            </w:hyperlink>
          </w:p>
        </w:tc>
        <w:tc>
          <w:tcPr>
            <w:tcW w:w="0" w:type="dxa"/>
            <w:vAlign w:val="bottom"/>
          </w:tcPr>
          <w:p>
            <w:pPr>
              <w:spacing w:after="0"/>
              <w:rPr>
                <w:sz w:val="1"/>
                <w:szCs w:val="1"/>
                <w:color w:val="auto"/>
              </w:rPr>
            </w:pPr>
          </w:p>
        </w:tc>
      </w:tr>
      <w:tr>
        <w:trPr>
          <w:trHeight w:val="317"/>
        </w:trPr>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5"/>
              </w:rPr>
              <w:t>10.6</w:t>
            </w:r>
          </w:p>
        </w:tc>
        <w:tc>
          <w:tcPr>
            <w:tcW w:w="280" w:type="dxa"/>
            <w:vAlign w:val="bottom"/>
          </w:tcPr>
          <w:p>
            <w:pPr>
              <w:spacing w:after="0"/>
              <w:rPr>
                <w:sz w:val="24"/>
                <w:szCs w:val="24"/>
                <w:color w:val="auto"/>
              </w:rPr>
            </w:pPr>
          </w:p>
        </w:tc>
        <w:tc>
          <w:tcPr>
            <w:tcW w:w="4980" w:type="dxa"/>
            <w:vAlign w:val="bottom"/>
            <w:gridSpan w:val="10"/>
          </w:tcPr>
          <w:p>
            <w:pPr>
              <w:spacing w:after="0"/>
              <w:rPr>
                <w:rFonts w:ascii="Times New Roman" w:cs="Times New Roman" w:eastAsia="Times New Roman" w:hAnsi="Times New Roman"/>
                <w:sz w:val="18"/>
                <w:szCs w:val="18"/>
                <w:u w:val="single" w:color="auto"/>
                <w:color w:val="0000EE"/>
              </w:rPr>
            </w:pPr>
            <w:hyperlink r:id="rId396">
              <w:r>
                <w:rPr>
                  <w:rFonts w:ascii="Times New Roman" w:cs="Times New Roman" w:eastAsia="Times New Roman" w:hAnsi="Times New Roman"/>
                  <w:sz w:val="18"/>
                  <w:szCs w:val="18"/>
                  <w:u w:val="single" w:color="auto"/>
                  <w:color w:val="0000EE"/>
                </w:rPr>
                <w:t>Management Incentive Plan</w:t>
              </w:r>
            </w:hyperlink>
          </w:p>
        </w:tc>
        <w:tc>
          <w:tcPr>
            <w:tcW w:w="0" w:type="dxa"/>
            <w:vAlign w:val="bottom"/>
          </w:tcPr>
          <w:p>
            <w:pPr>
              <w:spacing w:after="0"/>
              <w:rPr>
                <w:sz w:val="1"/>
                <w:szCs w:val="1"/>
                <w:color w:val="auto"/>
              </w:rPr>
            </w:pPr>
          </w:p>
        </w:tc>
      </w:tr>
      <w:tr>
        <w:trPr>
          <w:trHeight w:val="357"/>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88"/>
              </w:rPr>
              <w:t>II-3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5"/>
        </w:trPr>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0"/>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10/6/2020</w:t>
            </w:r>
          </w:p>
        </w:tc>
      </w:tr>
      <w:tr>
        <w:trPr>
          <w:trHeight w:val="740"/>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12/10/2020</w:t>
            </w:r>
          </w:p>
        </w:tc>
      </w:tr>
      <w:tr>
        <w:trPr>
          <w:trHeight w:val="529"/>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r>
      <w:tr>
        <w:trPr>
          <w:trHeight w:val="317"/>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r>
      <w:tr>
        <w:trPr>
          <w:trHeight w:val="317"/>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4/24/2020</w:t>
            </w:r>
          </w:p>
        </w:tc>
      </w:tr>
      <w:tr>
        <w:trPr>
          <w:trHeight w:val="529"/>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2"/>
              </w:rPr>
              <w:t>S-4/A</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333-249558</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11/20/2020</w:t>
            </w:r>
          </w:p>
        </w:tc>
      </w:tr>
      <w:tr>
        <w:trPr>
          <w:trHeight w:val="317"/>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2"/>
              </w:rPr>
              <w:t>S-4/A</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333-249558</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11/20/2020</w:t>
            </w:r>
          </w:p>
        </w:tc>
      </w:tr>
      <w:tr>
        <w:trPr>
          <w:trHeight w:val="635"/>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r>
      <w:tr>
        <w:trPr>
          <w:trHeight w:val="952"/>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r>
      <w:tr>
        <w:trPr>
          <w:trHeight w:val="317"/>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S-4</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333-249558</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10/20/2020</w:t>
            </w:r>
          </w:p>
        </w:tc>
      </w:tr>
      <w:tr>
        <w:trPr>
          <w:trHeight w:val="529"/>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r>
      <w:tr>
        <w:trPr>
          <w:trHeight w:val="317"/>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r>
      <w:tr>
        <w:trPr>
          <w:trHeight w:val="317"/>
        </w:trPr>
        <w:tc>
          <w:tcPr>
            <w:tcW w:w="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001-39252</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2" w:lineRule="exact"/>
        <w:rPr>
          <w:sz w:val="20"/>
          <w:szCs w:val="20"/>
          <w:color w:val="auto"/>
        </w:rPr>
      </w:pPr>
    </w:p>
    <w:p>
      <w:pPr>
        <w:ind w:hanging="24"/>
        <w:spacing w:after="0" w:line="233" w:lineRule="auto"/>
        <w:rPr>
          <w:sz w:val="20"/>
          <w:szCs w:val="20"/>
          <w:color w:val="auto"/>
        </w:rPr>
      </w:pPr>
      <w:r>
        <w:rPr>
          <w:rFonts w:ascii="Times New Roman" w:cs="Times New Roman" w:eastAsia="Times New Roman" w:hAnsi="Times New Roman"/>
          <w:sz w:val="14"/>
          <w:szCs w:val="14"/>
          <w:b w:val="1"/>
          <w:bCs w:val="1"/>
          <w:color w:val="auto"/>
        </w:rPr>
        <w:t xml:space="preserve">furnished </w:t>
      </w:r>
      <w:r>
        <w:rPr>
          <w:rFonts w:ascii="Times New Roman" w:cs="Times New Roman" w:eastAsia="Times New Roman" w:hAnsi="Times New Roman"/>
          <w:sz w:val="14"/>
          <w:szCs w:val="14"/>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5760" w:space="500"/>
            <w:col w:w="3980" w:space="340"/>
            <w:col w:w="560"/>
          </w:cols>
          <w:pgMar w:left="320" w:top="450" w:right="439" w:bottom="1440" w:gutter="0" w:footer="0" w:header="0"/>
        </w:sectPr>
      </w:pPr>
    </w:p>
    <w:bookmarkStart w:id="324" w:name="page325"/>
    <w:bookmarkEnd w:id="3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ectPr>
          <w:pgSz w:w="11900" w:h="16838" w:orient="portrait"/>
          <w:cols w:equalWidth="0" w:num="1">
            <w:col w:w="11100"/>
          </w:cols>
          <w:pgMar w:left="320" w:top="450" w:right="479" w:bottom="1440" w:gutter="0" w:footer="0" w:header="0"/>
        </w:sect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 w:type="dxa"/>
            <w:vAlign w:val="bottom"/>
          </w:tcPr>
          <w:p>
            <w:pPr>
              <w:spacing w:after="0"/>
              <w:rPr>
                <w:sz w:val="14"/>
                <w:szCs w:val="14"/>
                <w:color w:val="auto"/>
              </w:rPr>
            </w:pPr>
          </w:p>
        </w:tc>
        <w:tc>
          <w:tcPr>
            <w:tcW w:w="10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Exhibit title</w:t>
            </w:r>
          </w:p>
        </w:tc>
        <w:tc>
          <w:tcPr>
            <w:tcW w:w="2140" w:type="dxa"/>
            <w:vAlign w:val="bottom"/>
            <w:gridSpan w:val="6"/>
            <w:vMerge w:val="restart"/>
          </w:tcPr>
          <w:p>
            <w:pPr>
              <w:spacing w:after="0"/>
              <w:rPr>
                <w:sz w:val="3"/>
                <w:szCs w:val="3"/>
                <w:color w:val="auto"/>
              </w:rPr>
            </w:pPr>
          </w:p>
        </w:tc>
        <w:tc>
          <w:tcPr>
            <w:tcW w:w="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300" w:type="dxa"/>
            <w:vAlign w:val="bottom"/>
          </w:tcPr>
          <w:p>
            <w:pPr>
              <w:spacing w:after="0"/>
              <w:rPr>
                <w:sz w:val="3"/>
                <w:szCs w:val="3"/>
                <w:color w:val="auto"/>
              </w:rPr>
            </w:pPr>
          </w:p>
        </w:tc>
        <w:tc>
          <w:tcPr>
            <w:tcW w:w="8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File No.</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line="20" w:lineRule="exact"/>
              <w:rPr>
                <w:sz w:val="1"/>
                <w:szCs w:val="1"/>
                <w:color w:val="auto"/>
              </w:rPr>
            </w:pPr>
          </w:p>
        </w:tc>
      </w:tr>
      <w:tr>
        <w:trPr>
          <w:trHeight w:val="170"/>
        </w:trPr>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tcPr>
          <w:p>
            <w:pPr>
              <w:spacing w:after="0"/>
              <w:rPr>
                <w:sz w:val="24"/>
                <w:szCs w:val="24"/>
                <w:color w:val="auto"/>
              </w:rPr>
            </w:pPr>
          </w:p>
        </w:tc>
        <w:tc>
          <w:tcPr>
            <w:tcW w:w="4920" w:type="dxa"/>
            <w:vAlign w:val="bottom"/>
            <w:gridSpan w:val="10"/>
          </w:tcPr>
          <w:p>
            <w:pPr>
              <w:spacing w:after="0"/>
              <w:rPr>
                <w:rFonts w:ascii="Times New Roman" w:cs="Times New Roman" w:eastAsia="Times New Roman" w:hAnsi="Times New Roman"/>
                <w:sz w:val="18"/>
                <w:szCs w:val="18"/>
                <w:u w:val="single" w:color="auto"/>
                <w:color w:val="0000EE"/>
              </w:rPr>
            </w:pPr>
            <w:hyperlink r:id="rId398">
              <w:r>
                <w:rPr>
                  <w:rFonts w:ascii="Times New Roman" w:cs="Times New Roman" w:eastAsia="Times New Roman" w:hAnsi="Times New Roman"/>
                  <w:sz w:val="18"/>
                  <w:szCs w:val="18"/>
                  <w:u w:val="single" w:color="auto"/>
                  <w:color w:val="0000EE"/>
                </w:rPr>
                <w:t>Executive Incentive Bonus Plan</w:t>
              </w:r>
            </w:hyperlink>
          </w:p>
        </w:tc>
        <w:tc>
          <w:tcPr>
            <w:tcW w:w="16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001-39252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c>
          <w:tcPr>
            <w:tcW w:w="0" w:type="dxa"/>
            <w:vAlign w:val="bottom"/>
          </w:tcPr>
          <w:p>
            <w:pPr>
              <w:spacing w:after="0"/>
              <w:rPr>
                <w:sz w:val="1"/>
                <w:szCs w:val="1"/>
                <w:color w:val="auto"/>
              </w:rPr>
            </w:pPr>
          </w:p>
        </w:tc>
      </w:tr>
      <w:tr>
        <w:trPr>
          <w:trHeight w:val="31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600" w:type="dxa"/>
            <w:vAlign w:val="bottom"/>
          </w:tcPr>
          <w:p>
            <w:pPr>
              <w:spacing w:after="0"/>
              <w:rPr>
                <w:sz w:val="24"/>
                <w:szCs w:val="24"/>
                <w:color w:val="auto"/>
              </w:rPr>
            </w:pPr>
          </w:p>
        </w:tc>
        <w:tc>
          <w:tcPr>
            <w:tcW w:w="4920" w:type="dxa"/>
            <w:vAlign w:val="bottom"/>
            <w:gridSpan w:val="10"/>
          </w:tcPr>
          <w:p>
            <w:pPr>
              <w:spacing w:after="0"/>
              <w:rPr>
                <w:rFonts w:ascii="Times New Roman" w:cs="Times New Roman" w:eastAsia="Times New Roman" w:hAnsi="Times New Roman"/>
                <w:sz w:val="18"/>
                <w:szCs w:val="18"/>
                <w:u w:val="single" w:color="auto"/>
                <w:color w:val="0000EE"/>
              </w:rPr>
            </w:pPr>
            <w:hyperlink r:id="rId399">
              <w:r>
                <w:rPr>
                  <w:rFonts w:ascii="Times New Roman" w:cs="Times New Roman" w:eastAsia="Times New Roman" w:hAnsi="Times New Roman"/>
                  <w:sz w:val="18"/>
                  <w:szCs w:val="18"/>
                  <w:u w:val="single" w:color="auto"/>
                  <w:color w:val="0000EE"/>
                </w:rPr>
                <w:t>Non-Employee Director Compensation Policy</w:t>
              </w:r>
            </w:hyperlink>
          </w:p>
        </w:tc>
        <w:tc>
          <w:tcPr>
            <w:tcW w:w="16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001-39252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c>
          <w:tcPr>
            <w:tcW w:w="0" w:type="dxa"/>
            <w:vAlign w:val="bottom"/>
          </w:tcPr>
          <w:p>
            <w:pPr>
              <w:spacing w:after="0"/>
              <w:rPr>
                <w:sz w:val="1"/>
                <w:szCs w:val="1"/>
                <w:color w:val="auto"/>
              </w:rPr>
            </w:pPr>
          </w:p>
        </w:tc>
      </w:tr>
      <w:tr>
        <w:trPr>
          <w:trHeight w:val="278"/>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600" w:type="dxa"/>
            <w:vAlign w:val="bottom"/>
          </w:tcPr>
          <w:p>
            <w:pPr>
              <w:spacing w:after="0"/>
              <w:rPr>
                <w:sz w:val="24"/>
                <w:szCs w:val="24"/>
                <w:color w:val="auto"/>
              </w:rPr>
            </w:pPr>
          </w:p>
        </w:tc>
        <w:tc>
          <w:tcPr>
            <w:tcW w:w="4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r:id="rId400">
              <w:r>
                <w:rPr>
                  <w:rFonts w:ascii="Times New Roman" w:cs="Times New Roman" w:eastAsia="Times New Roman" w:hAnsi="Times New Roman"/>
                  <w:sz w:val="18"/>
                  <w:szCs w:val="18"/>
                  <w:color w:val="0000EE"/>
                  <w:w w:val="97"/>
                </w:rPr>
                <w:t>Employment Agreement dated as of December 31, 2020, by and</w:t>
              </w:r>
            </w:hyperlink>
          </w:p>
        </w:tc>
        <w:tc>
          <w:tcPr>
            <w:tcW w:w="3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001-39252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20" w:type="dxa"/>
            <w:vAlign w:val="bottom"/>
            <w:gridSpan w:val="10"/>
          </w:tcPr>
          <w:p>
            <w:pPr>
              <w:spacing w:after="0" w:line="192" w:lineRule="exact"/>
              <w:rPr>
                <w:rFonts w:ascii="Times New Roman" w:cs="Times New Roman" w:eastAsia="Times New Roman" w:hAnsi="Times New Roman"/>
                <w:sz w:val="18"/>
                <w:szCs w:val="18"/>
                <w:color w:val="0000EE"/>
              </w:rPr>
            </w:pPr>
            <w:hyperlink r:id="rId400">
              <w:r>
                <w:rPr>
                  <w:rFonts w:ascii="Times New Roman" w:cs="Times New Roman" w:eastAsia="Times New Roman" w:hAnsi="Times New Roman"/>
                  <w:sz w:val="18"/>
                  <w:szCs w:val="18"/>
                  <w:color w:val="0000EE"/>
                </w:rPr>
                <w:t>between the Registrant and Vivek Garipalli</w:t>
              </w:r>
            </w:hyperlink>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600" w:type="dxa"/>
            <w:vAlign w:val="bottom"/>
          </w:tcPr>
          <w:p>
            <w:pPr>
              <w:spacing w:after="0"/>
              <w:rPr>
                <w:sz w:val="24"/>
                <w:szCs w:val="24"/>
                <w:color w:val="auto"/>
              </w:rPr>
            </w:pPr>
          </w:p>
        </w:tc>
        <w:tc>
          <w:tcPr>
            <w:tcW w:w="4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r:id="rId401">
              <w:r>
                <w:rPr>
                  <w:rFonts w:ascii="Times New Roman" w:cs="Times New Roman" w:eastAsia="Times New Roman" w:hAnsi="Times New Roman"/>
                  <w:sz w:val="18"/>
                  <w:szCs w:val="18"/>
                  <w:color w:val="0000EE"/>
                  <w:w w:val="97"/>
                </w:rPr>
                <w:t>Employment Agreement dated as of December 31, 2020, by and</w:t>
              </w:r>
            </w:hyperlink>
          </w:p>
        </w:tc>
        <w:tc>
          <w:tcPr>
            <w:tcW w:w="3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001-39252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20" w:type="dxa"/>
            <w:vAlign w:val="bottom"/>
            <w:gridSpan w:val="10"/>
          </w:tcPr>
          <w:p>
            <w:pPr>
              <w:spacing w:after="0" w:line="192" w:lineRule="exact"/>
              <w:rPr>
                <w:rFonts w:ascii="Times New Roman" w:cs="Times New Roman" w:eastAsia="Times New Roman" w:hAnsi="Times New Roman"/>
                <w:sz w:val="18"/>
                <w:szCs w:val="18"/>
                <w:color w:val="0000EE"/>
              </w:rPr>
            </w:pPr>
            <w:hyperlink r:id="rId401">
              <w:r>
                <w:rPr>
                  <w:rFonts w:ascii="Times New Roman" w:cs="Times New Roman" w:eastAsia="Times New Roman" w:hAnsi="Times New Roman"/>
                  <w:sz w:val="18"/>
                  <w:szCs w:val="18"/>
                  <w:color w:val="0000EE"/>
                </w:rPr>
                <w:t>between the Registrant and Andrew Toy</w:t>
              </w:r>
            </w:hyperlink>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spacing w:after="0"/>
              <w:rPr>
                <w:sz w:val="24"/>
                <w:szCs w:val="24"/>
                <w:color w:val="auto"/>
              </w:rPr>
            </w:pPr>
          </w:p>
        </w:tc>
        <w:tc>
          <w:tcPr>
            <w:tcW w:w="4920" w:type="dxa"/>
            <w:vAlign w:val="bottom"/>
            <w:gridSpan w:val="10"/>
          </w:tcPr>
          <w:p>
            <w:pPr>
              <w:spacing w:after="0"/>
              <w:rPr>
                <w:rFonts w:ascii="Times New Roman" w:cs="Times New Roman" w:eastAsia="Times New Roman" w:hAnsi="Times New Roman"/>
                <w:sz w:val="18"/>
                <w:szCs w:val="18"/>
                <w:color w:val="0000EE"/>
              </w:rPr>
            </w:pPr>
            <w:hyperlink r:id="rId402">
              <w:r>
                <w:rPr>
                  <w:rFonts w:ascii="Times New Roman" w:cs="Times New Roman" w:eastAsia="Times New Roman" w:hAnsi="Times New Roman"/>
                  <w:sz w:val="18"/>
                  <w:szCs w:val="18"/>
                  <w:color w:val="0000EE"/>
                </w:rPr>
                <w:t>Offer Letter dated as of December 20, 2018 by and between the</w:t>
              </w:r>
            </w:hyperlink>
          </w:p>
        </w:tc>
        <w:tc>
          <w:tcPr>
            <w:tcW w:w="16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001-39252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4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r:id="rId402">
              <w:r>
                <w:rPr>
                  <w:rFonts w:ascii="Times New Roman" w:cs="Times New Roman" w:eastAsia="Times New Roman" w:hAnsi="Times New Roman"/>
                  <w:sz w:val="18"/>
                  <w:szCs w:val="18"/>
                  <w:color w:val="0000EE"/>
                  <w:w w:val="97"/>
                </w:rPr>
                <w:t>Registrant and Gia Lee</w:t>
              </w:r>
            </w:hyperlink>
          </w:p>
        </w:tc>
        <w:tc>
          <w:tcPr>
            <w:tcW w:w="2840" w:type="dxa"/>
            <w:vAlign w:val="bottom"/>
            <w:tcBorders>
              <w:top w:val="single" w:sz="8" w:color="0000EE"/>
            </w:tcBorders>
            <w:gridSpan w:val="5"/>
          </w:tcPr>
          <w:p>
            <w:pPr>
              <w:spacing w:after="0"/>
              <w:rPr>
                <w:sz w:val="16"/>
                <w:szCs w:val="16"/>
                <w:color w:val="auto"/>
              </w:rPr>
            </w:pPr>
          </w:p>
        </w:tc>
        <w:tc>
          <w:tcPr>
            <w:tcW w:w="44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600" w:type="dxa"/>
            <w:vAlign w:val="bottom"/>
          </w:tcPr>
          <w:p>
            <w:pPr>
              <w:spacing w:after="0"/>
              <w:rPr>
                <w:sz w:val="24"/>
                <w:szCs w:val="24"/>
                <w:color w:val="auto"/>
              </w:rPr>
            </w:pPr>
          </w:p>
        </w:tc>
        <w:tc>
          <w:tcPr>
            <w:tcW w:w="4920" w:type="dxa"/>
            <w:vAlign w:val="bottom"/>
            <w:gridSpan w:val="10"/>
          </w:tcPr>
          <w:p>
            <w:pPr>
              <w:spacing w:after="0"/>
              <w:rPr>
                <w:rFonts w:ascii="Times New Roman" w:cs="Times New Roman" w:eastAsia="Times New Roman" w:hAnsi="Times New Roman"/>
                <w:sz w:val="18"/>
                <w:szCs w:val="18"/>
                <w:u w:val="single" w:color="auto"/>
                <w:color w:val="0000EE"/>
              </w:rPr>
            </w:pPr>
            <w:hyperlink r:id="rId403">
              <w:r>
                <w:rPr>
                  <w:rFonts w:ascii="Times New Roman" w:cs="Times New Roman" w:eastAsia="Times New Roman" w:hAnsi="Times New Roman"/>
                  <w:sz w:val="18"/>
                  <w:szCs w:val="18"/>
                  <w:u w:val="single" w:color="auto"/>
                  <w:color w:val="0000EE"/>
                </w:rPr>
                <w:t>List of Subsidiaries</w:t>
              </w:r>
            </w:hyperlink>
          </w:p>
        </w:tc>
        <w:tc>
          <w:tcPr>
            <w:tcW w:w="16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001-39252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1/12/2021</w:t>
            </w:r>
          </w:p>
        </w:tc>
        <w:tc>
          <w:tcPr>
            <w:tcW w:w="0" w:type="dxa"/>
            <w:vAlign w:val="bottom"/>
          </w:tcPr>
          <w:p>
            <w:pPr>
              <w:spacing w:after="0"/>
              <w:rPr>
                <w:sz w:val="1"/>
                <w:szCs w:val="1"/>
                <w:color w:val="auto"/>
              </w:rPr>
            </w:pPr>
          </w:p>
        </w:tc>
      </w:tr>
      <w:tr>
        <w:trPr>
          <w:trHeight w:val="31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tcPr>
          <w:p>
            <w:pPr>
              <w:spacing w:after="0"/>
              <w:rPr>
                <w:sz w:val="24"/>
                <w:szCs w:val="24"/>
                <w:color w:val="auto"/>
              </w:rPr>
            </w:pPr>
          </w:p>
        </w:tc>
        <w:tc>
          <w:tcPr>
            <w:tcW w:w="4920" w:type="dxa"/>
            <w:vAlign w:val="bottom"/>
            <w:gridSpan w:val="10"/>
          </w:tcPr>
          <w:p>
            <w:pPr>
              <w:spacing w:after="0"/>
              <w:rPr>
                <w:rFonts w:ascii="Times New Roman" w:cs="Times New Roman" w:eastAsia="Times New Roman" w:hAnsi="Times New Roman"/>
                <w:sz w:val="18"/>
                <w:szCs w:val="18"/>
                <w:u w:val="single" w:color="auto"/>
                <w:color w:val="0000EE"/>
              </w:rPr>
            </w:pPr>
            <w:hyperlink w:anchor="page333">
              <w:r>
                <w:rPr>
                  <w:rFonts w:ascii="Times New Roman" w:cs="Times New Roman" w:eastAsia="Times New Roman" w:hAnsi="Times New Roman"/>
                  <w:sz w:val="18"/>
                  <w:szCs w:val="18"/>
                  <w:u w:val="single" w:color="auto"/>
                  <w:color w:val="0000EE"/>
                </w:rPr>
                <w:t>Consent of Marcum LLP</w:t>
              </w:r>
            </w:hyperlink>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tcPr>
          <w:p>
            <w:pPr>
              <w:spacing w:after="0"/>
              <w:rPr>
                <w:sz w:val="24"/>
                <w:szCs w:val="24"/>
                <w:color w:val="auto"/>
              </w:rPr>
            </w:pPr>
          </w:p>
        </w:tc>
        <w:tc>
          <w:tcPr>
            <w:tcW w:w="4920" w:type="dxa"/>
            <w:vAlign w:val="bottom"/>
            <w:gridSpan w:val="10"/>
          </w:tcPr>
          <w:p>
            <w:pPr>
              <w:spacing w:after="0"/>
              <w:rPr>
                <w:rFonts w:ascii="Times New Roman" w:cs="Times New Roman" w:eastAsia="Times New Roman" w:hAnsi="Times New Roman"/>
                <w:sz w:val="18"/>
                <w:szCs w:val="18"/>
                <w:u w:val="single" w:color="auto"/>
                <w:color w:val="0000EE"/>
              </w:rPr>
            </w:pPr>
            <w:hyperlink w:anchor="page334">
              <w:r>
                <w:rPr>
                  <w:rFonts w:ascii="Times New Roman" w:cs="Times New Roman" w:eastAsia="Times New Roman" w:hAnsi="Times New Roman"/>
                  <w:sz w:val="18"/>
                  <w:szCs w:val="18"/>
                  <w:u w:val="single" w:color="auto"/>
                  <w:color w:val="0000EE"/>
                </w:rPr>
                <w:t>Consent of Ernst &amp; Young LLP</w:t>
              </w:r>
            </w:hyperlink>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23.3</w:t>
            </w:r>
          </w:p>
        </w:tc>
        <w:tc>
          <w:tcPr>
            <w:tcW w:w="600" w:type="dxa"/>
            <w:vAlign w:val="bottom"/>
          </w:tcPr>
          <w:p>
            <w:pPr>
              <w:spacing w:after="0"/>
              <w:rPr>
                <w:sz w:val="24"/>
                <w:szCs w:val="24"/>
                <w:color w:val="auto"/>
              </w:rPr>
            </w:pPr>
          </w:p>
        </w:tc>
        <w:tc>
          <w:tcPr>
            <w:tcW w:w="4920" w:type="dxa"/>
            <w:vAlign w:val="bottom"/>
            <w:gridSpan w:val="10"/>
          </w:tcPr>
          <w:p>
            <w:pPr>
              <w:spacing w:after="0"/>
              <w:rPr>
                <w:rFonts w:ascii="Times New Roman" w:cs="Times New Roman" w:eastAsia="Times New Roman" w:hAnsi="Times New Roman"/>
                <w:sz w:val="18"/>
                <w:szCs w:val="18"/>
                <w:color w:val="0000EE"/>
              </w:rPr>
            </w:pPr>
            <w:hyperlink w:anchor="page329">
              <w:r>
                <w:rPr>
                  <w:rFonts w:ascii="Times New Roman" w:cs="Times New Roman" w:eastAsia="Times New Roman" w:hAnsi="Times New Roman"/>
                  <w:sz w:val="18"/>
                  <w:szCs w:val="18"/>
                  <w:color w:val="0000EE"/>
                </w:rPr>
                <w:t>Consent of Orrick, Herrington &amp; Sutcliffe LLP (included in Exhibit</w:t>
              </w:r>
            </w:hyperlink>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8"/>
                <w:szCs w:val="18"/>
                <w:color w:val="0000EE"/>
                <w:w w:val="90"/>
              </w:rPr>
            </w:pPr>
            <w:hyperlink w:anchor="page329">
              <w:r>
                <w:rPr>
                  <w:rFonts w:ascii="Times New Roman" w:cs="Times New Roman" w:eastAsia="Times New Roman" w:hAnsi="Times New Roman"/>
                  <w:sz w:val="18"/>
                  <w:szCs w:val="18"/>
                  <w:color w:val="0000EE"/>
                  <w:w w:val="90"/>
                </w:rPr>
                <w:t>5.</w:t>
              </w:r>
              <w:r>
                <w:rPr>
                  <w:rFonts w:ascii="Times New Roman" w:cs="Times New Roman" w:eastAsia="Times New Roman" w:hAnsi="Times New Roman"/>
                  <w:sz w:val="18"/>
                  <w:szCs w:val="18"/>
                  <w:u w:val="single" w:color="auto"/>
                  <w:color w:val="0000EE"/>
                  <w:w w:val="90"/>
                </w:rPr>
                <w:t>1)</w:t>
              </w:r>
              <w:r>
                <w:rPr>
                  <w:rFonts w:ascii="Times New Roman" w:cs="Times New Roman" w:eastAsia="Times New Roman" w:hAnsi="Times New Roman"/>
                  <w:sz w:val="18"/>
                  <w:szCs w:val="18"/>
                  <w:color w:val="0000EE"/>
                  <w:w w:val="90"/>
                </w:rPr>
                <w:t>.</w:t>
              </w:r>
            </w:hyperlink>
          </w:p>
        </w:tc>
        <w:tc>
          <w:tcPr>
            <w:tcW w:w="13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24"/>
                <w:szCs w:val="24"/>
                <w:color w:val="auto"/>
              </w:rPr>
            </w:pPr>
          </w:p>
        </w:tc>
        <w:tc>
          <w:tcPr>
            <w:tcW w:w="4920" w:type="dxa"/>
            <w:vAlign w:val="bottom"/>
            <w:gridSpan w:val="10"/>
          </w:tcPr>
          <w:p>
            <w:pPr>
              <w:spacing w:after="0"/>
              <w:rPr>
                <w:rFonts w:ascii="Times New Roman" w:cs="Times New Roman" w:eastAsia="Times New Roman" w:hAnsi="Times New Roman"/>
                <w:sz w:val="18"/>
                <w:szCs w:val="18"/>
                <w:u w:val="single" w:color="auto"/>
                <w:color w:val="0000EE"/>
              </w:rPr>
            </w:pPr>
            <w:hyperlink w:anchor="page328">
              <w:r>
                <w:rPr>
                  <w:rFonts w:ascii="Times New Roman" w:cs="Times New Roman" w:eastAsia="Times New Roman" w:hAnsi="Times New Roman"/>
                  <w:sz w:val="18"/>
                  <w:szCs w:val="18"/>
                  <w:u w:val="single" w:color="auto"/>
                  <w:color w:val="0000EE"/>
                </w:rPr>
                <w:t>Power of Attorney (included on the signature page)</w:t>
              </w:r>
            </w:hyperlink>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893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2" w:lineRule="exact"/>
        <w:rPr>
          <w:sz w:val="20"/>
          <w:szCs w:val="20"/>
          <w:color w:val="auto"/>
        </w:rPr>
      </w:pPr>
    </w:p>
    <w:p>
      <w:pPr>
        <w:ind w:hanging="24"/>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furnished </w:t>
      </w:r>
      <w:r>
        <w:rPr>
          <w:rFonts w:ascii="Times New Roman" w:cs="Times New Roman" w:eastAsia="Times New Roman" w:hAnsi="Times New Roman"/>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90" w:lineRule="exact"/>
        <w:rPr>
          <w:sz w:val="20"/>
          <w:szCs w:val="20"/>
          <w:color w:val="auto"/>
        </w:rPr>
      </w:pPr>
    </w:p>
    <w:p>
      <w:pPr>
        <w:sectPr>
          <w:pgSz w:w="11900" w:h="16838" w:orient="portrait"/>
          <w:cols w:equalWidth="0" w:num="2">
            <w:col w:w="10180" w:space="380"/>
            <w:col w:w="540"/>
          </w:cols>
          <w:pgMar w:left="320" w:top="450" w:right="479" w:bottom="1440" w:gutter="0" w:footer="0" w:header="0"/>
          <w:type w:val="continuous"/>
        </w:sectPr>
      </w:pPr>
    </w:p>
    <w:p>
      <w:pPr>
        <w:ind w:left="240" w:right="140" w:hanging="234"/>
        <w:spacing w:after="0" w:line="270" w:lineRule="auto"/>
        <w:tabs>
          <w:tab w:leader="none" w:pos="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exhibit have been omitted in accordance with Regulation S-K Item 601(b)(2). The registrant hereby agrees to furnish supplementally a copy of any omitted schedule to the SEC upon its request.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0" w:lineRule="exact"/>
        <w:rPr>
          <w:sz w:val="20"/>
          <w:szCs w:val="20"/>
          <w:color w:val="auto"/>
        </w:rPr>
      </w:pPr>
    </w:p>
    <w:p>
      <w:pPr>
        <w:ind w:right="160" w:firstLine="455"/>
        <w:spacing w:after="0" w:line="253" w:lineRule="auto"/>
        <w:tabs>
          <w:tab w:leader="none" w:pos="69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0" w:right="479" w:bottom="1440" w:gutter="0" w:footer="0" w:header="0"/>
          <w:type w:val="continuous"/>
        </w:sectPr>
      </w:pPr>
    </w:p>
    <w:bookmarkStart w:id="325" w:name="page326"/>
    <w:bookmarkEnd w:id="3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0" w:lineRule="exact"/>
        <w:rPr>
          <w:sz w:val="20"/>
          <w:szCs w:val="20"/>
          <w:color w:val="auto"/>
        </w:rPr>
      </w:pPr>
    </w:p>
    <w:p>
      <w:pPr>
        <w:ind w:right="600" w:firstLine="455"/>
        <w:spacing w:after="0" w:line="258" w:lineRule="auto"/>
        <w:tabs>
          <w:tab w:leader="none" w:pos="69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Times New Roman" w:cs="Times New Roman" w:eastAsia="Times New Roman" w:hAnsi="Times New Roman"/>
          <w:sz w:val="18"/>
          <w:szCs w:val="18"/>
          <w:color w:val="auto"/>
        </w:rPr>
      </w:pPr>
    </w:p>
    <w:p>
      <w:pPr>
        <w:ind w:right="60" w:firstLine="455"/>
        <w:spacing w:after="0" w:line="270" w:lineRule="auto"/>
        <w:tabs>
          <w:tab w:leader="none" w:pos="69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8" w:lineRule="exact"/>
        <w:rPr>
          <w:rFonts w:ascii="Times New Roman" w:cs="Times New Roman" w:eastAsia="Times New Roman" w:hAnsi="Times New Roman"/>
          <w:sz w:val="18"/>
          <w:szCs w:val="18"/>
          <w:color w:val="auto"/>
        </w:rPr>
      </w:pPr>
    </w:p>
    <w:p>
      <w:pPr>
        <w:ind w:left="700" w:hanging="245"/>
        <w:spacing w:after="0"/>
        <w:tabs>
          <w:tab w:leader="none" w:pos="7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Each prospectus filed pursuant to Rule 424(b) as part of a registration statement relating to an offering, other than registration statements relying on Rule</w:t>
      </w:r>
    </w:p>
    <w:p>
      <w:pPr>
        <w:spacing w:after="0" w:line="3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430B or other than prospectuses filed in reliance on Rule 430A, shall be deemed to be part of and included in the registration statement as of the date it is first used after effectiveness. Provided,however,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91" w:lineRule="exact"/>
        <w:rPr>
          <w:sz w:val="20"/>
          <w:szCs w:val="20"/>
          <w:color w:val="auto"/>
        </w:rPr>
      </w:pPr>
    </w:p>
    <w:p>
      <w:pPr>
        <w:jc w:val="both"/>
        <w:ind w:right="120" w:firstLine="455"/>
        <w:spacing w:after="0" w:line="273" w:lineRule="auto"/>
        <w:tabs>
          <w:tab w:leader="none" w:pos="69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700" w:hanging="245"/>
        <w:spacing w:after="0"/>
        <w:tabs>
          <w:tab w:leader="none" w:pos="7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16" w:lineRule="exact"/>
        <w:rPr>
          <w:rFonts w:ascii="Times New Roman" w:cs="Times New Roman" w:eastAsia="Times New Roman" w:hAnsi="Times New Roman"/>
          <w:sz w:val="18"/>
          <w:szCs w:val="18"/>
          <w:color w:val="auto"/>
        </w:rPr>
      </w:pPr>
    </w:p>
    <w:p>
      <w:pPr>
        <w:ind w:right="220" w:firstLine="455"/>
        <w:spacing w:after="0" w:line="270" w:lineRule="auto"/>
        <w:tabs>
          <w:tab w:leader="none" w:pos="69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8" w:lineRule="exact"/>
        <w:rPr>
          <w:rFonts w:ascii="Times New Roman" w:cs="Times New Roman" w:eastAsia="Times New Roman" w:hAnsi="Times New Roman"/>
          <w:sz w:val="18"/>
          <w:szCs w:val="18"/>
          <w:color w:val="auto"/>
        </w:rPr>
      </w:pPr>
    </w:p>
    <w:p>
      <w:pPr>
        <w:ind w:right="580" w:firstLine="455"/>
        <w:spacing w:after="0" w:line="270" w:lineRule="auto"/>
        <w:tabs>
          <w:tab w:leader="none" w:pos="68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68" w:lineRule="exact"/>
        <w:rPr>
          <w:rFonts w:ascii="Times New Roman" w:cs="Times New Roman" w:eastAsia="Times New Roman" w:hAnsi="Times New Roman"/>
          <w:sz w:val="18"/>
          <w:szCs w:val="18"/>
          <w:color w:val="auto"/>
        </w:rPr>
      </w:pPr>
    </w:p>
    <w:p>
      <w:pPr>
        <w:ind w:left="700" w:hanging="245"/>
        <w:spacing w:after="0"/>
        <w:tabs>
          <w:tab w:leader="none" w:pos="7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16" w:lineRule="exact"/>
        <w:rPr>
          <w:sz w:val="20"/>
          <w:szCs w:val="20"/>
          <w:color w:val="auto"/>
        </w:rPr>
      </w:pPr>
    </w:p>
    <w:p>
      <w:pPr>
        <w:ind w:right="200" w:firstLine="449"/>
        <w:spacing w:after="0" w:line="27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450" w:right="339" w:bottom="1440" w:gutter="0" w:footer="0" w:header="0"/>
        </w:sectPr>
      </w:pPr>
    </w:p>
    <w:bookmarkStart w:id="326" w:name="page327"/>
    <w:bookmarkEnd w:id="3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50" w:right="459" w:bottom="1440" w:gutter="0" w:footer="0" w:header="0"/>
        </w:sectPr>
      </w:pPr>
    </w:p>
    <w:bookmarkStart w:id="327" w:name="page328"/>
    <w:bookmarkEnd w:id="3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7152005" cy="2476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8" w:lineRule="exact"/>
        <w:rPr>
          <w:sz w:val="20"/>
          <w:szCs w:val="20"/>
          <w:color w:val="auto"/>
        </w:rPr>
      </w:pPr>
    </w:p>
    <w:p>
      <w:pPr>
        <w:ind w:right="240" w:firstLine="449"/>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Franklin, State of Tennessee, on January 13, 2021.</w:t>
      </w:r>
    </w:p>
    <w:p>
      <w:pPr>
        <w:spacing w:after="0" w:line="1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21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14605</wp:posOffset>
            </wp:positionV>
            <wp:extent cx="26187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1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Vivek Garipalli</w:t>
      </w:r>
    </w:p>
    <w:p>
      <w:pPr>
        <w:spacing w:after="0" w:line="2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8" w:lineRule="exact"/>
        <w:rPr>
          <w:sz w:val="20"/>
          <w:szCs w:val="20"/>
          <w:color w:val="auto"/>
        </w:rPr>
      </w:pPr>
    </w:p>
    <w:p>
      <w:pPr>
        <w:ind w:firstLine="449"/>
        <w:spacing w:after="0" w:line="265"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Vivek Garipalli, Joseph Wagner and Gia Lee,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77" w:lineRule="exact"/>
        <w:rPr>
          <w:sz w:val="20"/>
          <w:szCs w:val="20"/>
          <w:color w:val="auto"/>
        </w:rPr>
      </w:pPr>
    </w:p>
    <w:p>
      <w:pPr>
        <w:ind w:right="20" w:firstLine="449"/>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560" w:type="dxa"/>
            <w:vAlign w:val="bottom"/>
          </w:tcPr>
          <w:p>
            <w:pPr>
              <w:spacing w:after="0"/>
              <w:rPr>
                <w:sz w:val="14"/>
                <w:szCs w:val="14"/>
                <w:color w:val="auto"/>
              </w:rPr>
            </w:pPr>
          </w:p>
        </w:tc>
        <w:tc>
          <w:tcPr>
            <w:tcW w:w="5200" w:type="dxa"/>
            <w:vAlign w:val="bottom"/>
            <w:gridSpan w:val="3"/>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2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5"/>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Vivek Garipalli</w:t>
            </w:r>
          </w:p>
        </w:tc>
        <w:tc>
          <w:tcPr>
            <w:tcW w:w="5200" w:type="dxa"/>
            <w:vAlign w:val="bottom"/>
            <w:gridSpan w:val="3"/>
          </w:tcPr>
          <w:p>
            <w:pPr>
              <w:jc w:val="center"/>
              <w:ind w:left="214"/>
              <w:spacing w:after="0"/>
              <w:rPr>
                <w:sz w:val="20"/>
                <w:szCs w:val="20"/>
                <w:color w:val="auto"/>
              </w:rPr>
            </w:pPr>
            <w:r>
              <w:rPr>
                <w:rFonts w:ascii="Times New Roman" w:cs="Times New Roman" w:eastAsia="Times New Roman" w:hAnsi="Times New Roman"/>
                <w:sz w:val="18"/>
                <w:szCs w:val="18"/>
                <w:color w:val="auto"/>
                <w:w w:val="97"/>
              </w:rPr>
              <w:t>Chief Executive Officer and Director</w:t>
            </w:r>
          </w:p>
        </w:tc>
        <w:tc>
          <w:tcPr>
            <w:tcW w:w="1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8"/>
              </w:rPr>
              <w:t>January 13, 2021</w:t>
            </w:r>
          </w:p>
        </w:tc>
      </w:tr>
      <w:tr>
        <w:trPr>
          <w:trHeight w:val="223"/>
        </w:trPr>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Vivek Garipalli</w:t>
            </w:r>
          </w:p>
        </w:tc>
        <w:tc>
          <w:tcPr>
            <w:tcW w:w="5200" w:type="dxa"/>
            <w:vAlign w:val="bottom"/>
            <w:gridSpan w:val="3"/>
          </w:tcPr>
          <w:p>
            <w:pPr>
              <w:jc w:val="center"/>
              <w:ind w:left="214"/>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Executive Officer</w:t>
            </w:r>
            <w:r>
              <w:rPr>
                <w:rFonts w:ascii="Times New Roman" w:cs="Times New Roman" w:eastAsia="Times New Roman" w:hAnsi="Times New Roman"/>
                <w:sz w:val="18"/>
                <w:szCs w:val="18"/>
                <w:color w:val="auto"/>
                <w:w w:val="98"/>
              </w:rPr>
              <w:t>)</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18"/>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Joseph Wagner</w:t>
            </w:r>
          </w:p>
        </w:tc>
        <w:tc>
          <w:tcPr>
            <w:tcW w:w="5200" w:type="dxa"/>
            <w:vAlign w:val="bottom"/>
            <w:gridSpan w:val="3"/>
          </w:tcPr>
          <w:p>
            <w:pPr>
              <w:jc w:val="center"/>
              <w:ind w:left="234"/>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1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8"/>
              </w:rPr>
              <w:t>January 13, 2021</w:t>
            </w:r>
          </w:p>
        </w:tc>
      </w:tr>
      <w:tr>
        <w:trPr>
          <w:trHeight w:val="223"/>
        </w:trPr>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Joseph Wagner</w:t>
            </w:r>
          </w:p>
        </w:tc>
        <w:tc>
          <w:tcPr>
            <w:tcW w:w="5200" w:type="dxa"/>
            <w:vAlign w:val="bottom"/>
            <w:gridSpan w:val="3"/>
          </w:tcPr>
          <w:p>
            <w:pPr>
              <w:jc w:val="center"/>
              <w:ind w:left="234"/>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8"/>
                <w:szCs w:val="18"/>
                <w:i w:val="1"/>
                <w:iCs w:val="1"/>
                <w:color w:val="auto"/>
                <w:w w:val="97"/>
              </w:rPr>
              <w:t>Principal Financial and Accounting Officer</w:t>
            </w:r>
            <w:r>
              <w:rPr>
                <w:rFonts w:ascii="Times New Roman" w:cs="Times New Roman" w:eastAsia="Times New Roman" w:hAnsi="Times New Roman"/>
                <w:sz w:val="18"/>
                <w:szCs w:val="18"/>
                <w:color w:val="auto"/>
                <w:w w:val="97"/>
              </w:rPr>
              <w:t>)</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18"/>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Andrew Toy</w:t>
            </w:r>
          </w:p>
        </w:tc>
        <w:tc>
          <w:tcPr>
            <w:tcW w:w="5200" w:type="dxa"/>
            <w:vAlign w:val="bottom"/>
            <w:gridSpan w:val="3"/>
          </w:tcPr>
          <w:p>
            <w:pPr>
              <w:jc w:val="center"/>
              <w:ind w:left="234"/>
              <w:spacing w:after="0"/>
              <w:rPr>
                <w:sz w:val="20"/>
                <w:szCs w:val="20"/>
                <w:color w:val="auto"/>
              </w:rPr>
            </w:pPr>
            <w:r>
              <w:rPr>
                <w:rFonts w:ascii="Times New Roman" w:cs="Times New Roman" w:eastAsia="Times New Roman" w:hAnsi="Times New Roman"/>
                <w:sz w:val="18"/>
                <w:szCs w:val="18"/>
                <w:color w:val="auto"/>
                <w:w w:val="97"/>
              </w:rPr>
              <w:t>President, Chief Technology Officer and Director</w:t>
            </w:r>
          </w:p>
        </w:tc>
        <w:tc>
          <w:tcPr>
            <w:tcW w:w="1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8"/>
              </w:rPr>
              <w:t>January 13, 2021</w:t>
            </w:r>
          </w:p>
        </w:tc>
      </w:tr>
      <w:tr>
        <w:trPr>
          <w:trHeight w:val="223"/>
        </w:trPr>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Andrew Toy</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18"/>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Chelsea Clinton</w:t>
            </w:r>
          </w:p>
        </w:tc>
        <w:tc>
          <w:tcPr>
            <w:tcW w:w="5200" w:type="dxa"/>
            <w:vAlign w:val="bottom"/>
            <w:gridSpan w:val="3"/>
          </w:tcPr>
          <w:p>
            <w:pPr>
              <w:jc w:val="center"/>
              <w:ind w:left="234"/>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8"/>
              </w:rPr>
              <w:t>January 13, 2021</w:t>
            </w:r>
          </w:p>
        </w:tc>
      </w:tr>
      <w:tr>
        <w:trPr>
          <w:trHeight w:val="223"/>
        </w:trPr>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Chelsea Clinton</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18"/>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Lee A. Shapiro</w:t>
            </w:r>
          </w:p>
        </w:tc>
        <w:tc>
          <w:tcPr>
            <w:tcW w:w="5200" w:type="dxa"/>
            <w:vAlign w:val="bottom"/>
            <w:gridSpan w:val="3"/>
          </w:tcPr>
          <w:p>
            <w:pPr>
              <w:jc w:val="center"/>
              <w:ind w:left="234"/>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8"/>
              </w:rPr>
              <w:t>January 13, 2021</w:t>
            </w:r>
          </w:p>
        </w:tc>
      </w:tr>
      <w:tr>
        <w:trPr>
          <w:trHeight w:val="223"/>
        </w:trPr>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Lee A. Shapiro</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18"/>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Nathaniel S. Turner</w:t>
            </w:r>
          </w:p>
        </w:tc>
        <w:tc>
          <w:tcPr>
            <w:tcW w:w="5200" w:type="dxa"/>
            <w:vAlign w:val="bottom"/>
            <w:gridSpan w:val="3"/>
          </w:tcPr>
          <w:p>
            <w:pPr>
              <w:jc w:val="center"/>
              <w:ind w:left="234"/>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8"/>
              </w:rPr>
              <w:t>January 13, 2021</w:t>
            </w:r>
          </w:p>
        </w:tc>
      </w:tr>
      <w:tr>
        <w:trPr>
          <w:trHeight w:val="223"/>
        </w:trPr>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Nathaniel S. Turner</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52"/>
        </w:trPr>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II-7</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120"/>
          </w:cols>
          <w:pgMar w:left="320" w:top="450" w:right="45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6030595</wp:posOffset>
            </wp:positionH>
            <wp:positionV relativeFrom="paragraph">
              <wp:posOffset>174625</wp:posOffset>
            </wp:positionV>
            <wp:extent cx="1108075" cy="6210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1108075" cy="6210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13,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Orrick, Herrington &amp; Sutcliffe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Orrick Building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405 Howard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94105-2669</w:t>
      </w:r>
    </w:p>
    <w:p>
      <w:pPr>
        <w:spacing w:after="0" w:line="27" w:lineRule="exact"/>
        <w:rPr>
          <w:sz w:val="20"/>
          <w:szCs w:val="20"/>
          <w:color w:val="auto"/>
        </w:rPr>
      </w:pPr>
    </w:p>
    <w:p>
      <w:pPr>
        <w:sectPr>
          <w:pgSz w:w="11900" w:h="16838" w:orient="portrait"/>
          <w:cols w:equalWidth="0" w:num="2">
            <w:col w:w="7040" w:space="720"/>
            <w:col w:w="3480"/>
          </w:cols>
          <w:pgMar w:left="320" w:top="119" w:right="339" w:bottom="1440" w:gutter="0" w:footer="0" w:header="0"/>
          <w:type w:val="continuous"/>
        </w:sectPr>
      </w:pPr>
    </w:p>
    <w:p>
      <w:pPr>
        <w:ind w:left="7760"/>
        <w:spacing w:after="0"/>
        <w:rPr>
          <w:sz w:val="20"/>
          <w:szCs w:val="20"/>
          <w:color w:val="auto"/>
        </w:rPr>
      </w:pPr>
      <w:r>
        <w:rPr>
          <w:rFonts w:ascii="Times New Roman" w:cs="Times New Roman" w:eastAsia="Times New Roman" w:hAnsi="Times New Roman"/>
          <w:sz w:val="17"/>
          <w:szCs w:val="17"/>
          <w:color w:val="auto"/>
        </w:rPr>
        <w:t>+1-415-773-5700</w:t>
      </w:r>
    </w:p>
    <w:p>
      <w:pPr>
        <w:sectPr>
          <w:pgSz w:w="11900" w:h="16838" w:orient="portrait"/>
          <w:cols w:equalWidth="0" w:num="1">
            <w:col w:w="11240"/>
          </w:cols>
          <w:pgMar w:left="320" w:top="119"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725 Cool Springs Blvd, Suite 320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Tennessee 37067</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orrick.com</w:t>
      </w:r>
    </w:p>
    <w:p>
      <w:pPr>
        <w:spacing w:after="0" w:line="667" w:lineRule="exact"/>
        <w:rPr>
          <w:sz w:val="20"/>
          <w:szCs w:val="20"/>
          <w:color w:val="auto"/>
        </w:rPr>
      </w:pPr>
    </w:p>
    <w:p>
      <w:pPr>
        <w:sectPr>
          <w:pgSz w:w="11900" w:h="16838" w:orient="portrait"/>
          <w:cols w:equalWidth="0" w:num="2">
            <w:col w:w="7040" w:space="720"/>
            <w:col w:w="3480"/>
          </w:cols>
          <w:pgMar w:left="320" w:top="119"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06"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We have acted as counsel to Clover Health Investments,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you have requested our opinion in connection with the filing of a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including a related prospectus filed with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covering the registration of (a) the issuance of shares of Class A common stock, $0.0001 par value per share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of the Company upon the exercise of warrants issued by the Company, and (b) the resale of shares of Class A common stock and warrants issued by the Company held by certain stockholders and holders of outstanding warrants of the Company, as follows:</w:t>
      </w:r>
    </w:p>
    <w:p>
      <w:pPr>
        <w:spacing w:after="0" w:line="89" w:lineRule="exact"/>
        <w:rPr>
          <w:sz w:val="20"/>
          <w:szCs w:val="20"/>
          <w:color w:val="auto"/>
        </w:rPr>
      </w:pPr>
    </w:p>
    <w:p>
      <w:pPr>
        <w:ind w:left="1020" w:right="520" w:hanging="565"/>
        <w:spacing w:after="0" w:line="305" w:lineRule="auto"/>
        <w:tabs>
          <w:tab w:leader="none" w:pos="10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up to 27,599,938 shares (the “</w:t>
      </w:r>
      <w:r>
        <w:rPr>
          <w:rFonts w:ascii="Times New Roman" w:cs="Times New Roman" w:eastAsia="Times New Roman" w:hAnsi="Times New Roman"/>
          <w:sz w:val="17"/>
          <w:szCs w:val="17"/>
          <w:b w:val="1"/>
          <w:bCs w:val="1"/>
          <w:i w:val="1"/>
          <w:iCs w:val="1"/>
          <w:color w:val="auto"/>
        </w:rPr>
        <w:t>Public Warrant Shares</w:t>
      </w:r>
      <w:r>
        <w:rPr>
          <w:rFonts w:ascii="Times New Roman" w:cs="Times New Roman" w:eastAsia="Times New Roman" w:hAnsi="Times New Roman"/>
          <w:sz w:val="17"/>
          <w:szCs w:val="17"/>
          <w:color w:val="auto"/>
        </w:rPr>
        <w:t>”) of Class A common stock upon the exercise of certain outstanding warrants that were previously issued by the Company in a transaction registered with the Commission (the “</w:t>
      </w:r>
      <w:r>
        <w:rPr>
          <w:rFonts w:ascii="Times New Roman" w:cs="Times New Roman" w:eastAsia="Times New Roman" w:hAnsi="Times New Roman"/>
          <w:sz w:val="17"/>
          <w:szCs w:val="17"/>
          <w:b w:val="1"/>
          <w:bCs w:val="1"/>
          <w:i w:val="1"/>
          <w:iCs w:val="1"/>
          <w:color w:val="auto"/>
        </w:rPr>
        <w:t>Public Warrants</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1020" w:right="600" w:hanging="565"/>
        <w:spacing w:after="0" w:line="260"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10,933,333 shares (the “</w:t>
      </w:r>
      <w:r>
        <w:rPr>
          <w:rFonts w:ascii="Times New Roman" w:cs="Times New Roman" w:eastAsia="Times New Roman" w:hAnsi="Times New Roman"/>
          <w:sz w:val="18"/>
          <w:szCs w:val="18"/>
          <w:b w:val="1"/>
          <w:bCs w:val="1"/>
          <w:i w:val="1"/>
          <w:iCs w:val="1"/>
          <w:color w:val="auto"/>
        </w:rPr>
        <w:t>Private Placement Warrant Shares</w:t>
      </w:r>
      <w:r>
        <w:rPr>
          <w:rFonts w:ascii="Times New Roman" w:cs="Times New Roman" w:eastAsia="Times New Roman" w:hAnsi="Times New Roman"/>
          <w:sz w:val="18"/>
          <w:szCs w:val="18"/>
          <w:color w:val="auto"/>
        </w:rPr>
        <w:t>” and, collectively with the Public Warrant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Class A common stock upon the exercise of certain outstanding warrants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and, collectively with the Public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020" w:hanging="565"/>
        <w:spacing w:after="0"/>
        <w:tabs>
          <w:tab w:leader="none" w:pos="10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up to 16,548,512 shares of Class A common stock upon the exercise of certain outstanding stock options (the “</w:t>
      </w:r>
      <w:r>
        <w:rPr>
          <w:rFonts w:ascii="Times New Roman" w:cs="Times New Roman" w:eastAsia="Times New Roman" w:hAnsi="Times New Roman"/>
          <w:sz w:val="17"/>
          <w:szCs w:val="17"/>
          <w:b w:val="1"/>
          <w:bCs w:val="1"/>
          <w:i w:val="1"/>
          <w:iCs w:val="1"/>
          <w:color w:val="auto"/>
        </w:rPr>
        <w:t>Option Shares</w:t>
      </w:r>
      <w:r>
        <w:rPr>
          <w:rFonts w:ascii="Times New Roman" w:cs="Times New Roman" w:eastAsia="Times New Roman" w:hAnsi="Times New Roman"/>
          <w:sz w:val="17"/>
          <w:szCs w:val="17"/>
          <w:color w:val="auto"/>
        </w:rPr>
        <w:t>”);</w:t>
      </w:r>
    </w:p>
    <w:p>
      <w:pPr>
        <w:spacing w:after="0" w:line="135" w:lineRule="exact"/>
        <w:rPr>
          <w:rFonts w:ascii="Times New Roman" w:cs="Times New Roman" w:eastAsia="Times New Roman" w:hAnsi="Times New Roman"/>
          <w:sz w:val="17"/>
          <w:szCs w:val="17"/>
          <w:color w:val="auto"/>
        </w:rPr>
      </w:pPr>
    </w:p>
    <w:p>
      <w:pPr>
        <w:ind w:left="1020" w:right="500" w:hanging="565"/>
        <w:spacing w:after="0" w:line="275"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up to 44,173,855 shares of Class A common stock upon the settlement of certain outstanding restricted stock units (the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20" w:hanging="565"/>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up to 10,933,333 Private Placement Warrants; and</w:t>
      </w:r>
    </w:p>
    <w:p>
      <w:pPr>
        <w:spacing w:after="0" w:line="123" w:lineRule="exact"/>
        <w:rPr>
          <w:rFonts w:ascii="Times New Roman" w:cs="Times New Roman" w:eastAsia="Times New Roman" w:hAnsi="Times New Roman"/>
          <w:sz w:val="18"/>
          <w:szCs w:val="18"/>
          <w:color w:val="auto"/>
        </w:rPr>
      </w:pPr>
    </w:p>
    <w:p>
      <w:pPr>
        <w:ind w:left="1020" w:right="800" w:hanging="565"/>
        <w:spacing w:after="0" w:line="270"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up to 314,837,535 shares of Class A common stock (including up to 10,933,333 Private Placement Warrant Shares, up to 16,548,512 Option Shares and up to 44,173,855 RSU Shares) (the “</w:t>
      </w:r>
      <w:r>
        <w:rPr>
          <w:rFonts w:ascii="Times New Roman" w:cs="Times New Roman" w:eastAsia="Times New Roman" w:hAnsi="Times New Roman"/>
          <w:sz w:val="18"/>
          <w:szCs w:val="18"/>
          <w:b w:val="1"/>
          <w:bCs w:val="1"/>
          <w:i w:val="1"/>
          <w:iCs w:val="1"/>
          <w:color w:val="auto"/>
        </w:rPr>
        <w:t>Selling Securityholder Shares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All of the Private Placement Warrants and the Selling Securityholder Shares are being registered on behalf of certain selling securityholders of the Company (the “</w:t>
      </w:r>
      <w:r>
        <w:rPr>
          <w:rFonts w:ascii="Times New Roman" w:cs="Times New Roman" w:eastAsia="Times New Roman" w:hAnsi="Times New Roman"/>
          <w:sz w:val="17"/>
          <w:szCs w:val="17"/>
          <w:b w:val="1"/>
          <w:bCs w:val="1"/>
          <w:i w:val="1"/>
          <w:iCs w:val="1"/>
          <w:color w:val="auto"/>
        </w:rPr>
        <w:t>Selling Securityholders</w:t>
      </w:r>
      <w:r>
        <w:rPr>
          <w:rFonts w:ascii="Times New Roman" w:cs="Times New Roman" w:eastAsia="Times New Roman" w:hAnsi="Times New Roman"/>
          <w:sz w:val="17"/>
          <w:szCs w:val="17"/>
          <w:color w:val="auto"/>
        </w:rPr>
        <w:t>”). The Warrants were issued pursuant to a Warrant Agreement, dated April 21, 2020, between the Company and Continental Stock Transfer &amp; Trust Company, a New York corporation, as warrant agent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The Option Shares and the RSU Shares have been reserved for issuance pursuant to the Company’s 2014 Equity Incentive Plan, as amended, and the Management Incentive Plan (collectively, the “</w:t>
      </w:r>
      <w:r>
        <w:rPr>
          <w:rFonts w:ascii="Times New Roman" w:cs="Times New Roman" w:eastAsia="Times New Roman" w:hAnsi="Times New Roman"/>
          <w:sz w:val="17"/>
          <w:szCs w:val="17"/>
          <w:b w:val="1"/>
          <w:bCs w:val="1"/>
          <w:i w:val="1"/>
          <w:iCs w:val="1"/>
          <w:color w:val="auto"/>
        </w:rPr>
        <w:t>Plans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19" w:right="339" w:bottom="1440" w:gutter="0" w:footer="0" w:header="0"/>
          <w:type w:val="continuous"/>
        </w:sectPr>
      </w:pPr>
    </w:p>
    <w:bookmarkStart w:id="329" w:name="page330"/>
    <w:bookmarkEnd w:id="329"/>
    <w:p>
      <w:pPr>
        <w:spacing w:after="0" w:line="2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7152005" cy="24765"/>
                    </a:xfrm>
                    <a:prstGeom prst="rect">
                      <a:avLst/>
                    </a:prstGeom>
                    <a:noFill/>
                  </pic:spPr>
                </pic:pic>
              </a:graphicData>
            </a:graphic>
          </wp:anchor>
        </w:drawing>
        <w:drawing>
          <wp:anchor simplePos="0" relativeHeight="251657728" behindDoc="1" locked="0" layoutInCell="0" allowOverlap="1">
            <wp:simplePos x="0" y="0"/>
            <wp:positionH relativeFrom="page">
              <wp:posOffset>6233795</wp:posOffset>
            </wp:positionH>
            <wp:positionV relativeFrom="page">
              <wp:posOffset>407670</wp:posOffset>
            </wp:positionV>
            <wp:extent cx="1108075" cy="6210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1108075" cy="621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Company’s certificate of incorporation and bylaws, each as currently in effect, the Plans and the related forms of award agreement, the Warrant Agreement and the originals, or copies identified to our satisfaction, of such corporate records of the Company, certificates of public officials, officers of the Company and other persons, and such other documents, agreements and instruments as we have deemed relevant and necessary for the basis of our opinions hereinafter expressed. In such examination, we have assumed the following: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8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With respect to the Warrants and the Warrant Shares, we express no opinion to the extent that, notwithstanding the Company’s current reservation of shares of Class A common stock, future issuances of securities of the Company, including the Warrant Shares, and/or antidilution adjustments to outstanding securities of the Company, including the Warrants, may cause the Warrants to be exercisable for more shares of Class A common stock than the number that then remain authorized but unissued. Further, we have assumed the Exercise Price (as defined in the Warrants) will not be adjusted to an amount below the par value per share of the shares of Class A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w:t>
      </w:r>
    </w:p>
    <w:p>
      <w:pPr>
        <w:spacing w:after="0" w:line="124" w:lineRule="exact"/>
        <w:rPr>
          <w:sz w:val="20"/>
          <w:szCs w:val="20"/>
          <w:color w:val="auto"/>
        </w:rPr>
      </w:pPr>
    </w:p>
    <w:p>
      <w:pPr>
        <w:ind w:left="1020" w:right="800" w:hanging="565"/>
        <w:spacing w:after="0" w:line="270"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Warrants constitute valid and legally binding obligations of the Company, enforceable against the Company in accordance with their terms.</w:t>
      </w:r>
    </w:p>
    <w:p>
      <w:pPr>
        <w:spacing w:after="0" w:line="76" w:lineRule="exact"/>
        <w:rPr>
          <w:rFonts w:ascii="Times New Roman" w:cs="Times New Roman" w:eastAsia="Times New Roman" w:hAnsi="Times New Roman"/>
          <w:sz w:val="18"/>
          <w:szCs w:val="18"/>
          <w:color w:val="auto"/>
        </w:rPr>
      </w:pPr>
    </w:p>
    <w:p>
      <w:pPr>
        <w:ind w:left="1020" w:right="100" w:hanging="565"/>
        <w:spacing w:after="0" w:line="270"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when issued and paid for upon exercise of the Warrants in accordance with the terms of the Warrants, will be validly issued, fully paid and nonassessable.</w:t>
      </w:r>
    </w:p>
    <w:p>
      <w:pPr>
        <w:spacing w:after="0" w:line="76" w:lineRule="exact"/>
        <w:rPr>
          <w:rFonts w:ascii="Times New Roman" w:cs="Times New Roman" w:eastAsia="Times New Roman" w:hAnsi="Times New Roman"/>
          <w:sz w:val="18"/>
          <w:szCs w:val="18"/>
          <w:color w:val="auto"/>
        </w:rPr>
      </w:pPr>
    </w:p>
    <w:p>
      <w:pPr>
        <w:ind w:left="1020" w:right="40" w:hanging="565"/>
        <w:spacing w:after="0" w:line="270"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Shares and RSU Shares have been duly authorized and, when issued and paid for upon exercise or settlement in accordance with the terms of the Plans, will be validly issued, fully paid and nonassessable.</w:t>
      </w:r>
    </w:p>
    <w:p>
      <w:pPr>
        <w:spacing w:after="0" w:line="76" w:lineRule="exact"/>
        <w:rPr>
          <w:rFonts w:ascii="Times New Roman" w:cs="Times New Roman" w:eastAsia="Times New Roman" w:hAnsi="Times New Roman"/>
          <w:sz w:val="18"/>
          <w:szCs w:val="18"/>
          <w:color w:val="auto"/>
        </w:rPr>
      </w:pPr>
    </w:p>
    <w:p>
      <w:pPr>
        <w:ind w:left="1020" w:right="220" w:hanging="565"/>
        <w:spacing w:after="0" w:line="253"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Securityholder Shares have been duly authorized and are, or in the case of the Private Placement Warrant Shares when issued and paid for upon exercise of the Private Placement Warrants in accordance with their terms or in the case of the Option Shares and RSU Shares when issued and paid for upon exercise or settlement in accordance with the terms of the Plans, will be, validly issued, fully paid and nonassessable.</w:t>
      </w:r>
    </w:p>
    <w:p>
      <w:pPr>
        <w:sectPr>
          <w:pgSz w:w="11900" w:h="16838" w:orient="portrait"/>
          <w:cols w:equalWidth="0" w:num="1">
            <w:col w:w="11220"/>
          </w:cols>
          <w:pgMar w:left="320" w:top="1440" w:right="359" w:bottom="1440" w:gutter="0" w:footer="0" w:header="0"/>
        </w:sectPr>
      </w:pPr>
    </w:p>
    <w:bookmarkStart w:id="330" w:name="page331"/>
    <w:bookmarkEnd w:id="330"/>
    <w:p>
      <w:pPr>
        <w:spacing w:after="0" w:line="2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152005" cy="24765"/>
                    </a:xfrm>
                    <a:prstGeom prst="rect">
                      <a:avLst/>
                    </a:prstGeom>
                    <a:noFill/>
                  </pic:spPr>
                </pic:pic>
              </a:graphicData>
            </a:graphic>
          </wp:anchor>
        </w:drawing>
        <w:drawing>
          <wp:anchor simplePos="0" relativeHeight="251657728" behindDoc="1" locked="0" layoutInCell="0" allowOverlap="1">
            <wp:simplePos x="0" y="0"/>
            <wp:positionH relativeFrom="page">
              <wp:posOffset>6233795</wp:posOffset>
            </wp:positionH>
            <wp:positionV relativeFrom="page">
              <wp:posOffset>407670</wp:posOffset>
            </wp:positionV>
            <wp:extent cx="1108075" cy="6210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clrChange>
                        <a:clrFrom>
                          <a:srgbClr val="FFFFFF"/>
                        </a:clrFrom>
                        <a:clrTo>
                          <a:srgbClr val="FFFFFF">
                            <a:alpha val="0"/>
                          </a:srgbClr>
                        </a:clrTo>
                      </a:clrChange>
                      <a:extLst>
                        <a:ext uri="{28A0092B-C50C-407E-A947-70E740481C1C}"/>
                      </a:extLst>
                    </a:blip>
                    <a:srcRect/>
                    <a:stretch>
                      <a:fillRect/>
                    </a:stretch>
                  </pic:blipFill>
                  <pic:spPr bwMode="auto">
                    <a:xfrm>
                      <a:off x="0" y="0"/>
                      <a:ext cx="1108075" cy="621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opinion set forth in paragraph 1 above is subject to (i) the effects of bankruptcy, insolvency, fraudulent conveyance, reorganization, moratorium and other similar laws relating to or affecting creditors’ rights generally, (ii) general equitable principles (whether considered in a proceeding in equity or at law) or</w:t>
      </w:r>
    </w:p>
    <w:p>
      <w:pPr>
        <w:spacing w:after="0" w:line="1" w:lineRule="exact"/>
        <w:rPr>
          <w:sz w:val="20"/>
          <w:szCs w:val="20"/>
          <w:color w:val="auto"/>
        </w:rPr>
      </w:pPr>
    </w:p>
    <w:p>
      <w:pPr>
        <w:ind w:right="20" w:firstLine="6"/>
        <w:spacing w:after="0" w:line="250" w:lineRule="auto"/>
        <w:tabs>
          <w:tab w:leader="none" w:pos="30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implied covenant of good faith and fair dealing. Our opinion is subject to the qualification that the availability of specific performance, an injunction or other equitable remedies is subject to the discretion of the court before which the request is brought.</w:t>
      </w:r>
    </w:p>
    <w:p>
      <w:pPr>
        <w:spacing w:after="0" w:line="18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express no opinion as to any provision of the Warrants that: (i) provides for economic remedies to the extent such provisions may constitute unlawful penalties, (ii) relates to advance waivers of claims, defenses, rights granted by law, or notice, opportunity for hearing, evidentiary requirements, statutes of limitations, trial by jury, or procedural rights, (iii) restricts non-written modifications and waivers, (iv) provides for the payment of legal and other professional fees where such payment is contrary to law or public policy, (v) relates to exclusivity, election or accumulation of rights or remedies, (vi) authorizes or validates conclusive or discretionary determinations, or (vii) provides that provisions of the Warrants are severable to the extent an essential part of the agreed exchange is determined to be invalid and unenforceable.</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opinions herein are limited to the General Corporation Law of the State of Delaware and, solely with respect to whether or not the Private Placement Warrants are the valid and legally binding obligations of the Company, the laws of the State of New York. Without limitation, no opinion is expressed herein with respect to the qualification of the Private Placement Warrants or the Selling Securityholder Shares under the securities or blue sky laws of any state or any foreign jurisdiction. We express no opinion as to whether a state court outside of the State of New York or a federal court of the United States would give effect to the choice of New York law provided for in the Warrants.</w:t>
      </w:r>
    </w:p>
    <w:p>
      <w:pPr>
        <w:spacing w:after="0" w:line="18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Our opinions are limited to the matters stated herein and no opinion is implied or may be inferred beyond the matters expressly stated. Our opinions are based on such laws as are in effect on the date hereof, and we disclaim any obligation to advise you of facts, circumstances, events or developments which hereafter may be brought to our attention and which may alter, affect or modify the opinion expressed herein.</w:t>
      </w:r>
    </w:p>
    <w:p>
      <w:pPr>
        <w:spacing w:after="0" w:line="17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under the caption “Legal Matters” in the Registration Statement and the Prospectus. In giving these consents, we do not thereby admit that we are within the category of persons whose consent is required under Section 7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Rules and Regulations of the Commission promulgated thereunder, nor do we thereby admit that we are “experts” within the meaning of such term as used in the Securities Act with respect to any part of the Registration Statement, including this opinion letter as an exhibit or otherwise.</w:t>
      </w:r>
    </w:p>
    <w:p>
      <w:pPr>
        <w:sectPr>
          <w:pgSz w:w="11900" w:h="16838" w:orient="portrait"/>
          <w:cols w:equalWidth="0" w:num="1">
            <w:col w:w="11220"/>
          </w:cols>
          <w:pgMar w:left="320" w:top="1440" w:right="359" w:bottom="1440" w:gutter="0" w:footer="0" w:header="0"/>
        </w:sectPr>
      </w:pPr>
    </w:p>
    <w:bookmarkStart w:id="331" w:name="page332"/>
    <w:bookmarkEnd w:id="331"/>
    <w:p>
      <w:pPr>
        <w:spacing w:after="0" w:line="2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52005" cy="247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152005" cy="24765"/>
                    </a:xfrm>
                    <a:prstGeom prst="rect">
                      <a:avLst/>
                    </a:prstGeom>
                    <a:noFill/>
                  </pic:spPr>
                </pic:pic>
              </a:graphicData>
            </a:graphic>
          </wp:anchor>
        </w:drawing>
        <w:drawing>
          <wp:anchor simplePos="0" relativeHeight="251657728" behindDoc="1" locked="0" layoutInCell="0" allowOverlap="1">
            <wp:simplePos x="0" y="0"/>
            <wp:positionH relativeFrom="page">
              <wp:posOffset>6233795</wp:posOffset>
            </wp:positionH>
            <wp:positionV relativeFrom="page">
              <wp:posOffset>407035</wp:posOffset>
            </wp:positionV>
            <wp:extent cx="1108075" cy="6210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1108075" cy="621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ORRICK, HERRINGTON &amp; SUTCLIFFE LLP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ORRICK, HERRINGTON &amp; SUTCLIFFE LLP</w:t>
      </w:r>
    </w:p>
    <w:p>
      <w:pPr>
        <w:sectPr>
          <w:pgSz w:w="11900" w:h="16838" w:orient="portrait"/>
          <w:cols w:equalWidth="0" w:num="1">
            <w:col w:w="10139"/>
          </w:cols>
          <w:pgMar w:left="320" w:top="1440" w:right="1440"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Clover Health Investment, Corp. (f/k/a Social Capital Hedosophia Holdings Corp. III) on Form S-1 of our report dated January 31, 2020, except for Note 8 as to which the date is April 23, 2020, which includes an explanatory paragraph as to the Company’s ability to continue as a going concern, with respect to our audit of the financial statements of Clover Health Investment, Corp. (f/k/a Social Capital Hedosophia Holdings Corp. III) as of December 31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2019 and for the period from October 18, 2019 (inception) through December 31, 2019, which report appears in the Prospectus, which is part of this Registration Statement. We were dismissed as auditors on January 7, 2021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2021</w:t>
      </w:r>
    </w:p>
    <w:p>
      <w:pPr>
        <w:sectPr>
          <w:pgSz w:w="11900" w:h="16838" w:orient="portrait"/>
          <w:cols w:equalWidth="0" w:num="1">
            <w:col w:w="11240"/>
          </w:cols>
          <w:pgMar w:left="320" w:top="119" w:right="3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reference to our firm under the caption “Experts” and to the use of our report dated August 11, 2020, in the Registration Statement (Form S-</w:t>
      </w:r>
    </w:p>
    <w:p>
      <w:pPr>
        <w:spacing w:after="0" w:line="34" w:lineRule="exact"/>
        <w:rPr>
          <w:sz w:val="20"/>
          <w:szCs w:val="20"/>
          <w:color w:val="auto"/>
        </w:rPr>
      </w:pPr>
    </w:p>
    <w:p>
      <w:pPr>
        <w:ind w:right="200" w:firstLine="6"/>
        <w:spacing w:after="0" w:line="250" w:lineRule="auto"/>
        <w:tabs>
          <w:tab w:leader="none" w:pos="19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related Prospectus of Clover Health Investments, Corp. for the registration of 303,904,202 Shares of Class A Common Stock, 10,933,333 Warrants to Purchase Shares of Class A Common Stock and 38,533,271 Shares of Class A Common Stock Underlying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2021</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decimal"/>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1)"/>
      <w:numFmt w:val="decimal"/>
      <w:start w:val="1"/>
    </w:lvl>
  </w:abstractNum>
  <w:abstractNum w:abstractNumId="22">
    <w:nsid w:val="6F6DD9AC"/>
    <w:multiLevelType w:val="hybridMultilevel"/>
    <w:lvl w:ilvl="0">
      <w:lvlJc w:val="left"/>
      <w:lvlText w:val="(%1)"/>
      <w:numFmt w:val="decimal"/>
      <w:start w:val="1"/>
    </w:lvl>
  </w:abstractNum>
  <w:abstractNum w:abstractNumId="23">
    <w:nsid w:val="94211F2"/>
    <w:multiLevelType w:val="hybridMultilevel"/>
    <w:lvl w:ilvl="0">
      <w:lvlJc w:val="left"/>
      <w:lvlText w:val="(%1)"/>
      <w:numFmt w:val="decimal"/>
      <w:start w:val="1"/>
    </w:lvl>
  </w:abstractNum>
  <w:abstractNum w:abstractNumId="24">
    <w:nsid w:val="885E1B"/>
    <w:multiLevelType w:val="hybridMultilevel"/>
    <w:lvl w:ilvl="0">
      <w:lvlJc w:val="left"/>
      <w:lvlText w:val="(%1)"/>
      <w:numFmt w:val="decimal"/>
      <w:start w:val="1"/>
    </w:lvl>
  </w:abstractNum>
  <w:abstractNum w:abstractNumId="25">
    <w:nsid w:val="76272110"/>
    <w:multiLevelType w:val="hybridMultilevel"/>
    <w:lvl w:ilvl="0">
      <w:lvlJc w:val="left"/>
      <w:lvlText w:val="(%1)"/>
      <w:numFmt w:val="lowerRoman"/>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1)"/>
      <w:numFmt w:val="upperLetter"/>
      <w:start w:val="3"/>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1)"/>
      <w:numFmt w:val="upperLetter"/>
      <w:start w:val="1"/>
    </w:lvl>
  </w:abstractNum>
  <w:abstractNum w:abstractNumId="30">
    <w:nsid w:val="74DE0EE3"/>
    <w:multiLevelType w:val="hybridMultilevel"/>
    <w:lvl w:ilvl="0">
      <w:lvlJc w:val="left"/>
      <w:lvlText w:val="(%1)"/>
      <w:numFmt w:val="lowerLetter"/>
      <w:start w:val="1"/>
    </w:lvl>
  </w:abstractNum>
  <w:abstractNum w:abstractNumId="31">
    <w:nsid w:val="68EBC550"/>
    <w:multiLevelType w:val="hybridMultilevel"/>
    <w:lvl w:ilvl="0">
      <w:lvlJc w:val="left"/>
      <w:lvlText w:val="(%1)"/>
      <w:numFmt w:val="lowerLetter"/>
      <w:start w:val="3"/>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1)"/>
      <w:numFmt w:val="lowerLetter"/>
      <w:start w:val="6"/>
    </w:lvl>
  </w:abstractNum>
  <w:abstractNum w:abstractNumId="35">
    <w:nsid w:val="39EE015C"/>
    <w:multiLevelType w:val="hybridMultilevel"/>
    <w:lvl w:ilvl="0">
      <w:lvlJc w:val="left"/>
      <w:lvlText w:val="(%1)"/>
      <w:numFmt w:val="lowerRoman"/>
      <w:start w:val="1"/>
    </w:lvl>
  </w:abstractNum>
  <w:abstractNum w:abstractNumId="36">
    <w:nsid w:val="57FC4FBB"/>
    <w:multiLevelType w:val="hybridMultilevel"/>
    <w:lvl w:ilvl="0">
      <w:lvlJc w:val="left"/>
      <w:lvlText w:val="(%1)"/>
      <w:numFmt w:val="decimal"/>
      <w:start w:val="1"/>
    </w:lvl>
  </w:abstractNum>
  <w:abstractNum w:abstractNumId="37">
    <w:nsid w:val="CC1016F"/>
    <w:multiLevelType w:val="hybridMultilevel"/>
    <w:lvl w:ilvl="0">
      <w:lvlJc w:val="left"/>
      <w:lvlText w:val="(%1)"/>
      <w:numFmt w:val="lowerLetter"/>
      <w:start w:val="10"/>
    </w:lvl>
  </w:abstractNum>
  <w:abstractNum w:abstractNumId="38">
    <w:nsid w:val="43F18422"/>
    <w:multiLevelType w:val="hybridMultilevel"/>
    <w:lvl w:ilvl="0">
      <w:lvlJc w:val="left"/>
      <w:lvlText w:val="%1."/>
      <w:numFmt w:val="decimal"/>
      <w:start w:val="7"/>
    </w:lvl>
  </w:abstractNum>
  <w:abstractNum w:abstractNumId="39">
    <w:nsid w:val="60EF0119"/>
    <w:multiLevelType w:val="hybridMultilevel"/>
    <w:lvl w:ilvl="0">
      <w:lvlJc w:val="left"/>
      <w:lvlText w:val="(%1)"/>
      <w:numFmt w:val="upperLetter"/>
      <w:start w:val="1"/>
    </w:lvl>
  </w:abstractNum>
  <w:abstractNum w:abstractNumId="40">
    <w:nsid w:val="26F324BA"/>
    <w:multiLevelType w:val="hybridMultilevel"/>
    <w:lvl w:ilvl="0">
      <w:lvlJc w:val="left"/>
      <w:lvlText w:val="(%1)"/>
      <w:numFmt w:val="lowerLetter"/>
      <w:start w:val="1"/>
    </w:lvl>
  </w:abstractNum>
  <w:abstractNum w:abstractNumId="41">
    <w:nsid w:val="7F01579B"/>
    <w:multiLevelType w:val="hybridMultilevel"/>
    <w:lvl w:ilvl="0">
      <w:lvlJc w:val="left"/>
      <w:lvlText w:val="(%1)"/>
      <w:numFmt w:val="lowerLetter"/>
      <w:start w:val="7"/>
    </w:lvl>
  </w:abstractNum>
  <w:abstractNum w:abstractNumId="42">
    <w:nsid w:val="49DA307D"/>
    <w:multiLevelType w:val="hybridMultilevel"/>
    <w:lvl w:ilvl="0">
      <w:lvlJc w:val="left"/>
      <w:lvlText w:val="(%1)"/>
      <w:numFmt w:val="decimal"/>
      <w:start w:val="1"/>
    </w:lvl>
  </w:abstractNum>
  <w:abstractNum w:abstractNumId="43">
    <w:nsid w:val="7055A5F5"/>
    <w:multiLevelType w:val="hybridMultilevel"/>
    <w:lvl w:ilvl="0">
      <w:lvlJc w:val="left"/>
      <w:lvlText w:val="(%1)"/>
      <w:numFmt w:val="decimal"/>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1)"/>
      <w:numFmt w:val="lowerRoman"/>
      <w:start w:val="2"/>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1)"/>
      <w:numFmt w:val="decimal"/>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1)"/>
      <w:numFmt w:val="decimal"/>
      <w:start w:val="1"/>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
      <w:numFmt w:val="bullet"/>
      <w:start w:val="1"/>
    </w:lvl>
  </w:abstractNum>
  <w:abstractNum w:abstractNumId="83">
    <w:nsid w:val="39B7AAA2"/>
    <w:multiLevelType w:val="hybridMultilevel"/>
    <w:lvl w:ilvl="0">
      <w:lvlJc w:val="left"/>
      <w:lvlText w:val="•"/>
      <w:numFmt w:val="bullet"/>
      <w:start w:val="1"/>
    </w:lvl>
  </w:abstractNum>
  <w:abstractNum w:abstractNumId="84">
    <w:nsid w:val="2B0D8DBE"/>
    <w:multiLevelType w:val="hybridMultilevel"/>
    <w:lvl w:ilvl="0">
      <w:lvlJc w:val="left"/>
      <w:lvlText w:val="•"/>
      <w:numFmt w:val="bullet"/>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1)"/>
      <w:numFmt w:val="decimal"/>
      <w:start w:val="1"/>
    </w:lvl>
  </w:abstractNum>
  <w:abstractNum w:abstractNumId="87">
    <w:nsid w:val="69E373"/>
    <w:multiLevelType w:val="hybridMultilevel"/>
    <w:lvl w:ilvl="0">
      <w:lvlJc w:val="left"/>
      <w:lvlText w:val="(%1)"/>
      <w:numFmt w:val="decimal"/>
      <w:start w:val="1"/>
    </w:lvl>
  </w:abstractNum>
  <w:abstractNum w:abstractNumId="88">
    <w:nsid w:val="2C27173B"/>
    <w:multiLevelType w:val="hybridMultilevel"/>
    <w:lvl w:ilvl="0">
      <w:lvlJc w:val="left"/>
      <w:lvlText w:val="(%1)"/>
      <w:numFmt w:val="decimal"/>
      <w:start w:val="5"/>
    </w:lvl>
  </w:abstractNum>
  <w:abstractNum w:abstractNumId="89">
    <w:nsid w:val="4C9B0904"/>
    <w:multiLevelType w:val="hybridMultilevel"/>
    <w:lvl w:ilvl="0">
      <w:lvlJc w:val="left"/>
      <w:lvlText w:val="•"/>
      <w:numFmt w:val="bullet"/>
      <w:start w:val="1"/>
    </w:lvl>
    <w:lvl w:ilvl="1">
      <w:lvlJc w:val="left"/>
      <w:lvlText w:val="(%2)"/>
      <w:numFmt w:val="decimal"/>
      <w:start w:val="1"/>
    </w:lvl>
  </w:abstractNum>
  <w:abstractNum w:abstractNumId="90">
    <w:nsid w:val="6AA7B75C"/>
    <w:multiLevelType w:val="hybridMultilevel"/>
    <w:lvl w:ilvl="0">
      <w:lvlJc w:val="left"/>
      <w:lvlText w:val="(%1)"/>
      <w:numFmt w:val="lowerRoman"/>
      <w:start w:val="4"/>
    </w:lvl>
  </w:abstractNum>
  <w:abstractNum w:abstractNumId="91">
    <w:nsid w:val="1DF029D3"/>
    <w:multiLevelType w:val="hybridMultilevel"/>
    <w:lvl w:ilvl="0">
      <w:lvlJc w:val="left"/>
      <w:lvlText w:val="(%1)"/>
      <w:numFmt w:val="lowerRoman"/>
      <w:start w:val="1"/>
    </w:lvl>
  </w:abstractNum>
  <w:abstractNum w:abstractNumId="92">
    <w:nsid w:val="5675FF36"/>
    <w:multiLevelType w:val="hybridMultilevel"/>
    <w:lvl w:ilvl="0">
      <w:lvlJc w:val="left"/>
      <w:lvlText w:val="(%1)"/>
      <w:numFmt w:val="decimal"/>
      <w:start w:val="10"/>
    </w:lvl>
  </w:abstractNum>
  <w:abstractNum w:abstractNumId="93">
    <w:nsid w:val="3DD15094"/>
    <w:multiLevelType w:val="hybridMultilevel"/>
    <w:lvl w:ilvl="0">
      <w:lvlJc w:val="left"/>
      <w:lvlText w:val="(%1)"/>
      <w:numFmt w:val="decimal"/>
      <w:start w:val="18"/>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1)"/>
      <w:numFmt w:val="lowerRoman"/>
      <w:start w:val="3"/>
    </w:lvl>
  </w:abstractNum>
  <w:abstractNum w:abstractNumId="99">
    <w:nsid w:val="53B0A9E"/>
    <w:multiLevelType w:val="hybridMultilevel"/>
    <w:lvl w:ilvl="0">
      <w:lvlJc w:val="left"/>
      <w:lvlText w:val="•"/>
      <w:numFmt w:val="bullet"/>
      <w:start w:val="1"/>
    </w:lvl>
  </w:abstractNum>
  <w:abstractNum w:abstractNumId="100">
    <w:nsid w:val="34FD6B4F"/>
    <w:multiLevelType w:val="hybridMultilevel"/>
    <w:lvl w:ilvl="0">
      <w:lvlJc w:val="left"/>
      <w:lvlText w:val="(%1)"/>
      <w:numFmt w:val="decimal"/>
      <w:start w:val="1"/>
    </w:lvl>
  </w:abstractNum>
  <w:abstractNum w:abstractNumId="101">
    <w:nsid w:val="5915FF32"/>
    <w:multiLevelType w:val="hybridMultilevel"/>
    <w:lvl w:ilvl="0">
      <w:lvlJc w:val="left"/>
      <w:lvlText w:val="(%1)"/>
      <w:numFmt w:val="decimal"/>
      <w:start w:val="1"/>
    </w:lvl>
  </w:abstractNum>
  <w:abstractNum w:abstractNumId="102">
    <w:nsid w:val="56438D15"/>
    <w:multiLevelType w:val="hybridMultilevel"/>
    <w:lvl w:ilvl="0">
      <w:lvlJc w:val="left"/>
      <w:lvlText w:val="(%1)"/>
      <w:numFmt w:val="decimal"/>
      <w:start w:val="1"/>
    </w:lvl>
  </w:abstractNum>
  <w:abstractNum w:abstractNumId="103">
    <w:nsid w:val="519E3149"/>
    <w:multiLevelType w:val="hybridMultilevel"/>
    <w:lvl w:ilvl="0">
      <w:lvlJc w:val="left"/>
      <w:lvlText w:val="(%1)"/>
      <w:numFmt w:val="lowerRoman"/>
      <w:start w:val="3"/>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
      <w:numFmt w:val="bullet"/>
      <w:start w:val="1"/>
    </w:lvl>
  </w:abstractNum>
  <w:abstractNum w:abstractNumId="106">
    <w:nsid w:val="4DF72E4E"/>
    <w:multiLevelType w:val="hybridMultilevel"/>
    <w:lvl w:ilvl="0">
      <w:lvlJc w:val="left"/>
      <w:lvlText w:val="**"/>
      <w:numFmt w:val="bullet"/>
      <w:start w:val="1"/>
    </w:lvl>
  </w:abstractNum>
  <w:abstractNum w:abstractNumId="107">
    <w:nsid w:val="5046B5A9"/>
    <w:multiLevelType w:val="hybridMultilevel"/>
    <w:lvl w:ilvl="0">
      <w:lvlJc w:val="left"/>
      <w:lvlText w:val="(%1)"/>
      <w:numFmt w:val="decimal"/>
      <w:start w:val="1"/>
    </w:lvl>
  </w:abstractNum>
  <w:abstractNum w:abstractNumId="108">
    <w:nsid w:val="5D888A08"/>
    <w:multiLevelType w:val="hybridMultilevel"/>
    <w:lvl w:ilvl="0">
      <w:lvlJc w:val="left"/>
      <w:lvlText w:val="(%1)"/>
      <w:numFmt w:val="decimal"/>
      <w:start w:val="9"/>
    </w:lvl>
  </w:abstractNum>
  <w:abstractNum w:abstractNumId="109">
    <w:nsid w:val="2A082C70"/>
    <w:multiLevelType w:val="hybridMultilevel"/>
    <w:lvl w:ilvl="0">
      <w:lvlJc w:val="left"/>
      <w:lvlText w:val="(%1)"/>
      <w:numFmt w:val="decimal"/>
      <w:start w:val="18"/>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
      <w:numFmt w:val="bullet"/>
      <w:start w:val="1"/>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
      <w:numFmt w:val="bullet"/>
      <w:start w:val="1"/>
    </w:lvl>
  </w:abstractNum>
  <w:abstractNum w:abstractNumId="114">
    <w:nsid w:val="5399C654"/>
    <w:multiLevelType w:val="hybridMultilevel"/>
    <w:lvl w:ilvl="0">
      <w:lvlJc w:val="left"/>
      <w:lvlText w:val="•"/>
      <w:numFmt w:val="bullet"/>
      <w:start w:val="1"/>
    </w:lvl>
  </w:abstractNum>
  <w:abstractNum w:abstractNumId="115">
    <w:nsid w:val="20EE1348"/>
    <w:multiLevelType w:val="hybridMultilevel"/>
    <w:lvl w:ilvl="0">
      <w:lvlJc w:val="left"/>
      <w:lvlText w:val="•"/>
      <w:numFmt w:val="bullet"/>
      <w:start w:val="1"/>
    </w:lvl>
  </w:abstractNum>
  <w:abstractNum w:abstractNumId="116">
    <w:nsid w:val="4427069A"/>
    <w:multiLevelType w:val="hybridMultilevel"/>
    <w:lvl w:ilvl="0">
      <w:lvlJc w:val="left"/>
      <w:lvlText w:val="•"/>
      <w:numFmt w:val="bullet"/>
      <w:start w:val="1"/>
    </w:lvl>
  </w:abstractNum>
  <w:abstractNum w:abstractNumId="117">
    <w:nsid w:val="B37E80A"/>
    <w:multiLevelType w:val="hybridMultilevel"/>
    <w:lvl w:ilvl="0">
      <w:lvlJc w:val="left"/>
      <w:lvlText w:val="•"/>
      <w:numFmt w:val="bullet"/>
      <w:start w:val="1"/>
    </w:lvl>
  </w:abstractNum>
  <w:abstractNum w:abstractNumId="118">
    <w:nsid w:val="2157F6BC"/>
    <w:multiLevelType w:val="hybridMultilevel"/>
    <w:lvl w:ilvl="0">
      <w:lvlJc w:val="left"/>
      <w:lvlText w:val="(%1)"/>
      <w:numFmt w:val="decimal"/>
      <w:start w:val="1"/>
    </w:lvl>
  </w:abstractNum>
  <w:abstractNum w:abstractNumId="119">
    <w:nsid w:val="704E1DD5"/>
    <w:multiLevelType w:val="hybridMultilevel"/>
    <w:lvl w:ilvl="0">
      <w:lvlJc w:val="left"/>
      <w:lvlText w:val="(%1)"/>
      <w:numFmt w:val="decimal"/>
      <w:start w:val="1"/>
    </w:lvl>
  </w:abstractNum>
  <w:abstractNum w:abstractNumId="120">
    <w:nsid w:val="57D2F10E"/>
    <w:multiLevelType w:val="hybridMultilevel"/>
    <w:lvl w:ilvl="0">
      <w:lvlJc w:val="left"/>
      <w:lvlText w:val="(%1)"/>
      <w:numFmt w:val="decimal"/>
      <w:start w:val="2"/>
    </w:lvl>
  </w:abstractNum>
  <w:abstractNum w:abstractNumId="121">
    <w:nsid w:val="BFFAE18"/>
    <w:multiLevelType w:val="hybridMultilevel"/>
    <w:lvl w:ilvl="0">
      <w:lvlJc w:val="left"/>
      <w:lvlText w:val="(%1)"/>
      <w:numFmt w:val="lowerLetter"/>
      <w:start w:val="1"/>
    </w:lvl>
  </w:abstractNum>
  <w:abstractNum w:abstractNumId="122">
    <w:nsid w:val="E3E47A8"/>
    <w:multiLevelType w:val="hybridMultilevel"/>
    <w:lvl w:ilvl="0">
      <w:lvlJc w:val="left"/>
      <w:lvlText w:val="•"/>
      <w:numFmt w:val="bullet"/>
      <w:start w:val="1"/>
    </w:lvl>
  </w:abstractNum>
  <w:abstractNum w:abstractNumId="123">
    <w:nsid w:val="2E48F044"/>
    <w:multiLevelType w:val="hybridMultilevel"/>
    <w:lvl w:ilvl="0">
      <w:lvlJc w:val="left"/>
      <w:lvlText w:val="•"/>
      <w:numFmt w:val="bullet"/>
      <w:start w:val="1"/>
    </w:lvl>
  </w:abstractNum>
  <w:abstractNum w:abstractNumId="124">
    <w:nsid w:val="49D0FEAC"/>
    <w:multiLevelType w:val="hybridMultilevel"/>
    <w:lvl w:ilvl="0">
      <w:lvlJc w:val="left"/>
      <w:lvlText w:val="•"/>
      <w:numFmt w:val="bullet"/>
      <w:start w:val="1"/>
    </w:lvl>
  </w:abstractNum>
  <w:abstractNum w:abstractNumId="125">
    <w:nsid w:val="4BEE5A5B"/>
    <w:multiLevelType w:val="hybridMultilevel"/>
    <w:lvl w:ilvl="0">
      <w:lvlJc w:val="left"/>
      <w:lvlText w:val="(%1)"/>
      <w:numFmt w:val="lowerRoman"/>
      <w:start w:val="2"/>
    </w:lvl>
  </w:abstractNum>
  <w:abstractNum w:abstractNumId="126">
    <w:nsid w:val="5551B9F3"/>
    <w:multiLevelType w:val="hybridMultilevel"/>
    <w:lvl w:ilvl="0">
      <w:lvlJc w:val="left"/>
      <w:lvlText w:val="(%1)"/>
      <w:numFmt w:val="upperLetter"/>
      <w:start w:val="2"/>
    </w:lvl>
  </w:abstractNum>
  <w:abstractNum w:abstractNumId="127">
    <w:nsid w:val="24F6AB8E"/>
    <w:multiLevelType w:val="hybridMultilevel"/>
    <w:lvl w:ilvl="0">
      <w:lvlJc w:val="left"/>
      <w:lvlText w:val="•"/>
      <w:numFmt w:val="bullet"/>
      <w:start w:val="1"/>
    </w:lvl>
  </w:abstractNum>
  <w:abstractNum w:abstractNumId="128">
    <w:nsid w:val="634C574C"/>
    <w:multiLevelType w:val="hybridMultilevel"/>
    <w:lvl w:ilvl="0">
      <w:lvlJc w:val="left"/>
      <w:lvlText w:val="•"/>
      <w:numFmt w:val="bullet"/>
      <w:start w:val="1"/>
    </w:lvl>
  </w:abstractNum>
  <w:abstractNum w:abstractNumId="129">
    <w:nsid w:val="24E99DD7"/>
    <w:multiLevelType w:val="hybridMultilevel"/>
    <w:lvl w:ilvl="0">
      <w:lvlJc w:val="left"/>
      <w:lvlText w:val="(%1)"/>
      <w:numFmt w:val="decimal"/>
      <w:start w:val="5"/>
    </w:lvl>
  </w:abstractNum>
  <w:abstractNum w:abstractNumId="130">
    <w:nsid w:val="2A31B62D"/>
    <w:multiLevelType w:val="hybridMultilevel"/>
    <w:lvl w:ilvl="0">
      <w:lvlJc w:val="left"/>
      <w:lvlText w:val="•"/>
      <w:numFmt w:val="bullet"/>
      <w:start w:val="1"/>
    </w:lvl>
  </w:abstractNum>
  <w:abstractNum w:abstractNumId="131">
    <w:nsid w:val="1849C29B"/>
    <w:multiLevelType w:val="hybridMultilevel"/>
    <w:lvl w:ilvl="0">
      <w:lvlJc w:val="left"/>
      <w:lvlText w:val="(%1)"/>
      <w:numFmt w:val="decimal"/>
      <w:start w:val="3"/>
    </w:lvl>
  </w:abstractNum>
  <w:abstractNum w:abstractNumId="132">
    <w:nsid w:val="7DFF9D09"/>
    <w:multiLevelType w:val="hybridMultilevel"/>
    <w:lvl w:ilvl="0">
      <w:lvlJc w:val="left"/>
      <w:lvlText w:val="•"/>
      <w:numFmt w:val="bullet"/>
      <w:start w:val="1"/>
    </w:lvl>
  </w:abstractNum>
  <w:abstractNum w:abstractNumId="133">
    <w:nsid w:val="754342"/>
    <w:multiLevelType w:val="hybridMultilevel"/>
    <w:lvl w:ilvl="0">
      <w:lvlJc w:val="left"/>
      <w:lvlText w:val="•"/>
      <w:numFmt w:val="bullet"/>
      <w:start w:val="1"/>
    </w:lvl>
  </w:abstractNum>
  <w:abstractNum w:abstractNumId="134">
    <w:nsid w:val="69E7F3E5"/>
    <w:multiLevelType w:val="hybridMultilevel"/>
    <w:lvl w:ilvl="0">
      <w:lvlJc w:val="left"/>
      <w:lvlText w:val="•"/>
      <w:numFmt w:val="bullet"/>
      <w:start w:val="1"/>
    </w:lvl>
  </w:abstractNum>
  <w:abstractNum w:abstractNumId="135">
    <w:nsid w:val="2A6DE806"/>
    <w:multiLevelType w:val="hybridMultilevel"/>
    <w:lvl w:ilvl="0">
      <w:lvlJc w:val="left"/>
      <w:lvlText w:val="•"/>
      <w:numFmt w:val="bullet"/>
      <w:start w:val="1"/>
    </w:lvl>
  </w:abstractNum>
  <w:abstractNum w:abstractNumId="136">
    <w:nsid w:val="1816F8C4"/>
    <w:multiLevelType w:val="hybridMultilevel"/>
    <w:lvl w:ilvl="0">
      <w:lvlJc w:val="left"/>
      <w:lvlText w:val="•"/>
      <w:numFmt w:val="bullet"/>
      <w:start w:val="1"/>
    </w:lvl>
  </w:abstractNum>
  <w:abstractNum w:abstractNumId="137">
    <w:nsid w:val="37DF2233"/>
    <w:multiLevelType w:val="hybridMultilevel"/>
    <w:lvl w:ilvl="0">
      <w:lvlJc w:val="left"/>
      <w:lvlText w:val="•"/>
      <w:numFmt w:val="bullet"/>
      <w:start w:val="1"/>
    </w:lvl>
  </w:abstractNum>
  <w:abstractNum w:abstractNumId="138">
    <w:nsid w:val="7AB49DAF"/>
    <w:multiLevelType w:val="hybridMultilevel"/>
    <w:lvl w:ilvl="0">
      <w:lvlJc w:val="left"/>
      <w:lvlText w:val="•"/>
      <w:numFmt w:val="bullet"/>
      <w:start w:val="1"/>
    </w:lvl>
  </w:abstractNum>
  <w:abstractNum w:abstractNumId="139">
    <w:nsid w:val="759F82CD"/>
    <w:multiLevelType w:val="hybridMultilevel"/>
    <w:lvl w:ilvl="0">
      <w:lvlJc w:val="left"/>
      <w:lvlText w:val="†"/>
      <w:numFmt w:val="bullet"/>
      <w:start w:val="1"/>
    </w:lvl>
  </w:abstractNum>
  <w:abstractNum w:abstractNumId="140">
    <w:nsid w:val="61E74EA3"/>
    <w:multiLevelType w:val="hybridMultilevel"/>
    <w:lvl w:ilvl="0">
      <w:lvlJc w:val="left"/>
      <w:lvlText w:val="(%1)"/>
      <w:numFmt w:val="decimal"/>
      <w:start w:val="1"/>
    </w:lvl>
  </w:abstractNum>
  <w:abstractNum w:abstractNumId="141">
    <w:nsid w:val="597B4D84"/>
    <w:multiLevelType w:val="hybridMultilevel"/>
    <w:lvl w:ilvl="0">
      <w:lvlJc w:val="left"/>
      <w:lvlText w:val="(%1)"/>
      <w:numFmt w:val="decimal"/>
      <w:start w:val="2"/>
    </w:lvl>
  </w:abstractNum>
  <w:abstractNum w:abstractNumId="142">
    <w:nsid w:val="F819E7F"/>
    <w:multiLevelType w:val="hybridMultilevel"/>
    <w:lvl w:ilvl="0">
      <w:lvlJc w:val="left"/>
      <w:lvlText w:val="(%1)"/>
      <w:numFmt w:val="decimal"/>
      <w:start w:val="5"/>
    </w:lvl>
  </w:abstractNum>
  <w:abstractNum w:abstractNumId="143">
    <w:nsid w:val="57C7D42D"/>
    <w:multiLevelType w:val="hybridMultilevel"/>
    <w:lvl w:ilvl="0">
      <w:lvlJc w:val="left"/>
      <w:lvlText w:val="(%1)"/>
      <w:numFmt w:val="lowerLetter"/>
      <w:start w:val="1"/>
    </w:lvl>
  </w:abstractNum>
  <w:abstractNum w:abstractNumId="144">
    <w:nsid w:val="312167AD"/>
    <w:multiLevelType w:val="hybridMultilevel"/>
    <w:lvl w:ilvl="0">
      <w:lvlJc w:val="left"/>
      <w:lvlText w:val="(%1)"/>
      <w:numFmt w:val="lowerRoman"/>
      <w:start w:val="1"/>
    </w:lvl>
  </w:abstractNum>
  <w:abstractNum w:abstractNumId="145">
    <w:nsid w:val="631B64D4"/>
    <w:multiLevelType w:val="hybridMultilevel"/>
    <w:lvl w:ilvl="0">
      <w:lvlJc w:val="left"/>
      <w:lvlText w:val="%1."/>
      <w:numFmt w:val="decimal"/>
      <w:start w:val="1"/>
    </w:lvl>
  </w:abstractNum>
  <w:abstractNum w:abstractNumId="146">
    <w:nsid w:val="78B5E776"/>
    <w:multiLevelType w:val="hybridMultilevel"/>
    <w:lvl w:ilvl="0">
      <w:lvlJc w:val="left"/>
      <w:lvlText w:val="(%1)"/>
      <w:numFmt w:val="lowerRoman"/>
      <w:start w:val="3"/>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97"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jpeg"/><Relationship Id="rId410" Type="http://schemas.openxmlformats.org/officeDocument/2006/relationships/image" Target="media/image384.png"/><Relationship Id="rId411" Type="http://schemas.openxmlformats.org/officeDocument/2006/relationships/image" Target="media/image385.jpeg"/><Relationship Id="rId412" Type="http://schemas.openxmlformats.org/officeDocument/2006/relationships/image" Target="media/image386.png"/><Relationship Id="rId413" Type="http://schemas.openxmlformats.org/officeDocument/2006/relationships/image" Target="media/image387.jpeg"/><Relationship Id="rId414" Type="http://schemas.openxmlformats.org/officeDocument/2006/relationships/image" Target="media/image388.png"/><Relationship Id="rId415" Type="http://schemas.openxmlformats.org/officeDocument/2006/relationships/image" Target="media/image389.jpeg"/><Relationship Id="rId384" Type="http://schemas.openxmlformats.org/officeDocument/2006/relationships/hyperlink" Target="http://www.sec.gov/Archives/edgar/data/1801170/000110465920112403/tm2032431d1_ex2-1.htm" TargetMode="External"/><Relationship Id="rId385" Type="http://schemas.openxmlformats.org/officeDocument/2006/relationships/hyperlink" Target="http://www.sec.gov/Archives/edgar/data/1801170/000119312520314423/d14732dex21.htm" TargetMode="External"/><Relationship Id="rId386" Type="http://schemas.openxmlformats.org/officeDocument/2006/relationships/hyperlink" Target="http://www.sec.gov/Archives/edgar/data/1801170/000119312521007348/d63659dex31.htm" TargetMode="External"/><Relationship Id="rId387" Type="http://schemas.openxmlformats.org/officeDocument/2006/relationships/hyperlink" Target="http://www.sec.gov/Archives/edgar/data/1801170/000119312521007348/d63659dex32.htm" TargetMode="External"/><Relationship Id="rId388" Type="http://schemas.openxmlformats.org/officeDocument/2006/relationships/hyperlink" Target="http://www.sec.gov/Archives/edgar/data/1801170/000110465920051086/tm2016603d2_ex4-1.htm" TargetMode="External"/><Relationship Id="rId389" Type="http://schemas.openxmlformats.org/officeDocument/2006/relationships/hyperlink" Target="http://www.sec.gov/Archives/edgar/data/1801170/000119312520298445/d69158dex45.htm" TargetMode="External"/><Relationship Id="rId390" Type="http://schemas.openxmlformats.org/officeDocument/2006/relationships/hyperlink" Target="http://www.sec.gov/Archives/edgar/data/1801170/000119312520298445/d69158dex46.htm" TargetMode="External"/><Relationship Id="rId391" Type="http://schemas.openxmlformats.org/officeDocument/2006/relationships/hyperlink" Target="http://www.sec.gov/Archives/edgar/data/1801170/000119312521007348/d63659dex101.htm" TargetMode="External"/><Relationship Id="rId392" Type="http://schemas.openxmlformats.org/officeDocument/2006/relationships/hyperlink" Target="http://www.sec.gov/Archives/edgar/data/1801170/000119312521007348/d63659dex102.htm" TargetMode="External"/><Relationship Id="rId393" Type="http://schemas.openxmlformats.org/officeDocument/2006/relationships/hyperlink" Target="http://www.sec.gov/Archives/edgar/data/1801170/000119312520272347/d69158dex1015.htm" TargetMode="External"/><Relationship Id="rId394" Type="http://schemas.openxmlformats.org/officeDocument/2006/relationships/hyperlink" Target="http://www.sec.gov/Archives/edgar/data/1801170/000119312521007348/d63659dex104.htm" TargetMode="External"/><Relationship Id="rId395" Type="http://schemas.openxmlformats.org/officeDocument/2006/relationships/hyperlink" Target="http://www.sec.gov/Archives/edgar/data/1801170/000119312521007348/d63659dex105.htm" TargetMode="External"/><Relationship Id="rId396" Type="http://schemas.openxmlformats.org/officeDocument/2006/relationships/hyperlink" Target="http://www.sec.gov/Archives/edgar/data/1801170/000119312521007348/d63659dex106.htm" TargetMode="External"/><Relationship Id="rId398" Type="http://schemas.openxmlformats.org/officeDocument/2006/relationships/hyperlink" Target="http://www.sec.gov/Archives/edgar/data/1801170/000119312521007348/d63659dex107.htm" TargetMode="External"/><Relationship Id="rId399" Type="http://schemas.openxmlformats.org/officeDocument/2006/relationships/hyperlink" Target="http://www.sec.gov/Archives/edgar/data/1801170/000119312521007348/d63659dex108.htm" TargetMode="External"/><Relationship Id="rId400" Type="http://schemas.openxmlformats.org/officeDocument/2006/relationships/hyperlink" Target="http://www.sec.gov/Archives/edgar/data/1801170/000119312521007348/d63659dex109.htm" TargetMode="External"/><Relationship Id="rId401" Type="http://schemas.openxmlformats.org/officeDocument/2006/relationships/hyperlink" Target="http://www.sec.gov/Archives/edgar/data/1801170/000119312521007348/d63659dex1010.htm" TargetMode="External"/><Relationship Id="rId402" Type="http://schemas.openxmlformats.org/officeDocument/2006/relationships/hyperlink" Target="http://www.sec.gov/Archives/edgar/data/1801170/000119312521007348/d63659dex1011.htm" TargetMode="External"/><Relationship Id="rId403" Type="http://schemas.openxmlformats.org/officeDocument/2006/relationships/hyperlink" Target="http://www.sec.gov/Archives/edgar/data/1801170/000119312521007348/d636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2021-01-13T09:44:11Z</dcterms:created>
  <dcterms:modified xsi:type="dcterms:W3CDTF">2021-01-13T09:44:11Z</dcterms:modified>
</cp:coreProperties>
</file>