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001-39252</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Clover Health Investments,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tbl>
      <w:tblPr>
        <w:tblW w:w="4004" w:type="dxa"/>
        <w:jc w:val="center"/>
        <w:tblInd w:w="0" w:type="dxa"/>
        <w:tblLayout w:type="fixed"/>
        <w:tblCellMar>
          <w:top w:w="28" w:type="dxa"/>
          <w:left w:w="28" w:type="dxa"/>
          <w:bottom w:w="28" w:type="dxa"/>
          <w:right w:w="28" w:type="dxa"/>
        </w:tblCellMar>
      </w:tblPr>
      <w:tblGrid>
        <w:gridCol w:w="878"/>
        <w:gridCol w:w="771"/>
        <w:gridCol w:w="781"/>
        <w:gridCol w:w="459"/>
        <w:gridCol w:w="459"/>
        <w:gridCol w:w="656"/>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98-1515192</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15"/>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Not Applicable</w:t>
            </w:r>
            <w:r>
              <w:rPr>
                <w:rFonts w:ascii="Times New Roman;serif" w:hAnsi="Times New Roman;serif"/>
                <w:b/>
                <w:color w:val="000000"/>
                <w:sz w:val="13"/>
              </w:rPr>
              <w:t>(1)</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Not Applicable</w:t>
            </w:r>
            <w:r>
              <w:rPr>
                <w:rFonts w:ascii="Times New Roman;serif" w:hAnsi="Times New Roman;serif"/>
                <w:b/>
                <w:color w:val="000000"/>
                <w:sz w:val="13"/>
              </w:rPr>
              <w:t>(1)</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283"/>
        <w:jc w:val="center"/>
        <w:rPr/>
      </w:pPr>
      <w:r>
        <w:rPr>
          <w:rFonts w:ascii="Times New Roman;serif" w:hAnsi="Times New Roman;serif"/>
          <w:b/>
          <w:color w:val="000000"/>
          <w:sz w:val="20"/>
        </w:rPr>
        <w:t>Not Applicable</w:t>
      </w:r>
      <w:r>
        <w:rPr>
          <w:rFonts w:ascii="Times New Roman;serif" w:hAnsi="Times New Roman;serif"/>
          <w:b/>
          <w:color w:val="000000"/>
          <w:sz w:val="13"/>
        </w:rPr>
        <w:t>(1)</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962" w:type="dxa"/>
        <w:jc w:val="left"/>
        <w:tblInd w:w="0" w:type="dxa"/>
        <w:tblLayout w:type="fixed"/>
        <w:tblCellMar>
          <w:top w:w="28" w:type="dxa"/>
          <w:left w:w="28" w:type="dxa"/>
          <w:bottom w:w="28" w:type="dxa"/>
          <w:right w:w="28" w:type="dxa"/>
        </w:tblCellMar>
      </w:tblPr>
      <w:tblGrid>
        <w:gridCol w:w="1508"/>
        <w:gridCol w:w="1322"/>
        <w:gridCol w:w="1340"/>
        <w:gridCol w:w="109"/>
        <w:gridCol w:w="109"/>
        <w:gridCol w:w="109"/>
        <w:gridCol w:w="274"/>
        <w:gridCol w:w="274"/>
        <w:gridCol w:w="276"/>
        <w:gridCol w:w="109"/>
        <w:gridCol w:w="109"/>
        <w:gridCol w:w="109"/>
        <w:gridCol w:w="970"/>
        <w:gridCol w:w="970"/>
        <w:gridCol w:w="1374"/>
      </w:tblGrid>
      <w:tr>
        <w:trPr/>
        <w:tc>
          <w:tcPr>
            <w:tcW w:w="150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CLOV</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8"/>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both"/>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At July 31, 2026, the registrant had 435,441,337 shares of Class A Common Stock, $0.0001 par value per share, and 95,714,926 shares of Class B Common Stock, $0.0001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 name="Frame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60"/>
        <w:gridCol w:w="2957"/>
        <w:gridCol w:w="2957"/>
        <w:gridCol w:w="2964"/>
        <w:gridCol w:w="149"/>
        <w:gridCol w:w="149"/>
        <w:gridCol w:w="21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3">
              <w:r>
                <w:rPr>
                  <w:rStyle w:val="InternetLink"/>
                  <w:rFonts w:ascii="Times New Roman;serif" w:hAnsi="Times New Roman;serif"/>
                  <w:b/>
                  <w:color w:val="0000FF"/>
                  <w:sz w:val="20"/>
                  <w:u w:val="single"/>
                </w:rPr>
                <w:t>PART I.</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3">
              <w:r>
                <w:rPr>
                  <w:rStyle w:val="InternetLink"/>
                  <w:rFonts w:ascii="Times New Roman;serif" w:hAnsi="Times New Roman;serif"/>
                  <w:b/>
                  <w:color w:val="0000FF"/>
                  <w:sz w:val="20"/>
                  <w:u w:val="single"/>
                </w:rPr>
                <w:t>FINANCIAL INFORMATION</w:t>
              </w:r>
            </w:hyperlink>
          </w:p>
        </w:tc>
        <w:tc>
          <w:tcPr>
            <w:tcW w:w="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hyperlink w:anchor="i7a3a8b838a744bf5a89f97b8eadc490b_13">
              <w:r>
                <w:rPr>
                  <w:rStyle w:val="InternetLink"/>
                  <w:rFonts w:ascii="Times New Roman;serif" w:hAnsi="Times New Roman;serif"/>
                  <w:b w:val="false"/>
                  <w:color w:val="0000FF"/>
                  <w:sz w:val="20"/>
                  <w:u w:val="single"/>
                </w:rPr>
                <w:t>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6">
              <w:r>
                <w:rPr>
                  <w:rStyle w:val="InternetLink"/>
                  <w:rFonts w:ascii="Times New Roman;serif" w:hAnsi="Times New Roman;serif"/>
                  <w:b w:val="false"/>
                  <w:color w:val="0000FF"/>
                  <w:sz w:val="20"/>
                  <w:u w:val="single"/>
                </w:rPr>
                <w:t>Item 1.</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6">
              <w:r>
                <w:rPr>
                  <w:rStyle w:val="InternetLink"/>
                  <w:rFonts w:ascii="Times New Roman;serif" w:hAnsi="Times New Roman;serif"/>
                  <w:b w:val="false"/>
                  <w:color w:val="0000FF"/>
                  <w:sz w:val="20"/>
                  <w:u w:val="single"/>
                </w:rPr>
                <w:t>Financial Statements (Unaudited)</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6">
              <w:r>
                <w:rPr>
                  <w:rStyle w:val="InternetLink"/>
                  <w:rFonts w:ascii="Times New Roman;serif" w:hAnsi="Times New Roman;serif"/>
                  <w:b w:val="false"/>
                  <w:color w:val="0000FF"/>
                  <w:sz w:val="20"/>
                  <w:u w:val="single"/>
                </w:rPr>
                <w:t>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a3a8b838a744bf5a89f97b8eadc490b_19">
              <w:r>
                <w:rPr>
                  <w:rStyle w:val="InternetLink"/>
                  <w:rFonts w:ascii="Times New Roman;serif" w:hAnsi="Times New Roman;serif"/>
                  <w:b w:val="false"/>
                  <w:color w:val="000080"/>
                  <w:sz w:val="20"/>
                  <w:u w:val="single"/>
                </w:rPr>
                <w:t xml:space="preserve">Condensed Consolidated Balance Sheets at </w:t>
              </w:r>
            </w:hyperlink>
            <w:hyperlink w:anchor="i7a3a8b838a744bf5a89f97b8eadc490b_19">
              <w:r>
                <w:rPr>
                  <w:rStyle w:val="InternetLink"/>
                  <w:rFonts w:ascii="Times New Roman;serif" w:hAnsi="Times New Roman;serif"/>
                  <w:b w:val="false"/>
                  <w:color w:val="000080"/>
                  <w:sz w:val="20"/>
                  <w:u w:val="single"/>
                </w:rPr>
                <w:t>June</w:t>
              </w:r>
            </w:hyperlink>
            <w:hyperlink w:anchor="i7a3a8b838a744bf5a89f97b8eadc490b_19">
              <w:r>
                <w:rPr>
                  <w:rStyle w:val="InternetLink"/>
                  <w:rFonts w:ascii="Times New Roman;serif" w:hAnsi="Times New Roman;serif"/>
                  <w:b w:val="false"/>
                  <w:color w:val="000080"/>
                  <w:sz w:val="20"/>
                  <w:u w:val="single"/>
                </w:rPr>
                <w:t xml:space="preserve"> 3</w:t>
              </w:r>
            </w:hyperlink>
            <w:hyperlink w:anchor="i7a3a8b838a744bf5a89f97b8eadc490b_19">
              <w:r>
                <w:rPr>
                  <w:rStyle w:val="InternetLink"/>
                  <w:rFonts w:ascii="Times New Roman;serif" w:hAnsi="Times New Roman;serif"/>
                  <w:b w:val="false"/>
                  <w:color w:val="000080"/>
                  <w:sz w:val="20"/>
                  <w:u w:val="single"/>
                </w:rPr>
                <w:t>0</w:t>
              </w:r>
            </w:hyperlink>
            <w:hyperlink w:anchor="i7a3a8b838a744bf5a89f97b8eadc490b_19">
              <w:r>
                <w:rPr>
                  <w:rStyle w:val="InternetLink"/>
                  <w:rFonts w:ascii="Times New Roman;serif" w:hAnsi="Times New Roman;serif"/>
                  <w:b w:val="false"/>
                  <w:color w:val="000080"/>
                  <w:sz w:val="20"/>
                  <w:u w:val="single"/>
                </w:rPr>
                <w:t>, 2026 and December 31, 202</w:t>
              </w:r>
            </w:hyperlink>
            <w:r>
              <w:rPr>
                <w:rFonts w:ascii="Times New Roman;serif" w:hAnsi="Times New Roman;serif"/>
                <w:b w:val="false"/>
                <w:color w:val="0000FF"/>
                <w:sz w:val="20"/>
                <w:u w:val="single"/>
              </w:rPr>
              <w:t>5</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9">
              <w:r>
                <w:rPr>
                  <w:rStyle w:val="InternetLink"/>
                  <w:rFonts w:ascii="Times New Roman;serif" w:hAnsi="Times New Roman;serif"/>
                  <w:b w:val="false"/>
                  <w:color w:val="0000FF"/>
                  <w:sz w:val="20"/>
                  <w:u w:val="single"/>
                </w:rPr>
                <w:t>6</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a3a8b838a744bf5a89f97b8eadc490b_22">
              <w:r>
                <w:rPr>
                  <w:rStyle w:val="InternetLink"/>
                  <w:rFonts w:ascii="Times New Roman;serif" w:hAnsi="Times New Roman;serif"/>
                  <w:b w:val="false"/>
                  <w:color w:val="000080"/>
                  <w:sz w:val="20"/>
                  <w:u w:val="single"/>
                </w:rPr>
                <w:t>Condensed Consolidated Statements of Operations and Comprehensive Income</w:t>
              </w:r>
            </w:hyperlink>
            <w:hyperlink w:anchor="i7a3a8b838a744bf5a89f97b8eadc490b_22">
              <w:r>
                <w:rPr>
                  <w:rStyle w:val="InternetLink"/>
                  <w:rFonts w:ascii="Times New Roman;serif" w:hAnsi="Times New Roman;serif"/>
                  <w:b w:val="false"/>
                  <w:color w:val="000080"/>
                  <w:sz w:val="20"/>
                  <w:u w:val="single"/>
                </w:rPr>
                <w:t xml:space="preserve"> (Loss)</w:t>
              </w:r>
            </w:hyperlink>
            <w:hyperlink w:anchor="i7a3a8b838a744bf5a89f97b8eadc490b_22">
              <w:r>
                <w:rPr>
                  <w:rStyle w:val="InternetLink"/>
                  <w:rFonts w:ascii="Times New Roman;serif" w:hAnsi="Times New Roman;serif"/>
                  <w:b w:val="false"/>
                  <w:color w:val="000080"/>
                  <w:sz w:val="20"/>
                  <w:u w:val="single"/>
                </w:rPr>
                <w:t xml:space="preserve"> for the three</w:t>
              </w:r>
            </w:hyperlink>
            <w:hyperlink w:anchor="i7a3a8b838a744bf5a89f97b8eadc490b_22">
              <w:r>
                <w:rPr>
                  <w:rStyle w:val="InternetLink"/>
                  <w:rFonts w:ascii="Times New Roman;serif" w:hAnsi="Times New Roman;serif"/>
                  <w:b w:val="false"/>
                  <w:color w:val="000080"/>
                  <w:sz w:val="20"/>
                  <w:u w:val="single"/>
                </w:rPr>
                <w:t xml:space="preserve"> and six</w:t>
              </w:r>
            </w:hyperlink>
            <w:hyperlink w:anchor="i7a3a8b838a744bf5a89f97b8eadc490b_22">
              <w:r>
                <w:rPr>
                  <w:rStyle w:val="InternetLink"/>
                  <w:rFonts w:ascii="Times New Roman;serif" w:hAnsi="Times New Roman;serif"/>
                  <w:b w:val="false"/>
                  <w:color w:val="000080"/>
                  <w:sz w:val="20"/>
                  <w:u w:val="single"/>
                </w:rPr>
                <w:t xml:space="preserve"> months ended </w:t>
              </w:r>
            </w:hyperlink>
            <w:hyperlink w:anchor="i7a3a8b838a744bf5a89f97b8eadc490b_22">
              <w:r>
                <w:rPr>
                  <w:rStyle w:val="InternetLink"/>
                  <w:rFonts w:ascii="Times New Roman;serif" w:hAnsi="Times New Roman;serif"/>
                  <w:b w:val="false"/>
                  <w:color w:val="000080"/>
                  <w:sz w:val="20"/>
                  <w:u w:val="single"/>
                </w:rPr>
                <w:t>June</w:t>
              </w:r>
            </w:hyperlink>
            <w:hyperlink w:anchor="i7a3a8b838a744bf5a89f97b8eadc490b_22">
              <w:r>
                <w:rPr>
                  <w:rStyle w:val="InternetLink"/>
                  <w:rFonts w:ascii="Times New Roman;serif" w:hAnsi="Times New Roman;serif"/>
                  <w:b w:val="false"/>
                  <w:color w:val="000080"/>
                  <w:sz w:val="20"/>
                  <w:u w:val="single"/>
                </w:rPr>
                <w:t xml:space="preserve"> 3</w:t>
              </w:r>
            </w:hyperlink>
            <w:hyperlink w:anchor="i7a3a8b838a744bf5a89f97b8eadc490b_22">
              <w:r>
                <w:rPr>
                  <w:rStyle w:val="InternetLink"/>
                  <w:rFonts w:ascii="Times New Roman;serif" w:hAnsi="Times New Roman;serif"/>
                  <w:b w:val="false"/>
                  <w:color w:val="000080"/>
                  <w:sz w:val="20"/>
                  <w:u w:val="single"/>
                </w:rPr>
                <w:t>0</w:t>
              </w:r>
            </w:hyperlink>
            <w:hyperlink w:anchor="i7a3a8b838a744bf5a89f97b8eadc490b_22">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0000FF"/>
                <w:sz w:val="20"/>
                <w:u w:val="single"/>
              </w:rPr>
              <w:t>5</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22">
              <w:r>
                <w:rPr>
                  <w:rStyle w:val="InternetLink"/>
                  <w:rFonts w:ascii="Times New Roman;serif" w:hAnsi="Times New Roman;serif"/>
                  <w:b w:val="false"/>
                  <w:color w:val="0000FF"/>
                  <w:sz w:val="20"/>
                  <w:u w:val="single"/>
                </w:rPr>
                <w:t>7</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7a3a8b838a744bf5a89f97b8eadc490b_25">
              <w:r>
                <w:rPr>
                  <w:rStyle w:val="InternetLink"/>
                  <w:rFonts w:ascii="Times New Roman;serif" w:hAnsi="Times New Roman;serif"/>
                  <w:b w:val="false"/>
                  <w:color w:val="000080"/>
                  <w:sz w:val="20"/>
                  <w:u w:val="single"/>
                </w:rPr>
                <w:t xml:space="preserve">Condensed Consolidated Statements of Changes in Stockholders' Equity for the three </w:t>
              </w:r>
            </w:hyperlink>
            <w:hyperlink w:anchor="i7a3a8b838a744bf5a89f97b8eadc490b_25">
              <w:r>
                <w:rPr>
                  <w:rStyle w:val="InternetLink"/>
                  <w:rFonts w:ascii="Times New Roman;serif" w:hAnsi="Times New Roman;serif"/>
                  <w:b w:val="false"/>
                  <w:color w:val="000080"/>
                  <w:sz w:val="20"/>
                  <w:u w:val="single"/>
                </w:rPr>
                <w:t xml:space="preserve">and six </w:t>
              </w:r>
            </w:hyperlink>
            <w:hyperlink w:anchor="i7a3a8b838a744bf5a89f97b8eadc490b_25">
              <w:r>
                <w:rPr>
                  <w:rStyle w:val="InternetLink"/>
                  <w:rFonts w:ascii="Times New Roman;serif" w:hAnsi="Times New Roman;serif"/>
                  <w:b w:val="false"/>
                  <w:color w:val="000080"/>
                  <w:sz w:val="20"/>
                  <w:u w:val="single"/>
                </w:rPr>
                <w:t xml:space="preserve">months ended </w:t>
              </w:r>
            </w:hyperlink>
            <w:hyperlink w:anchor="i7a3a8b838a744bf5a89f97b8eadc490b_25">
              <w:r>
                <w:rPr>
                  <w:rStyle w:val="InternetLink"/>
                  <w:rFonts w:ascii="Times New Roman;serif" w:hAnsi="Times New Roman;serif"/>
                  <w:b w:val="false"/>
                  <w:color w:val="000080"/>
                  <w:sz w:val="20"/>
                  <w:u w:val="single"/>
                </w:rPr>
                <w:t>June</w:t>
              </w:r>
            </w:hyperlink>
            <w:hyperlink w:anchor="i7a3a8b838a744bf5a89f97b8eadc490b_25">
              <w:r>
                <w:rPr>
                  <w:rStyle w:val="InternetLink"/>
                  <w:rFonts w:ascii="Times New Roman;serif" w:hAnsi="Times New Roman;serif"/>
                  <w:b w:val="false"/>
                  <w:color w:val="000080"/>
                  <w:sz w:val="20"/>
                  <w:u w:val="single"/>
                </w:rPr>
                <w:t xml:space="preserve"> 3</w:t>
              </w:r>
            </w:hyperlink>
            <w:hyperlink w:anchor="i7a3a8b838a744bf5a89f97b8eadc490b_25">
              <w:r>
                <w:rPr>
                  <w:rStyle w:val="InternetLink"/>
                  <w:rFonts w:ascii="Times New Roman;serif" w:hAnsi="Times New Roman;serif"/>
                  <w:b w:val="false"/>
                  <w:color w:val="000080"/>
                  <w:sz w:val="20"/>
                  <w:u w:val="single"/>
                </w:rPr>
                <w:t>0</w:t>
              </w:r>
            </w:hyperlink>
            <w:hyperlink w:anchor="i7a3a8b838a744bf5a89f97b8eadc490b_25">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0000FF"/>
                <w:sz w:val="20"/>
                <w:u w:val="single"/>
              </w:rPr>
              <w:t>5</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25">
              <w:r>
                <w:rPr>
                  <w:rStyle w:val="InternetLink"/>
                  <w:rFonts w:ascii="Times New Roman;serif" w:hAnsi="Times New Roman;serif"/>
                  <w:b w:val="false"/>
                  <w:color w:val="0000FF"/>
                  <w:sz w:val="20"/>
                  <w:u w:val="single"/>
                </w:rPr>
                <w:t>8</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 xml:space="preserve">Condensed </w:t>
            </w:r>
            <w:hyperlink w:anchor="i7a3a8b838a744bf5a89f97b8eadc490b_28">
              <w:r>
                <w:rPr>
                  <w:rStyle w:val="InternetLink"/>
                  <w:rFonts w:ascii="Times New Roman;serif" w:hAnsi="Times New Roman;serif"/>
                  <w:b w:val="false"/>
                  <w:color w:val="000080"/>
                  <w:sz w:val="20"/>
                  <w:u w:val="single"/>
                </w:rPr>
                <w:t xml:space="preserve">Consolidated Statements of Cash Flows for the </w:t>
              </w:r>
            </w:hyperlink>
            <w:hyperlink w:anchor="i7a3a8b838a744bf5a89f97b8eadc490b_28">
              <w:r>
                <w:rPr>
                  <w:rStyle w:val="InternetLink"/>
                  <w:rFonts w:ascii="Times New Roman;serif" w:hAnsi="Times New Roman;serif"/>
                  <w:b w:val="false"/>
                  <w:color w:val="000080"/>
                  <w:sz w:val="20"/>
                  <w:u w:val="single"/>
                </w:rPr>
                <w:t>six</w:t>
              </w:r>
            </w:hyperlink>
            <w:hyperlink w:anchor="i7a3a8b838a744bf5a89f97b8eadc490b_28">
              <w:r>
                <w:rPr>
                  <w:rStyle w:val="InternetLink"/>
                  <w:rFonts w:ascii="Times New Roman;serif" w:hAnsi="Times New Roman;serif"/>
                  <w:b w:val="false"/>
                  <w:color w:val="000080"/>
                  <w:sz w:val="20"/>
                  <w:u w:val="single"/>
                </w:rPr>
                <w:t xml:space="preserve"> months ended </w:t>
              </w:r>
            </w:hyperlink>
            <w:hyperlink w:anchor="i7a3a8b838a744bf5a89f97b8eadc490b_28">
              <w:r>
                <w:rPr>
                  <w:rStyle w:val="InternetLink"/>
                  <w:rFonts w:ascii="Times New Roman;serif" w:hAnsi="Times New Roman;serif"/>
                  <w:b w:val="false"/>
                  <w:color w:val="000080"/>
                  <w:sz w:val="20"/>
                  <w:u w:val="single"/>
                </w:rPr>
                <w:t>June 30</w:t>
              </w:r>
            </w:hyperlink>
            <w:hyperlink w:anchor="i7a3a8b838a744bf5a89f97b8eadc490b_28">
              <w:r>
                <w:rPr>
                  <w:rStyle w:val="InternetLink"/>
                  <w:rFonts w:ascii="Times New Roman;serif" w:hAnsi="Times New Roman;serif"/>
                  <w:b w:val="false"/>
                  <w:color w:val="000080"/>
                  <w:sz w:val="20"/>
                  <w:u w:val="single"/>
                </w:rPr>
                <w:t>, 2026 and 202</w:t>
              </w:r>
            </w:hyperlink>
            <w:r>
              <w:rPr>
                <w:rFonts w:ascii="Times New Roman;serif" w:hAnsi="Times New Roman;serif"/>
                <w:b w:val="false"/>
                <w:color w:val="0000FF"/>
                <w:sz w:val="20"/>
                <w:u w:val="single"/>
              </w:rPr>
              <w:t>5</w:t>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28">
              <w:r>
                <w:rPr>
                  <w:rStyle w:val="InternetLink"/>
                  <w:rFonts w:ascii="Times New Roman;serif" w:hAnsi="Times New Roman;serif"/>
                  <w:b w:val="false"/>
                  <w:color w:val="0000FF"/>
                  <w:sz w:val="20"/>
                  <w:u w:val="single"/>
                </w:rPr>
                <w:t>10</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31">
              <w:r>
                <w:rPr>
                  <w:rStyle w:val="InternetLink"/>
                  <w:rFonts w:ascii="Times New Roman;serif" w:hAnsi="Times New Roman;serif"/>
                  <w:b w:val="false"/>
                  <w:color w:val="0000FF"/>
                  <w:sz w:val="20"/>
                  <w:u w:val="single"/>
                </w:rPr>
                <w:t>Notes to Condensed Consolidated Financial Statements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31">
              <w:r>
                <w:rPr>
                  <w:rStyle w:val="InternetLink"/>
                  <w:rFonts w:ascii="Times New Roman;serif" w:hAnsi="Times New Roman;serif"/>
                  <w:b w:val="false"/>
                  <w:color w:val="0000FF"/>
                  <w:sz w:val="20"/>
                  <w:u w:val="single"/>
                </w:rPr>
                <w:t>11</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79">
              <w:r>
                <w:rPr>
                  <w:rStyle w:val="InternetLink"/>
                  <w:rFonts w:ascii="Times New Roman;serif" w:hAnsi="Times New Roman;serif"/>
                  <w:b w:val="false"/>
                  <w:color w:val="0000FF"/>
                  <w:sz w:val="20"/>
                  <w:u w:val="single"/>
                </w:rPr>
                <w:t>Item 2.</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79">
              <w:r>
                <w:rPr>
                  <w:rStyle w:val="InternetLink"/>
                  <w:rFonts w:ascii="Times New Roman;serif" w:hAnsi="Times New Roman;serif"/>
                  <w:b w:val="false"/>
                  <w:color w:val="0000FF"/>
                  <w:sz w:val="20"/>
                  <w:u w:val="single"/>
                </w:rPr>
                <w:t>24</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12">
              <w:r>
                <w:rPr>
                  <w:rStyle w:val="InternetLink"/>
                  <w:rFonts w:ascii="Times New Roman;serif" w:hAnsi="Times New Roman;serif"/>
                  <w:b w:val="false"/>
                  <w:color w:val="0000FF"/>
                  <w:sz w:val="20"/>
                  <w:u w:val="single"/>
                </w:rPr>
                <w:t>Item 3.</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12">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12">
              <w:r>
                <w:rPr>
                  <w:rStyle w:val="InternetLink"/>
                  <w:rFonts w:ascii="Times New Roman;serif" w:hAnsi="Times New Roman;serif"/>
                  <w:b w:val="false"/>
                  <w:color w:val="0000FF"/>
                  <w:sz w:val="20"/>
                  <w:u w:val="single"/>
                </w:rPr>
                <w:t>35</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15">
              <w:r>
                <w:rPr>
                  <w:rStyle w:val="InternetLink"/>
                  <w:rFonts w:ascii="Times New Roman;serif" w:hAnsi="Times New Roman;serif"/>
                  <w:b w:val="false"/>
                  <w:color w:val="0000FF"/>
                  <w:sz w:val="20"/>
                  <w:u w:val="single"/>
                </w:rPr>
                <w:t>Item 4.</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15">
              <w:r>
                <w:rPr>
                  <w:rStyle w:val="InternetLink"/>
                  <w:rFonts w:ascii="Times New Roman;serif" w:hAnsi="Times New Roman;serif"/>
                  <w:b w:val="false"/>
                  <w:color w:val="0000FF"/>
                  <w:sz w:val="20"/>
                  <w:u w:val="single"/>
                </w:rPr>
                <w:t>Controls and Procedures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15">
              <w:r>
                <w:rPr>
                  <w:rStyle w:val="InternetLink"/>
                  <w:rFonts w:ascii="Times New Roman;serif" w:hAnsi="Times New Roman;serif"/>
                  <w:b w:val="false"/>
                  <w:color w:val="0000FF"/>
                  <w:sz w:val="20"/>
                  <w:u w:val="single"/>
                </w:rPr>
                <w:t>36</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18">
              <w:r>
                <w:rPr>
                  <w:rStyle w:val="InternetLink"/>
                  <w:rFonts w:ascii="Times New Roman;serif" w:hAnsi="Times New Roman;serif"/>
                  <w:b/>
                  <w:color w:val="0000FF"/>
                  <w:sz w:val="20"/>
                  <w:u w:val="single"/>
                </w:rPr>
                <w:t>PART II.</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18">
              <w:r>
                <w:rPr>
                  <w:rStyle w:val="InternetLink"/>
                  <w:rFonts w:ascii="Times New Roman;serif" w:hAnsi="Times New Roman;serif"/>
                  <w:b/>
                  <w:color w:val="0000FF"/>
                  <w:sz w:val="20"/>
                  <w:u w:val="single"/>
                </w:rPr>
                <w:t>OTHER INFORMATION</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18">
              <w:r>
                <w:rPr>
                  <w:rStyle w:val="InternetLink"/>
                  <w:rFonts w:ascii="Times New Roman;serif" w:hAnsi="Times New Roman;serif"/>
                  <w:b w:val="false"/>
                  <w:color w:val="0000FF"/>
                  <w:sz w:val="20"/>
                  <w:u w:val="single"/>
                </w:rPr>
                <w:t>37</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21">
              <w:r>
                <w:rPr>
                  <w:rStyle w:val="InternetLink"/>
                  <w:rFonts w:ascii="Times New Roman;serif" w:hAnsi="Times New Roman;serif"/>
                  <w:b w:val="false"/>
                  <w:color w:val="0000FF"/>
                  <w:sz w:val="20"/>
                  <w:u w:val="single"/>
                </w:rPr>
                <w:t>Item 1.</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21">
              <w:r>
                <w:rPr>
                  <w:rStyle w:val="InternetLink"/>
                  <w:rFonts w:ascii="Times New Roman;serif" w:hAnsi="Times New Roman;serif"/>
                  <w:b w:val="false"/>
                  <w:color w:val="0000FF"/>
                  <w:sz w:val="20"/>
                  <w:u w:val="single"/>
                </w:rPr>
                <w:t>Legal Proceedings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21">
              <w:r>
                <w:rPr>
                  <w:rStyle w:val="InternetLink"/>
                  <w:rFonts w:ascii="Times New Roman;serif" w:hAnsi="Times New Roman;serif"/>
                  <w:b w:val="false"/>
                  <w:color w:val="0000FF"/>
                  <w:sz w:val="20"/>
                  <w:u w:val="single"/>
                </w:rPr>
                <w:t>37</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24">
              <w:r>
                <w:rPr>
                  <w:rStyle w:val="InternetLink"/>
                  <w:rFonts w:ascii="Times New Roman;serif" w:hAnsi="Times New Roman;serif"/>
                  <w:b w:val="false"/>
                  <w:color w:val="0000FF"/>
                  <w:sz w:val="20"/>
                  <w:u w:val="single"/>
                </w:rPr>
                <w:t>Item 1A.</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24">
              <w:r>
                <w:rPr>
                  <w:rStyle w:val="InternetLink"/>
                  <w:rFonts w:ascii="Times New Roman;serif" w:hAnsi="Times New Roman;serif"/>
                  <w:b w:val="false"/>
                  <w:color w:val="0000FF"/>
                  <w:sz w:val="20"/>
                  <w:u w:val="single"/>
                </w:rPr>
                <w:t>Risk Factors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24">
              <w:r>
                <w:rPr>
                  <w:rStyle w:val="InternetLink"/>
                  <w:rFonts w:ascii="Times New Roman;serif" w:hAnsi="Times New Roman;serif"/>
                  <w:b w:val="false"/>
                  <w:color w:val="0000FF"/>
                  <w:sz w:val="20"/>
                  <w:u w:val="single"/>
                </w:rPr>
                <w:t>37</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27">
              <w:r>
                <w:rPr>
                  <w:rStyle w:val="InternetLink"/>
                  <w:rFonts w:ascii="Times New Roman;serif" w:hAnsi="Times New Roman;serif"/>
                  <w:b w:val="false"/>
                  <w:color w:val="0000FF"/>
                  <w:sz w:val="20"/>
                  <w:u w:val="single"/>
                </w:rPr>
                <w:t>Item 2.</w:t>
              </w:r>
            </w:hyperlink>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27">
              <w:r>
                <w:rPr>
                  <w:rStyle w:val="InternetLink"/>
                  <w:rFonts w:ascii="Times New Roman;serif" w:hAnsi="Times New Roman;serif"/>
                  <w:b w:val="false"/>
                  <w:color w:val="0000FF"/>
                  <w:sz w:val="20"/>
                  <w:u w:val="single"/>
                </w:rPr>
                <w:t>Unregistered Sales of Equity Securities and Use of Proceeds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27">
              <w:r>
                <w:rPr>
                  <w:rStyle w:val="InternetLink"/>
                  <w:rFonts w:ascii="Times New Roman;serif" w:hAnsi="Times New Roman;serif"/>
                  <w:b w:val="false"/>
                  <w:color w:val="0000FF"/>
                  <w:sz w:val="20"/>
                  <w:u w:val="single"/>
                </w:rPr>
                <w:t>38</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30">
              <w:r>
                <w:rPr>
                  <w:rStyle w:val="InternetLink"/>
                  <w:rFonts w:ascii="Times New Roman;serif" w:hAnsi="Times New Roman;serif"/>
                  <w:b w:val="false"/>
                  <w:color w:val="0000FF"/>
                  <w:sz w:val="20"/>
                  <w:u w:val="single"/>
                </w:rPr>
                <w:t>Item 3.</w:t>
              </w:r>
            </w:hyperlink>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30">
              <w:r>
                <w:rPr>
                  <w:rStyle w:val="InternetLink"/>
                  <w:rFonts w:ascii="Times New Roman;serif" w:hAnsi="Times New Roman;serif"/>
                  <w:b w:val="false"/>
                  <w:color w:val="0000FF"/>
                  <w:sz w:val="20"/>
                  <w:u w:val="single"/>
                </w:rPr>
                <w:t>Defaults Upon Senior Securities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30">
              <w:r>
                <w:rPr>
                  <w:rStyle w:val="InternetLink"/>
                  <w:rFonts w:ascii="Times New Roman;serif" w:hAnsi="Times New Roman;serif"/>
                  <w:b w:val="false"/>
                  <w:color w:val="0000FF"/>
                  <w:sz w:val="20"/>
                  <w:u w:val="single"/>
                </w:rPr>
                <w:t>38</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33">
              <w:r>
                <w:rPr>
                  <w:rStyle w:val="InternetLink"/>
                  <w:rFonts w:ascii="Times New Roman;serif" w:hAnsi="Times New Roman;serif"/>
                  <w:b w:val="false"/>
                  <w:color w:val="0000FF"/>
                  <w:sz w:val="20"/>
                  <w:u w:val="single"/>
                </w:rPr>
                <w:t>Item 4.</w:t>
              </w:r>
            </w:hyperlink>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33">
              <w:r>
                <w:rPr>
                  <w:rStyle w:val="InternetLink"/>
                  <w:rFonts w:ascii="Times New Roman;serif" w:hAnsi="Times New Roman;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33">
              <w:r>
                <w:rPr>
                  <w:rStyle w:val="InternetLink"/>
                  <w:rFonts w:ascii="Times New Roman;serif" w:hAnsi="Times New Roman;serif"/>
                  <w:b w:val="false"/>
                  <w:color w:val="0000FF"/>
                  <w:sz w:val="20"/>
                  <w:u w:val="single"/>
                </w:rPr>
                <w:t>38</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93">
              <w:r>
                <w:rPr>
                  <w:rStyle w:val="InternetLink"/>
                  <w:rFonts w:ascii="Times New Roman;serif" w:hAnsi="Times New Roman;serif"/>
                  <w:b w:val="false"/>
                  <w:color w:val="0000FF"/>
                  <w:sz w:val="20"/>
                  <w:u w:val="single"/>
                </w:rPr>
                <w:t>Item 5.</w:t>
              </w:r>
            </w:hyperlink>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36">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36">
              <w:r>
                <w:rPr>
                  <w:rStyle w:val="InternetLink"/>
                  <w:rFonts w:ascii="Times New Roman;serif" w:hAnsi="Times New Roman;serif"/>
                  <w:b w:val="false"/>
                  <w:color w:val="0000FF"/>
                  <w:sz w:val="20"/>
                  <w:u w:val="single"/>
                </w:rPr>
                <w:t>39</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a3a8b838a744bf5a89f97b8eadc490b_142">
              <w:r>
                <w:rPr>
                  <w:rStyle w:val="InternetLink"/>
                  <w:rFonts w:ascii="Times New Roman;serif" w:hAnsi="Times New Roman;serif"/>
                  <w:b w:val="false"/>
                  <w:color w:val="0000FF"/>
                  <w:sz w:val="20"/>
                  <w:u w:val="single"/>
                </w:rPr>
                <w:t>Item 6.</w:t>
              </w:r>
            </w:hyperlink>
          </w:p>
        </w:tc>
        <w:tc>
          <w:tcPr>
            <w:tcW w:w="887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a3a8b838a744bf5a89f97b8eadc490b_142">
              <w:r>
                <w:rPr>
                  <w:rStyle w:val="InternetLink"/>
                  <w:rFonts w:ascii="Times New Roman;serif" w:hAnsi="Times New Roman;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42">
              <w:r>
                <w:rPr>
                  <w:rStyle w:val="InternetLink"/>
                  <w:rFonts w:ascii="Times New Roman;serif" w:hAnsi="Times New Roman;serif"/>
                  <w:b w:val="false"/>
                  <w:color w:val="0000FF"/>
                  <w:sz w:val="20"/>
                  <w:u w:val="single"/>
                </w:rPr>
                <w:t>40</w:t>
              </w:r>
            </w:hyperlink>
          </w:p>
        </w:tc>
      </w:tr>
      <w:tr>
        <w:trPr/>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a3a8b838a744bf5a89f97b8eadc490b_145">
              <w:r>
                <w:rPr>
                  <w:rStyle w:val="InternetLink"/>
                  <w:rFonts w:ascii="Times New Roman;serif" w:hAnsi="Times New Roman;serif"/>
                  <w:b w:val="false"/>
                  <w:color w:val="0000FF"/>
                  <w:sz w:val="20"/>
                  <w:u w:val="single"/>
                </w:rPr>
                <w:t>Signatures</w:t>
              </w:r>
            </w:hyperlink>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a3a8b838a744bf5a89f97b8eadc490b_145">
              <w:r>
                <w:rPr>
                  <w:rStyle w:val="InternetLink"/>
                  <w:rFonts w:ascii="Times New Roman;serif" w:hAnsi="Times New Roman;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val="false"/>
          <w:i/>
          <w:color w:val="000000"/>
          <w:sz w:val="20"/>
        </w:rPr>
      </w:pPr>
      <w:r>
        <w:rPr>
          <w:rFonts w:ascii="Times New Roman;serif" w:hAnsi="Times New Roman;serif"/>
          <w:b w:val="false"/>
          <w:i/>
          <w:color w:val="000000"/>
          <w:sz w:val="20"/>
        </w:rPr>
        <w:t>As used in this report, "Company," "Clover," "Clover Health," "we," "us," "our," "our company," and similar terms refer to Clover Health Investments, Corp. and its consolidated subsidiaries, unless otherwise noted or the context otherwise requires.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"opportunity," "plan," "potential," "seek," "aim,"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II, Item 1A, “Risk Factors” of this Quarterly Report on Form 10-Q.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Forward-looking statements contained in this Quarterly Report on Form 10-Q involve a number of judgments, risks and uncertainties, including, without limitation, risks related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expectations regarding results of operations, financial condition, and cash flows;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expectations regarding the development and management of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and increase adoption and use of Clover Assistant ("CA"), including the expansion of Clover Assistant technology for external payors and providers under the brand name Counterpart Assistant;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successfully enter new service markets and manage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anticipated trends and challenges in our business and in the markets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effectively manage our member base and provider network;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anticipated benefits associated with the use of Clover Assistant, including our ability to utilize the platform to manage our medical expenses and medical loss ratios;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or improve our Star Ratings or otherwise continue to improve the financial performance of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protect our sites, networks, and systems against security breaches, or otherwise to protect our confidential or health information or the confidential or health information of our members, providers, or other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develop new features and functionality that meet market needs and achieve market acceptance;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retain and hire necessary employees and staff our operations appropriately;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and amount of certain investments in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outcome of any known and unknown litigation and regulatory proceedings;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the price of our Class A common stock and our continued compliance with Nasdaq's listing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maintain, protect, and enhance our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economic conditions and uncertainty;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inflation and fluctuating interest rates;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geopolitical uncertainty and instability.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Quarterly Report on Form 10-Q or to conform these statements to actual results or revised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estimates, projections, and other information concerning our industry, our business and the markets for our products. We obtained the industry, market, and similar data set forth in this Quarterly Report on Form 10-Q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a result of a number of known and unknown risks and uncertainties, including without limitation, the important factors described in our reports filed with the SEC, including the discussion under "Risk Factors" in this Quarterly Report on Form 10-Q, our actual results or performance may be materially different from those expressed or implied by these forward-looking statements.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Channels for Disclosure of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CLOVER HEALTH INVESTMENTS, CORP.</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CONDENSED CONSOLIDATED BALANCE SHEETS</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share amounts)</w:t>
      </w:r>
    </w:p>
    <w:tbl>
      <w:tblPr>
        <w:tblW w:w="10205" w:type="dxa"/>
        <w:jc w:val="center"/>
        <w:tblInd w:w="0" w:type="dxa"/>
        <w:tblLayout w:type="fixed"/>
        <w:tblCellMar>
          <w:top w:w="28" w:type="dxa"/>
          <w:left w:w="28" w:type="dxa"/>
          <w:bottom w:w="28" w:type="dxa"/>
          <w:right w:w="28" w:type="dxa"/>
        </w:tblCellMar>
      </w:tblPr>
      <w:tblGrid>
        <w:gridCol w:w="2804"/>
        <w:gridCol w:w="2273"/>
        <w:gridCol w:w="2219"/>
        <w:gridCol w:w="218"/>
        <w:gridCol w:w="858"/>
        <w:gridCol w:w="113"/>
        <w:gridCol w:w="109"/>
        <w:gridCol w:w="109"/>
        <w:gridCol w:w="109"/>
        <w:gridCol w:w="246"/>
        <w:gridCol w:w="964"/>
        <w:gridCol w:w="183"/>
      </w:tblGrid>
      <w:tr>
        <w:trPr/>
        <w:tc>
          <w:tcPr>
            <w:tcW w:w="280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(Amortized cost: 2026: $39,950; 2025: $23,231)</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(Fair value: 2026: $2,021; 2025: $1,779)</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retrospective premiums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Healthcare receivables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485,446 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(Amortized cost: 2026: $190,771; 2025: $186,464)</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 (Fair value: 2026: $10,295; 2025: $12,495)</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541,011 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claims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208,823 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232,307 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2,500,000,000 shares authorized at June 30, 2026 and December 31, 2025; 433,432,644 and 426,669,369 issued and outstanding at June 30, 2026 and December 31, 2025, respectively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$0.0001 par value; 500,000,000 shares authorized at June 30, 2026 and December 31, 2025; 95,714,926 and 92,373,157 issued and outstanding at June 30, 2026 and December 31, 2025, respectively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2,706,640 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2,682,663 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(2,233,017)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(2,288,352)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Treasury stock, at cost; 35,782,658 and 33,412,273 shares held at June 30, 2026 and December 31, 2025, respectively</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308,704 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720,326 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541,011 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CLOVER HEALTH INVESTMENTS, CORP.</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CONDENSED CONSOLIDATED STATEMENTS OF OPERATIONS AND COMPREHENSIVE INCOME (LOSS)</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and share amounts)</w:t>
      </w:r>
    </w:p>
    <w:tbl>
      <w:tblPr>
        <w:tblW w:w="10205" w:type="dxa"/>
        <w:jc w:val="center"/>
        <w:tblInd w:w="0" w:type="dxa"/>
        <w:tblLayout w:type="fixed"/>
        <w:tblCellMar>
          <w:top w:w="28" w:type="dxa"/>
          <w:left w:w="28" w:type="dxa"/>
          <w:bottom w:w="28" w:type="dxa"/>
          <w:right w:w="28" w:type="dxa"/>
        </w:tblCellMar>
      </w:tblPr>
      <w:tblGrid>
        <w:gridCol w:w="1571"/>
        <w:gridCol w:w="1098"/>
        <w:gridCol w:w="1110"/>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41"/>
        <w:gridCol w:w="945"/>
        <w:gridCol w:w="109"/>
        <w:gridCol w:w="109"/>
        <w:gridCol w:w="155"/>
      </w:tblGrid>
      <w:tr>
        <w:trPr/>
        <w:tc>
          <w:tcPr>
            <w:tcW w:w="15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 of $91 and $96 for the three months ended June 30, 2026 and 2025 respectively, and $183 and $192 for the six months ended June 30, 2026 and 2025, respectively)</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class A and class B common shares and common share equivalents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524,186,885 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509,043,210 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523,861,227 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class A and class B common shares and common share equivalents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545,447,735 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509,043,210 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available-for-sale investments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STOCKHOLDERS' EQUITY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(Dollars in thousands, except share amounts) </w:t>
      </w:r>
    </w:p>
    <w:tbl>
      <w:tblPr>
        <w:tblW w:w="16320" w:type="dxa"/>
        <w:jc w:val="center"/>
        <w:tblInd w:w="0" w:type="dxa"/>
        <w:tblLayout w:type="fixed"/>
        <w:tblCellMar>
          <w:top w:w="28" w:type="dxa"/>
          <w:left w:w="28" w:type="dxa"/>
          <w:bottom w:w="28" w:type="dxa"/>
          <w:right w:w="28" w:type="dxa"/>
        </w:tblCellMar>
      </w:tblPr>
      <w:tblGrid>
        <w:gridCol w:w="715"/>
        <w:gridCol w:w="272"/>
        <w:gridCol w:w="274"/>
        <w:gridCol w:w="600"/>
        <w:gridCol w:w="601"/>
        <w:gridCol w:w="226"/>
        <w:gridCol w:w="109"/>
        <w:gridCol w:w="109"/>
        <w:gridCol w:w="109"/>
        <w:gridCol w:w="296"/>
        <w:gridCol w:w="376"/>
        <w:gridCol w:w="109"/>
        <w:gridCol w:w="109"/>
        <w:gridCol w:w="109"/>
        <w:gridCol w:w="109"/>
        <w:gridCol w:w="548"/>
        <w:gridCol w:w="548"/>
        <w:gridCol w:w="226"/>
        <w:gridCol w:w="109"/>
        <w:gridCol w:w="109"/>
        <w:gridCol w:w="109"/>
        <w:gridCol w:w="350"/>
        <w:gridCol w:w="322"/>
        <w:gridCol w:w="109"/>
        <w:gridCol w:w="109"/>
        <w:gridCol w:w="109"/>
        <w:gridCol w:w="109"/>
        <w:gridCol w:w="548"/>
        <w:gridCol w:w="548"/>
        <w:gridCol w:w="226"/>
        <w:gridCol w:w="109"/>
        <w:gridCol w:w="109"/>
        <w:gridCol w:w="109"/>
        <w:gridCol w:w="211"/>
        <w:gridCol w:w="736"/>
        <w:gridCol w:w="109"/>
        <w:gridCol w:w="109"/>
        <w:gridCol w:w="109"/>
        <w:gridCol w:w="109"/>
        <w:gridCol w:w="211"/>
        <w:gridCol w:w="991"/>
        <w:gridCol w:w="109"/>
        <w:gridCol w:w="109"/>
        <w:gridCol w:w="109"/>
        <w:gridCol w:w="109"/>
        <w:gridCol w:w="211"/>
        <w:gridCol w:w="991"/>
        <w:gridCol w:w="109"/>
        <w:gridCol w:w="109"/>
        <w:gridCol w:w="109"/>
        <w:gridCol w:w="109"/>
        <w:gridCol w:w="306"/>
        <w:gridCol w:w="916"/>
        <w:gridCol w:w="159"/>
        <w:gridCol w:w="109"/>
        <w:gridCol w:w="109"/>
        <w:gridCol w:w="109"/>
        <w:gridCol w:w="109"/>
        <w:gridCol w:w="109"/>
        <w:gridCol w:w="211"/>
        <w:gridCol w:w="841"/>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426,669,369</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92,373,157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33,412,273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2,682,663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(2,288,352)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308,704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for exercise of stock options, net of early exercise liability</w:t>
            </w:r>
          </w:p>
        </w:tc>
        <w:tc>
          <w:tcPr>
            <w:tcW w:w="12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4,427,824 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holdings loss on investment securities, available for sale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on equity awards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429,555,578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95,715,856</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34,977,670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2,695,144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(2,261,018)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339,426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for exercise of stock options, net of early exercise liability</w:t>
            </w:r>
          </w:p>
        </w:tc>
        <w:tc>
          <w:tcPr>
            <w:tcW w:w="12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938,635 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3,472,290 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holdings loss on investment securities, available for sale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from Class B common stock to Class A common stock</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on equity awards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433,432,644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95,714,926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35,782,658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2,706,640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(2,233,017)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376,257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6390" w:type="dxa"/>
        <w:jc w:val="center"/>
        <w:tblInd w:w="0" w:type="dxa"/>
        <w:tblLayout w:type="fixed"/>
        <w:tblCellMar>
          <w:top w:w="28" w:type="dxa"/>
          <w:left w:w="28" w:type="dxa"/>
          <w:bottom w:w="28" w:type="dxa"/>
          <w:right w:w="28" w:type="dxa"/>
        </w:tblCellMar>
      </w:tblPr>
      <w:tblGrid>
        <w:gridCol w:w="715"/>
        <w:gridCol w:w="272"/>
        <w:gridCol w:w="274"/>
        <w:gridCol w:w="600"/>
        <w:gridCol w:w="601"/>
        <w:gridCol w:w="226"/>
        <w:gridCol w:w="109"/>
        <w:gridCol w:w="109"/>
        <w:gridCol w:w="109"/>
        <w:gridCol w:w="296"/>
        <w:gridCol w:w="376"/>
        <w:gridCol w:w="109"/>
        <w:gridCol w:w="109"/>
        <w:gridCol w:w="109"/>
        <w:gridCol w:w="109"/>
        <w:gridCol w:w="548"/>
        <w:gridCol w:w="548"/>
        <w:gridCol w:w="226"/>
        <w:gridCol w:w="109"/>
        <w:gridCol w:w="109"/>
        <w:gridCol w:w="109"/>
        <w:gridCol w:w="350"/>
        <w:gridCol w:w="322"/>
        <w:gridCol w:w="109"/>
        <w:gridCol w:w="109"/>
        <w:gridCol w:w="109"/>
        <w:gridCol w:w="109"/>
        <w:gridCol w:w="548"/>
        <w:gridCol w:w="548"/>
        <w:gridCol w:w="226"/>
        <w:gridCol w:w="109"/>
        <w:gridCol w:w="109"/>
        <w:gridCol w:w="109"/>
        <w:gridCol w:w="211"/>
        <w:gridCol w:w="736"/>
        <w:gridCol w:w="109"/>
        <w:gridCol w:w="109"/>
        <w:gridCol w:w="109"/>
        <w:gridCol w:w="109"/>
        <w:gridCol w:w="211"/>
        <w:gridCol w:w="991"/>
        <w:gridCol w:w="109"/>
        <w:gridCol w:w="109"/>
        <w:gridCol w:w="109"/>
        <w:gridCol w:w="109"/>
        <w:gridCol w:w="211"/>
        <w:gridCol w:w="991"/>
        <w:gridCol w:w="109"/>
        <w:gridCol w:w="109"/>
        <w:gridCol w:w="109"/>
        <w:gridCol w:w="109"/>
        <w:gridCol w:w="306"/>
        <w:gridCol w:w="916"/>
        <w:gridCol w:w="159"/>
        <w:gridCol w:w="109"/>
        <w:gridCol w:w="109"/>
        <w:gridCol w:w="109"/>
        <w:gridCol w:w="109"/>
        <w:gridCol w:w="109"/>
        <w:gridCol w:w="223"/>
        <w:gridCol w:w="889"/>
        <w:gridCol w:w="164"/>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414,493,051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89,032,305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18,752,947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2,576,471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(2,202,803)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341,143</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for exercise of stock options, net of early exercise liability</w:t>
            </w:r>
          </w:p>
        </w:tc>
        <w:tc>
          <w:tcPr>
            <w:tcW w:w="12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139,709 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6,431,417 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holdings gain on investment securities, available for sale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on equity awards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(1,833,218)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1,833,218 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(5,069,423)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5,069,423 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414,161,536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92,375,003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25,655,588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2,603,123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(2,204,077)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336,075</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issuance for exercise of stock options, net of early exercise liability</w:t>
            </w:r>
          </w:p>
        </w:tc>
        <w:tc>
          <w:tcPr>
            <w:tcW w:w="12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97,249 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6,417,884 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holdings gain on investment securities, available for sale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on equity awards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(2,476,795)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2,476,795 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418,386,775</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92,375,003</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28,132,383</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2,630,021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(2,214,655)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344,179</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CLOVER HEALTH INVESTMENTS,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0205" w:type="dxa"/>
        <w:jc w:val="center"/>
        <w:tblInd w:w="0" w:type="dxa"/>
        <w:tblLayout w:type="fixed"/>
        <w:tblCellMar>
          <w:top w:w="28" w:type="dxa"/>
          <w:left w:w="28" w:type="dxa"/>
          <w:bottom w:w="28" w:type="dxa"/>
          <w:right w:w="28" w:type="dxa"/>
        </w:tblCellMar>
      </w:tblPr>
      <w:tblGrid>
        <w:gridCol w:w="2688"/>
        <w:gridCol w:w="2313"/>
        <w:gridCol w:w="2320"/>
        <w:gridCol w:w="211"/>
        <w:gridCol w:w="826"/>
        <w:gridCol w:w="109"/>
        <w:gridCol w:w="109"/>
        <w:gridCol w:w="109"/>
        <w:gridCol w:w="109"/>
        <w:gridCol w:w="211"/>
        <w:gridCol w:w="826"/>
        <w:gridCol w:w="109"/>
        <w:gridCol w:w="109"/>
        <w:gridCol w:w="156"/>
      </w:tblGrid>
      <w:tr>
        <w:trPr/>
        <w:tc>
          <w:tcPr>
            <w:tcW w:w="2688"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and amortization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net of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interest earned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retrospective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claims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 available-for-sale, and held-to-maturity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short-term investments and available-for-sale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 and available-for-sale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net of early exercise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 net of stock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shares withheld related to 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CLOVER HEALTH INVESTMENTS,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pStyle w:val="TextBody"/>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In 2024, the Company launched Counterpart Health, Inc., a new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see Note 1 included in the Company's Annual Report on Form 10-K for the year ended December 31, 2025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2025 Form 10-K.</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(including CMS's May 2025 announcement of its intention to significantly increase the volume of Risk Adjustment Data Validation ("RADV") audits),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Deferred acquisition costs</w:t>
      </w:r>
    </w:p>
    <w:p>
      <w:pPr>
        <w:pStyle w:val="TextBody"/>
        <w:bidi w:val="0"/>
        <w:spacing w:lineRule="auto" w:line="288" w:before="180" w:after="180"/>
        <w:jc w:val="both"/>
        <w:rPr/>
      </w:pPr>
      <w:r>
        <w:rPr>
          <w:rFonts w:ascii="Times New Roman;serif" w:hAnsi="Times New Roman;serif"/>
          <w:b w:val="false"/>
          <w:color w:val="000000"/>
          <w:sz w:val="20"/>
        </w:rPr>
        <w:t>Acquisition costs directly related to the successful acquisition of new business, which are primarily made up of commission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 expenses in the Condensed Consolidated Statements of Operations and Comprehensive Income (Loss). For the three months ended June 30, 2026 and</w:t>
      </w:r>
      <w:r>
        <w:rPr>
          <w:color w:val="000000"/>
        </w:rPr>
        <w:t xml:space="preserve"> </w:t>
      </w:r>
      <w:r>
        <w:rPr>
          <w:rFonts w:ascii="Times New Roman;serif" w:hAnsi="Times New Roman;serif"/>
          <w:b w:val="false"/>
          <w:color w:val="000000"/>
          <w:sz w:val="20"/>
        </w:rPr>
        <w:t>2025, charges related to deferred acquisition costs of $5.5 million and $4.3 million, respectively, were recognized within General and administrative expenses. For the six months ended June 30, 2026 and 2025, charges related to deferred acquisition costs of $10.3 million and $7.1 million, respectively, were recognized within General and administrative expenses.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adopted during the six months ended June 30, 2026 that had a material impact on the Company's condensed consolidated financial statements.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effective in future periods</w:t>
      </w:r>
    </w:p>
    <w:p>
      <w:pPr>
        <w:pStyle w:val="TextBody"/>
        <w:bidi w:val="0"/>
        <w:spacing w:lineRule="auto" w:line="288" w:before="18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w:t>
      </w:r>
      <w:r>
        <w:rPr>
          <w:rFonts w:ascii="Times New Roman;serif" w:hAnsi="Times New Roman;serif"/>
          <w:b w:val="false"/>
          <w:color w:val="000000"/>
          <w:sz w:val="20"/>
        </w:rPr>
        <w:t>The amendments in this update would require a public entity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pStyle w:val="TextBody"/>
        <w:bidi w:val="0"/>
        <w:spacing w:lineRule="auto" w:line="288" w:before="180" w:after="180"/>
        <w:jc w:val="both"/>
        <w:rPr/>
      </w:pPr>
      <w:r>
        <w:rPr>
          <w:rFonts w:ascii="Times New Roman;serif" w:hAnsi="Times New Roman;serif"/>
          <w:b w:val="false"/>
          <w:color w:val="000000"/>
          <w:sz w:val="20"/>
        </w:rPr>
        <w:t xml:space="preserve">In August 2025, the FASB issued 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The amendments in this update modernize the accounting for costs related to internal-use software to better align with current software development practices, such as agile methodologies. The update removes the previous stage-based model for capitalization. Instead, capitalization will begin when management authorizes and commits funding to a project, and it is probable the project will be completed for its intended function. The ASU is effective for annual periods beginning after December 15, 2027, with early adoption permitted. The Company is currently evaluating the impact of ASU 2025-06 on its consolidated financial statements and related disclosures.</w:t>
      </w:r>
    </w:p>
    <w:p>
      <w:pPr>
        <w:pStyle w:val="TextBody"/>
        <w:bidi w:val="0"/>
        <w:spacing w:lineRule="auto" w:line="288" w:before="18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 xml:space="preserve">Derivatives and Hedging (Topic 815) and Revenue from Contracts with Customers (Topic 606): Derivatives Scope Refinements and Clarification for Share-Based Noncash Consideration from a Customer in a Revenue Contract. </w:t>
      </w:r>
      <w:r>
        <w:rPr>
          <w:rFonts w:ascii="Times New Roman;serif" w:hAnsi="Times New Roman;serif"/>
          <w:b w:val="false"/>
          <w:color w:val="000000"/>
          <w:sz w:val="20"/>
        </w:rPr>
        <w:t>The amendments in this update expand the scope exception in Topic 815 to exclude certain non-exchange-traded contracts with underlying based on the operations or activities of one of the parties to the contract. Additionally, the update clarifies that share-based noncash consideration received from a customer is subject to the guidance in Topic 606 until the right to consideration is unconditional. The ASU is effective for annual periods beginning after December 15, 2026, with early adoption permitted. The Company is currently evaluating the impact of ASU 2025-07 on its consolidated financial statements and related disclosures.</w:t>
      </w:r>
    </w:p>
    <w:p>
      <w:pPr>
        <w:pStyle w:val="TextBody"/>
        <w:bidi w:val="0"/>
        <w:spacing w:lineRule="auto" w:line="288" w:before="0" w:after="0"/>
        <w:jc w:val="left"/>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xml:space="preserve">. The amendments in this update provide technical corrections, clarifications, and other minor improvements to a variety of topics in the Codification, including amendments to Topic 260, Earnings Per Share, related to the calculation of diluted earnings per share when an entity reports a loss from continuing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The ASU is effective for annual periods beginning after December 15, 2026, including interim periods within those fiscal years, with early adoption permitted. The Company is currently evaluating the impact of ASU 2025-12 on its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April 2026, the FASB issued ASU 2026-01, </w:t>
      </w:r>
      <w:r>
        <w:rPr>
          <w:rFonts w:ascii="Times New Roman;serif" w:hAnsi="Times New Roman;serif"/>
          <w:b w:val="false"/>
          <w:i/>
          <w:color w:val="000000"/>
          <w:sz w:val="20"/>
        </w:rPr>
        <w:t>Equity (Topic 505): Initial Measurement of Paid-in-Kind Dividends on Equity-Classified Preferred Stock</w:t>
      </w:r>
      <w:r>
        <w:rPr>
          <w:rFonts w:ascii="Times New Roman;serif" w:hAnsi="Times New Roman;serif"/>
          <w:b w:val="false"/>
          <w:color w:val="000000"/>
          <w:sz w:val="20"/>
        </w:rPr>
        <w:t>. The amendments in this update require entities to initially measure paid-in-kind ("PIK") dividends on equity-classified preferred stock using the PIK dividend rate stated in the preferred stock agreement, rather than at fair value. The ASU is effective for annual periods beginning after December 15, 2026, including interim periods within those fiscal years, with early adoption permitted. The Company is currently evaluating the impact of ASU 2026-01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3. Investment Securities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amortized cost and fair values of investments at June 30, 2026 and December 31, 2025, respectively:</w:t>
      </w:r>
    </w:p>
    <w:tbl>
      <w:tblPr>
        <w:tblW w:w="10205" w:type="dxa"/>
        <w:jc w:val="left"/>
        <w:tblInd w:w="0" w:type="dxa"/>
        <w:tblLayout w:type="fixed"/>
        <w:tblCellMar>
          <w:top w:w="28" w:type="dxa"/>
          <w:left w:w="28" w:type="dxa"/>
          <w:bottom w:w="28" w:type="dxa"/>
          <w:right w:w="28" w:type="dxa"/>
        </w:tblCellMar>
      </w:tblPr>
      <w:tblGrid>
        <w:gridCol w:w="1368"/>
        <w:gridCol w:w="946"/>
        <w:gridCol w:w="863"/>
        <w:gridCol w:w="109"/>
        <w:gridCol w:w="109"/>
        <w:gridCol w:w="109"/>
        <w:gridCol w:w="219"/>
        <w:gridCol w:w="860"/>
        <w:gridCol w:w="113"/>
        <w:gridCol w:w="109"/>
        <w:gridCol w:w="109"/>
        <w:gridCol w:w="109"/>
        <w:gridCol w:w="482"/>
        <w:gridCol w:w="928"/>
        <w:gridCol w:w="250"/>
        <w:gridCol w:w="109"/>
        <w:gridCol w:w="109"/>
        <w:gridCol w:w="109"/>
        <w:gridCol w:w="370"/>
        <w:gridCol w:w="1110"/>
        <w:gridCol w:w="193"/>
        <w:gridCol w:w="109"/>
        <w:gridCol w:w="109"/>
        <w:gridCol w:w="109"/>
        <w:gridCol w:w="211"/>
        <w:gridCol w:w="826"/>
        <w:gridCol w:w="158"/>
      </w:tblGrid>
      <w:tr>
        <w:trPr/>
        <w:tc>
          <w:tcPr>
            <w:tcW w:w="136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Accumulated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Accumulated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142,021 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140,895 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88,483 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88,059 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held-to-maturity and available-for-sale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243,247 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241,486 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91"/>
        <w:gridCol w:w="890"/>
        <w:gridCol w:w="894"/>
        <w:gridCol w:w="109"/>
        <w:gridCol w:w="109"/>
        <w:gridCol w:w="109"/>
        <w:gridCol w:w="219"/>
        <w:gridCol w:w="860"/>
        <w:gridCol w:w="113"/>
        <w:gridCol w:w="109"/>
        <w:gridCol w:w="109"/>
        <w:gridCol w:w="109"/>
        <w:gridCol w:w="445"/>
        <w:gridCol w:w="984"/>
        <w:gridCol w:w="231"/>
        <w:gridCol w:w="109"/>
        <w:gridCol w:w="109"/>
        <w:gridCol w:w="109"/>
        <w:gridCol w:w="439"/>
        <w:gridCol w:w="1005"/>
        <w:gridCol w:w="228"/>
        <w:gridCol w:w="109"/>
        <w:gridCol w:w="109"/>
        <w:gridCol w:w="109"/>
        <w:gridCol w:w="211"/>
        <w:gridCol w:w="826"/>
        <w:gridCol w:w="161"/>
      </w:tblGrid>
      <w:tr>
        <w:trPr/>
        <w:tc>
          <w:tcPr>
            <w:tcW w:w="139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Accumulated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Accumulated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3" w:type="dxa"/>
            <w:gridSpan w:val="21"/>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14,348 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14,274 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129,447 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80,495 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held-to-maturity and available-for-sale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224,043 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224,497 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and fair value of debt securities at June 30, 2026, by contractual maturity:</w:t>
      </w:r>
    </w:p>
    <w:tbl>
      <w:tblPr>
        <w:tblW w:w="9351" w:type="dxa"/>
        <w:jc w:val="left"/>
        <w:tblInd w:w="0" w:type="dxa"/>
        <w:tblLayout w:type="fixed"/>
        <w:tblCellMar>
          <w:top w:w="28" w:type="dxa"/>
          <w:left w:w="28" w:type="dxa"/>
          <w:bottom w:w="28" w:type="dxa"/>
          <w:right w:w="28" w:type="dxa"/>
        </w:tblCellMar>
      </w:tblPr>
      <w:tblGrid>
        <w:gridCol w:w="1131"/>
        <w:gridCol w:w="999"/>
        <w:gridCol w:w="1005"/>
        <w:gridCol w:w="109"/>
        <w:gridCol w:w="109"/>
        <w:gridCol w:w="109"/>
        <w:gridCol w:w="255"/>
        <w:gridCol w:w="873"/>
        <w:gridCol w:w="132"/>
        <w:gridCol w:w="109"/>
        <w:gridCol w:w="109"/>
        <w:gridCol w:w="109"/>
        <w:gridCol w:w="211"/>
        <w:gridCol w:w="721"/>
        <w:gridCol w:w="109"/>
        <w:gridCol w:w="109"/>
        <w:gridCol w:w="109"/>
        <w:gridCol w:w="109"/>
        <w:gridCol w:w="232"/>
        <w:gridCol w:w="908"/>
        <w:gridCol w:w="119"/>
        <w:gridCol w:w="109"/>
        <w:gridCol w:w="109"/>
        <w:gridCol w:w="109"/>
        <w:gridCol w:w="211"/>
        <w:gridCol w:w="826"/>
        <w:gridCol w:w="311"/>
      </w:tblGrid>
      <w:tr>
        <w:trPr/>
        <w:tc>
          <w:tcPr>
            <w:tcW w:w="113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Available-for-sale</w:t>
            </w:r>
          </w:p>
        </w:tc>
      </w:tr>
      <w:tr>
        <w:trPr/>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39,727 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189,443 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12,526 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230,721 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229,170 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respectively, net investment income, which is included in Other income in the Condensed Consolidated Statements of Operations and Comprehensive Income (Loss), was derived from the following sources:</w:t>
      </w:r>
    </w:p>
    <w:tbl>
      <w:tblPr>
        <w:tblW w:w="8595"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251"/>
        <w:gridCol w:w="735"/>
        <w:gridCol w:w="130"/>
        <w:gridCol w:w="130"/>
        <w:gridCol w:w="130"/>
        <w:gridCol w:w="130"/>
        <w:gridCol w:w="251"/>
        <w:gridCol w:w="735"/>
        <w:gridCol w:w="130"/>
        <w:gridCol w:w="109"/>
        <w:gridCol w:w="109"/>
        <w:gridCol w:w="109"/>
        <w:gridCol w:w="211"/>
        <w:gridCol w:w="616"/>
        <w:gridCol w:w="109"/>
        <w:gridCol w:w="109"/>
        <w:gridCol w:w="109"/>
        <w:gridCol w:w="109"/>
        <w:gridCol w:w="211"/>
        <w:gridCol w:w="616"/>
        <w:gridCol w:w="109"/>
        <w:gridCol w:w="109"/>
        <w:gridCol w:w="109"/>
        <w:gridCol w:w="109"/>
        <w:gridCol w:w="109"/>
        <w:gridCol w:w="109"/>
        <w:gridCol w:w="31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747" w:type="dxa"/>
            <w:gridSpan w:val="5"/>
            <w:tcBorders/>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747" w:type="dxa"/>
            <w:gridSpan w:val="5"/>
            <w:tcBorders/>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Gross unrealized losses and fair values aggregated by investment category and length of time that individual securities have been in a continuous unrealized loss position were as follows at June 30, 2026 and December 31, 2025, respectively:</w:t>
      </w:r>
    </w:p>
    <w:tbl>
      <w:tblPr>
        <w:tblW w:w="10205" w:type="dxa"/>
        <w:jc w:val="left"/>
        <w:tblInd w:w="0" w:type="dxa"/>
        <w:tblLayout w:type="fixed"/>
        <w:tblCellMar>
          <w:top w:w="28" w:type="dxa"/>
          <w:left w:w="28" w:type="dxa"/>
          <w:bottom w:w="28" w:type="dxa"/>
          <w:right w:w="28" w:type="dxa"/>
        </w:tblCellMar>
      </w:tblPr>
      <w:tblGrid>
        <w:gridCol w:w="680"/>
        <w:gridCol w:w="601"/>
        <w:gridCol w:w="544"/>
        <w:gridCol w:w="109"/>
        <w:gridCol w:w="109"/>
        <w:gridCol w:w="109"/>
        <w:gridCol w:w="211"/>
        <w:gridCol w:w="826"/>
        <w:gridCol w:w="109"/>
        <w:gridCol w:w="109"/>
        <w:gridCol w:w="109"/>
        <w:gridCol w:w="109"/>
        <w:gridCol w:w="221"/>
        <w:gridCol w:w="675"/>
        <w:gridCol w:w="114"/>
        <w:gridCol w:w="109"/>
        <w:gridCol w:w="109"/>
        <w:gridCol w:w="109"/>
        <w:gridCol w:w="211"/>
        <w:gridCol w:w="616"/>
        <w:gridCol w:w="109"/>
        <w:gridCol w:w="109"/>
        <w:gridCol w:w="109"/>
        <w:gridCol w:w="109"/>
        <w:gridCol w:w="261"/>
        <w:gridCol w:w="597"/>
        <w:gridCol w:w="135"/>
        <w:gridCol w:w="109"/>
        <w:gridCol w:w="109"/>
        <w:gridCol w:w="109"/>
        <w:gridCol w:w="211"/>
        <w:gridCol w:w="826"/>
        <w:gridCol w:w="109"/>
        <w:gridCol w:w="109"/>
        <w:gridCol w:w="109"/>
        <w:gridCol w:w="109"/>
        <w:gridCol w:w="214"/>
        <w:gridCol w:w="652"/>
        <w:gridCol w:w="321"/>
      </w:tblGrid>
      <w:tr>
        <w:trPr/>
        <w:tc>
          <w:tcPr>
            <w:tcW w:w="6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3" w:type="dxa"/>
            <w:gridSpan w:val="3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 thousands, except number of positions)</w:t>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 and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8"/>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8"/>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8"/>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2"/>
        <w:gridCol w:w="592"/>
        <w:gridCol w:w="594"/>
        <w:gridCol w:w="109"/>
        <w:gridCol w:w="109"/>
        <w:gridCol w:w="109"/>
        <w:gridCol w:w="211"/>
        <w:gridCol w:w="721"/>
        <w:gridCol w:w="109"/>
        <w:gridCol w:w="109"/>
        <w:gridCol w:w="109"/>
        <w:gridCol w:w="109"/>
        <w:gridCol w:w="306"/>
        <w:gridCol w:w="545"/>
        <w:gridCol w:w="159"/>
        <w:gridCol w:w="109"/>
        <w:gridCol w:w="109"/>
        <w:gridCol w:w="109"/>
        <w:gridCol w:w="211"/>
        <w:gridCol w:w="721"/>
        <w:gridCol w:w="109"/>
        <w:gridCol w:w="109"/>
        <w:gridCol w:w="109"/>
        <w:gridCol w:w="109"/>
        <w:gridCol w:w="266"/>
        <w:gridCol w:w="607"/>
        <w:gridCol w:w="138"/>
        <w:gridCol w:w="109"/>
        <w:gridCol w:w="109"/>
        <w:gridCol w:w="109"/>
        <w:gridCol w:w="211"/>
        <w:gridCol w:w="721"/>
        <w:gridCol w:w="109"/>
        <w:gridCol w:w="109"/>
        <w:gridCol w:w="109"/>
        <w:gridCol w:w="109"/>
        <w:gridCol w:w="222"/>
        <w:gridCol w:w="526"/>
        <w:gridCol w:w="333"/>
      </w:tblGrid>
      <w:tr>
        <w:trPr/>
        <w:tc>
          <w:tcPr>
            <w:tcW w:w="8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Greater than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Unrealized loss</w:t>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0" w:type="dxa"/>
            <w:gridSpan w:val="3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 thousands, except number of positions)</w:t>
            </w:r>
          </w:p>
        </w:tc>
      </w:tr>
      <w:tr>
        <w:trPr/>
        <w:tc>
          <w:tcPr>
            <w:tcW w:w="2018"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 and authorities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8"/>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8"/>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8"/>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credit allowances for debt securities that were in an unrealized loss position at June 30, 2026 and December 31, 2025.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June 30, 2026,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June 30, 2026, were assessed, based on,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relative magnitude to which fair values of these securities have been below their amortized cost was not indicative of an impairment loss;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absence of compelling evidence that would cause the Company to call into question the financial condition or near-term prospects of the issuer of the applicable security;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ability and intent to hold the applicable security for a period of time sufficient to allow for any anticipated recovery.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Proceeds from sales and maturities of investment securities, inclusive of short-term investments, and related gross realized gains (losses) which are included in Other income in the Condensed Consolidated Statements of Operations and Comprehensive Income (Loss), were as follows for the three and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1338"/>
        <w:gridCol w:w="1175"/>
        <w:gridCol w:w="1178"/>
        <w:gridCol w:w="109"/>
        <w:gridCol w:w="109"/>
        <w:gridCol w:w="109"/>
        <w:gridCol w:w="227"/>
        <w:gridCol w:w="776"/>
        <w:gridCol w:w="116"/>
        <w:gridCol w:w="116"/>
        <w:gridCol w:w="116"/>
        <w:gridCol w:w="116"/>
        <w:gridCol w:w="227"/>
        <w:gridCol w:w="776"/>
        <w:gridCol w:w="116"/>
        <w:gridCol w:w="109"/>
        <w:gridCol w:w="109"/>
        <w:gridCol w:w="109"/>
        <w:gridCol w:w="211"/>
        <w:gridCol w:w="721"/>
        <w:gridCol w:w="109"/>
        <w:gridCol w:w="109"/>
        <w:gridCol w:w="109"/>
        <w:gridCol w:w="109"/>
        <w:gridCol w:w="211"/>
        <w:gridCol w:w="721"/>
        <w:gridCol w:w="109"/>
        <w:gridCol w:w="109"/>
        <w:gridCol w:w="109"/>
        <w:gridCol w:w="109"/>
        <w:gridCol w:w="109"/>
        <w:gridCol w:w="109"/>
        <w:gridCol w:w="320"/>
      </w:tblGrid>
      <w:tr>
        <w:trPr/>
        <w:tc>
          <w:tcPr>
            <w:tcW w:w="133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865" w:type="dxa"/>
            <w:gridSpan w:val="6"/>
            <w:tcBorders/>
          </w:tcPr>
          <w:p>
            <w:pPr>
              <w:pStyle w:val="TableContents"/>
              <w:bidi w:val="0"/>
              <w:spacing w:before="0" w:after="283"/>
              <w:jc w:val="left"/>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62,830 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6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$14.9 million and $14.6 million, respectively, in deposits with various states and regulatory bodies that are included as part of the Company's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fair value measurements for financial instruments at June 30, 2026 and December 31, 2025, respectively:</w:t>
      </w:r>
    </w:p>
    <w:tbl>
      <w:tblPr>
        <w:tblW w:w="9388" w:type="dxa"/>
        <w:jc w:val="left"/>
        <w:tblInd w:w="0" w:type="dxa"/>
        <w:tblLayout w:type="fixed"/>
        <w:tblCellMar>
          <w:top w:w="28" w:type="dxa"/>
          <w:left w:w="28" w:type="dxa"/>
          <w:bottom w:w="28" w:type="dxa"/>
          <w:right w:w="28" w:type="dxa"/>
        </w:tblCellMar>
      </w:tblPr>
      <w:tblGrid>
        <w:gridCol w:w="1296"/>
        <w:gridCol w:w="1137"/>
        <w:gridCol w:w="1151"/>
        <w:gridCol w:w="109"/>
        <w:gridCol w:w="109"/>
        <w:gridCol w:w="109"/>
        <w:gridCol w:w="213"/>
        <w:gridCol w:w="411"/>
        <w:gridCol w:w="110"/>
        <w:gridCol w:w="109"/>
        <w:gridCol w:w="109"/>
        <w:gridCol w:w="109"/>
        <w:gridCol w:w="211"/>
        <w:gridCol w:w="826"/>
        <w:gridCol w:w="109"/>
        <w:gridCol w:w="109"/>
        <w:gridCol w:w="109"/>
        <w:gridCol w:w="109"/>
        <w:gridCol w:w="211"/>
        <w:gridCol w:w="721"/>
        <w:gridCol w:w="109"/>
        <w:gridCol w:w="109"/>
        <w:gridCol w:w="109"/>
        <w:gridCol w:w="109"/>
        <w:gridCol w:w="279"/>
        <w:gridCol w:w="1093"/>
        <w:gridCol w:w="203"/>
      </w:tblGrid>
      <w:tr>
        <w:trPr/>
        <w:tc>
          <w:tcPr>
            <w:tcW w:w="12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Fair Value</w:t>
            </w:r>
          </w:p>
        </w:tc>
      </w:tr>
      <w:tr>
        <w:trPr/>
        <w:tc>
          <w:tcPr>
            <w:tcW w:w="3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140,895 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88,059 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Private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241,396 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89" w:type="dxa"/>
        <w:jc w:val="left"/>
        <w:tblInd w:w="0" w:type="dxa"/>
        <w:tblLayout w:type="fixed"/>
        <w:tblCellMar>
          <w:top w:w="28" w:type="dxa"/>
          <w:left w:w="28" w:type="dxa"/>
          <w:bottom w:w="28" w:type="dxa"/>
          <w:right w:w="28" w:type="dxa"/>
        </w:tblCellMar>
      </w:tblPr>
      <w:tblGrid>
        <w:gridCol w:w="1297"/>
        <w:gridCol w:w="1142"/>
        <w:gridCol w:w="1146"/>
        <w:gridCol w:w="109"/>
        <w:gridCol w:w="109"/>
        <w:gridCol w:w="109"/>
        <w:gridCol w:w="213"/>
        <w:gridCol w:w="411"/>
        <w:gridCol w:w="110"/>
        <w:gridCol w:w="109"/>
        <w:gridCol w:w="109"/>
        <w:gridCol w:w="109"/>
        <w:gridCol w:w="211"/>
        <w:gridCol w:w="826"/>
        <w:gridCol w:w="109"/>
        <w:gridCol w:w="109"/>
        <w:gridCol w:w="109"/>
        <w:gridCol w:w="109"/>
        <w:gridCol w:w="211"/>
        <w:gridCol w:w="721"/>
        <w:gridCol w:w="109"/>
        <w:gridCol w:w="109"/>
        <w:gridCol w:w="109"/>
        <w:gridCol w:w="109"/>
        <w:gridCol w:w="279"/>
        <w:gridCol w:w="1093"/>
        <w:gridCol w:w="203"/>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Fair Value</w:t>
            </w:r>
          </w:p>
        </w:tc>
      </w:tr>
      <w:tr>
        <w:trPr/>
        <w:tc>
          <w:tcPr>
            <w:tcW w:w="3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129,447 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Private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222,449 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changes in balances of Clover's Level 3 financial assets and liabilities were as follows:</w:t>
      </w:r>
    </w:p>
    <w:tbl>
      <w:tblPr>
        <w:tblW w:w="6957" w:type="dxa"/>
        <w:jc w:val="left"/>
        <w:tblInd w:w="0" w:type="dxa"/>
        <w:tblLayout w:type="fixed"/>
        <w:tblCellMar>
          <w:top w:w="28" w:type="dxa"/>
          <w:left w:w="28" w:type="dxa"/>
          <w:bottom w:w="28" w:type="dxa"/>
          <w:right w:w="28" w:type="dxa"/>
        </w:tblCellMar>
      </w:tblPr>
      <w:tblGrid>
        <w:gridCol w:w="1819"/>
        <w:gridCol w:w="1599"/>
        <w:gridCol w:w="1606"/>
        <w:gridCol w:w="109"/>
        <w:gridCol w:w="109"/>
        <w:gridCol w:w="109"/>
        <w:gridCol w:w="228"/>
        <w:gridCol w:w="779"/>
        <w:gridCol w:w="118"/>
        <w:gridCol w:w="109"/>
        <w:gridCol w:w="109"/>
        <w:gridCol w:w="109"/>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Equity</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12,226 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for assets still held, included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owns equity securities in privately held companies. Their fair value is classified as Level 3 because the valuation relies primarily on unobservable inputs that require significant management judgment. While the valuation process utilizes inputs based on observable market transactions such as comparable company multiples or similar private placements, these must be significantly adjusted using unobservable assumptions to reflect the specific risks and characteristics of the non-marketable private investment. This reliance on subjective, unobservable inputs is the basis for the Level 3 classification and results in a higher degree of valuation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5. Healthcare Receivables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$73.1 million and $94.9 million within Healthcare receivables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Related Party Transactions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Related party agreements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 contract with Medical Records Exchange, LLC (formerly known as "ChartFast," now d/b/a Credo) pursuant to which the Company receives administrative services related to medical records retrieval via Credo's electronic applications and web portal platform. Vivek Garipalli, the Company's Executive Chairman and significant stockholder of the Company, is an indirect owner of Credo Health Solutions, Inc. Expenses and fees incurred related to this agreement were less than $0.1 million and $0.1 million for the three months ended June 30, 2026 and 2025, respectively, and $1.8 million and $0.3 million for the six months ended June 30, 2026 and 2025, respectively. Additionally, less than $0.1 million and zero were payable to Credo at June 30, 2026, and December 31, 2025, respectively.</w:t>
      </w:r>
    </w:p>
    <w:p>
      <w:pPr>
        <w:pStyle w:val="TextBody"/>
        <w:bidi w:val="0"/>
        <w:spacing w:lineRule="auto" w:line="288" w:before="180" w:after="180"/>
        <w:jc w:val="both"/>
        <w:rPr/>
      </w:pPr>
      <w:r>
        <w:rPr>
          <w:rFonts w:ascii="Times New Roman;serif" w:hAnsi="Times New Roman;serif"/>
          <w:b w:val="false"/>
          <w:color w:val="000000"/>
          <w:sz w:val="20"/>
        </w:rPr>
        <w:t>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$3.9 million at June 30, 2026, and December 31, 2025, and is recognized within Other assets, non-current, in the Condensed Consolidated Balance Sheets. In accordance with ASC 321,</w:t>
      </w:r>
      <w:r>
        <w:rPr>
          <w:color w:val="000000"/>
        </w:rPr>
        <w:t xml:space="preserve"> </w:t>
      </w:r>
      <w:r>
        <w:rPr>
          <w:rFonts w:ascii="Times New Roman;serif" w:hAnsi="Times New Roman;serif"/>
          <w:b w:val="false"/>
          <w:i/>
          <w:color w:val="000000"/>
          <w:sz w:val="20"/>
        </w:rPr>
        <w:t>Investments - Equity Securities,</w:t>
      </w:r>
      <w:r>
        <w:rPr>
          <w:color w:val="000000"/>
        </w:rPr>
        <w:t xml:space="preserve"> </w:t>
      </w:r>
      <w:r>
        <w:rPr>
          <w:rFonts w:ascii="Times New Roman;serif" w:hAnsi="Times New Roman;serif"/>
          <w:b w:val="false"/>
          <w:color w:val="000000"/>
          <w:sz w:val="20"/>
        </w:rPr>
        <w:t>any changes in fair value associated with these shares are recognized within Other income in the Condensed Consolidated Statements of Operations and Comprehensive Income (Loss). Mr. Garipalli is a member of the board of directors of Thyme Care and holds an equity interest of less than five percent (5%) of that entity. Expenses and fees incurred related to this agreement were $1.8 million and $1.5 million for the three months ended June 30, 2026 and 2025, respectively, and $5.8 million and $4.2 million for the six months ended June 30, 2026 and 2025, respectively. Additionally, $10.4 million and $6.6 million were payable to Thyme Care at June 30, 2026, and December 31, 2025, respectively.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Master Services Agreement in July 2025 with Guidehealth, LLC ("Guidehealth") for value-based care enablement and outsourced administrative services. These services primarily leverage technology and support teams to accelerate and enhance medication adherence rates and patient outcomes. Thomas Tran, a member of the Company's Board of Directors and Chair of the Company's Audit Committee, also serves as a director of Guidehealth and holds an ownership interest of less than 5% in Guidehealth. Pursuant to this agreement, the Company did not recognize any expense for the three and six months ended June 30, 2026 and $0.5 million was payable to Guidehealth at June 30, 2026. The Company has terminated its agreement with Guidehealth and does not expect to recognize additional expense. </w:t>
      </w:r>
    </w:p>
    <w:p>
      <w:pPr>
        <w:pStyle w:val="TextBody"/>
        <w:bidi w:val="0"/>
        <w:spacing w:lineRule="auto" w:line="268" w:before="0" w:after="0"/>
        <w:jc w:val="both"/>
        <w:rPr/>
      </w:pPr>
      <w:r>
        <w:rPr>
          <w:rFonts w:ascii="Times New Roman;serif" w:hAnsi="Times New Roman;serif"/>
          <w:b w:val="false"/>
          <w:color w:val="000000"/>
          <w:sz w:val="20"/>
        </w:rPr>
        <w:t xml:space="preserve">The Company holds a non-controlling equity investment in Character Biosciences ("CB"), which is accounted for under ASC 321,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at fair value. In accordance with ASC 321, the Company recognizes the fair value of its equity investment in CB within Other assets, non-current on its Condensed Consolidated Balance Sheets and recognizes any change in fair value within Other Income in its Condensed Consolidated Statements of Operations and Comprehensive Income (Loss). At June 30, 2026 and December 31, 2025, the fair value of this investment was $8.3 million. CB is considered a related party due to the Company's Executive Chairman and a significant stockholder of the Company, Vivek Garipalli, serves as a member of CB’s Board of Directors. There were no transactions between the Company and CB during the periods presented.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Company entered into a Master Services Agreement in May 2026 with GoldenScript, Inc. ("GoldenScript"), a value-based care management organization, for administrative and clinical management services designed to lower the cost of prescription drugs for members while maintaining or improving quality. GoldenScript is approximately 25% owned by Wormhole Capital, an investment entity affiliated with Vivek Garipalli, the Company's Executive Chairman and a significant stockholder of the Company. As a result, Mr. Garipalli holds an indirect ownership interest in GoldenScript. Expenses and fees incurred related to this agreement were $0.5 million</w:t>
      </w:r>
      <w:r>
        <w:rPr>
          <w:color w:val="000000"/>
        </w:rPr>
        <w:t xml:space="preserve"> </w:t>
      </w:r>
      <w:r>
        <w:rPr>
          <w:rFonts w:ascii="Times New Roman;serif" w:hAnsi="Times New Roman;serif"/>
          <w:b w:val="false"/>
          <w:color w:val="000000"/>
          <w:sz w:val="20"/>
        </w:rPr>
        <w:t>for the three and six months ended June 30, 2026. Additionally, $0.3 million was payable to GoldenScript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Unpaid Claims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Activity within the liability for Unpaid claims, including claims adjustment expenses, for the six months ended June 30, 2026 and 2025, respectively, is summarized as follows:</w:t>
      </w:r>
    </w:p>
    <w:tbl>
      <w:tblPr>
        <w:tblW w:w="6590"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211"/>
        <w:gridCol w:w="826"/>
        <w:gridCol w:w="109"/>
        <w:gridCol w:w="109"/>
        <w:gridCol w:w="109"/>
        <w:gridCol w:w="109"/>
        <w:gridCol w:w="211"/>
        <w:gridCol w:w="82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and net 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and net 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bottom w:val="doub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uses two methods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Unpaid Claims for Insurance Operations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Unpaid claims for Insurance operations were $250.9 million at June 30, 2026. During the six months ended June 30, 2026, $125.1 million was paid for incurred claims attributable to insured events of prior years. A favorable development of $6.4 million was recognized during the six months ended June 30, 2026, resulting from the Company's actual experience with claims developing differently as compared to the Company's estimates at December 31, 2025. A favorable development of $2.8 million was recognized during the six months ended June 30, 2025, resulting from the Company's actual experience with claims developing differently as compared to the Company's estimates at December 31, 2024. Original estimates are increased or decreased, as additional information becomes known regarding individual claims. The ratio of current year medical claims paid as a percentage of current year net medical claims incurred was 80.2% for the six months ended June 30, 2026, and 81.7% for the six months ended June 30, 2025. This ratio serves as an indicator of claims processing speed, indicating that claims were processed at a slower rate during the six months ended June 30, 2026, than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8. Variable Interest Entity and Equity Method of Accounting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4, 2022, CB, a former affiliate of the Company, completed a private capital transaction in which it raised $17.9 million from the issuance of 16,210,602 shares of its preferred stock. Upon completion of the transaction, the Company owned approximately 25.5% of CB. As a result, the Company reassessed its interest in CB and determined that while CB was a Variable Interest Entity ("VIE"), the Company was not considered the primary beneficiary of the VIE because it did not have the power, through voting or similar rights and the license agreements, to direct the activities of CB that most significantly impacted CB's economic performance. Since that initial financing, CB has completed a series of additional capital raises through the issuance of its shares, each of which has diluted the Company’s ownership. </w:t>
      </w:r>
    </w:p>
    <w:p>
      <w:pPr>
        <w:pStyle w:val="TextBody"/>
        <w:bidi w:val="0"/>
        <w:spacing w:lineRule="auto" w:line="288" w:before="180" w:after="180"/>
        <w:jc w:val="both"/>
        <w:rPr/>
      </w:pPr>
      <w:r>
        <w:rPr>
          <w:rFonts w:ascii="Times New Roman;serif" w:hAnsi="Times New Roman;serif"/>
          <w:b w:val="false"/>
          <w:color w:val="000000"/>
          <w:sz w:val="20"/>
        </w:rPr>
        <w:t>At September 30, 2025, it was concluded that the Company's ability to exert significant influence over CB no longer existed. This change in conclusion was influenced by the multiple rounds of funding dropping the Company's ownership below the 20% threshold and the lack of evidence to support continued significant influence. As a result, the Company transitioned its recognition of its equity investment in CB from the equity method of accounting under ASC 323</w:t>
      </w:r>
      <w:r>
        <w:rPr>
          <w:rFonts w:ascii="Times New Roman;serif" w:hAnsi="Times New Roman;serif"/>
          <w:b w:val="false"/>
          <w:i/>
          <w:color w:val="000000"/>
          <w:sz w:val="20"/>
        </w:rPr>
        <w:t>, Investments - Equity Method and Joint Ventures</w:t>
      </w:r>
      <w:r>
        <w:rPr>
          <w:rFonts w:ascii="Times New Roman;serif" w:hAnsi="Times New Roman;serif"/>
          <w:b w:val="false"/>
          <w:color w:val="000000"/>
          <w:sz w:val="20"/>
        </w:rPr>
        <w:t>, to fair value measurement under ASC 321,</w:t>
      </w:r>
      <w:r>
        <w:rPr>
          <w:color w:val="000000"/>
        </w:rPr>
        <w:t xml:space="preserve">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See Note 4 "Fair Value Measurements" for further information regarding the valuation techniques and inputs used to determine the fair value of Level 3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9. Employee Benefit Plans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 xml:space="preserve">Employee Savings Plan </w:t>
      </w:r>
    </w:p>
    <w:p>
      <w:pPr>
        <w:pStyle w:val="TextBody"/>
        <w:bidi w:val="0"/>
        <w:spacing w:lineRule="auto" w:line="288" w:before="180" w:after="180"/>
        <w:jc w:val="both"/>
        <w:rPr/>
      </w:pPr>
      <w:r>
        <w:rPr>
          <w:rFonts w:ascii="Times New Roman;serif" w:hAnsi="Times New Roman;serif"/>
          <w:b w:val="false"/>
          <w:color w:val="000000"/>
          <w:sz w:val="20"/>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of compensation that is contributed by the employee up to 4.0% of eligible annual compensation after one year of service. The Company's service contributions to the 401(k) Plan amounted to approximately $0.7 million and $0.5 million for the three months ended June 30, 2026 and 2025, respectively, and $1.2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$1.0 million for the six months ended June 30, 2026 and 2025, respectively, and are included in Salaries and benefits in the Condensed Consolidated Statements of Operations and Comprehensive Income (Loss). The Company's cash match is invested pursuant to the participant's contribution direction. Employer contributions are immediately 100.0% vested.</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maintains various equity incentive plans (the "Plans"), which are described in Note 14 to the consolidated financial statements in the Company's Annual Report on Form 10-K for the year ended December 31, 2025. During the period ended June 30, 2026, there were no material modifications to the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authorized, outstanding and remaining under the Plans at June 30, 2026 were as follows:</w:t>
      </w:r>
    </w:p>
    <w:tbl>
      <w:tblPr>
        <w:tblW w:w="10205" w:type="dxa"/>
        <w:jc w:val="left"/>
        <w:tblInd w:w="0" w:type="dxa"/>
        <w:tblLayout w:type="fixed"/>
        <w:tblCellMar>
          <w:top w:w="28" w:type="dxa"/>
          <w:left w:w="28" w:type="dxa"/>
          <w:bottom w:w="28" w:type="dxa"/>
          <w:right w:w="28" w:type="dxa"/>
        </w:tblCellMar>
      </w:tblPr>
      <w:tblGrid>
        <w:gridCol w:w="1164"/>
        <w:gridCol w:w="803"/>
        <w:gridCol w:w="771"/>
        <w:gridCol w:w="109"/>
        <w:gridCol w:w="109"/>
        <w:gridCol w:w="109"/>
        <w:gridCol w:w="875"/>
        <w:gridCol w:w="638"/>
        <w:gridCol w:w="640"/>
        <w:gridCol w:w="109"/>
        <w:gridCol w:w="109"/>
        <w:gridCol w:w="109"/>
        <w:gridCol w:w="825"/>
        <w:gridCol w:w="668"/>
        <w:gridCol w:w="669"/>
        <w:gridCol w:w="109"/>
        <w:gridCol w:w="109"/>
        <w:gridCol w:w="109"/>
        <w:gridCol w:w="788"/>
        <w:gridCol w:w="568"/>
        <w:gridCol w:w="815"/>
      </w:tblGrid>
      <w:tr>
        <w:trPr/>
        <w:tc>
          <w:tcPr>
            <w:tcW w:w="116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Authorized Under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Outstanding Under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Remaining Under Plans</w:t>
            </w:r>
          </w:p>
        </w:tc>
      </w:tr>
      <w:tr>
        <w:trPr/>
        <w:tc>
          <w:tcPr>
            <w:tcW w:w="2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2014 Equity Incentive Plan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54,402,262 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20,993,945 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Equity Incentive Plan ("2020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112,256,721 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35,011,171 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16,267,632 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Management Incentive Plan ("2020 MIP")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33,426,983 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Inducement Award Plan ("Inducement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11,000,000 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1,187,543 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1,321,485 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Compensation cost presented in Salaries and benefits in the Condensed Consolidated Statements of Operations and Comprehensive Income (Loss) were as follows:</w:t>
      </w:r>
    </w:p>
    <w:tbl>
      <w:tblPr>
        <w:tblW w:w="10205" w:type="dxa"/>
        <w:jc w:val="left"/>
        <w:tblInd w:w="0" w:type="dxa"/>
        <w:tblLayout w:type="fixed"/>
        <w:tblCellMar>
          <w:top w:w="28" w:type="dxa"/>
          <w:left w:w="28" w:type="dxa"/>
          <w:bottom w:w="28" w:type="dxa"/>
          <w:right w:w="28" w:type="dxa"/>
        </w:tblCellMar>
      </w:tblPr>
      <w:tblGrid>
        <w:gridCol w:w="1747"/>
        <w:gridCol w:w="1412"/>
        <w:gridCol w:w="1415"/>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5"/>
      </w:tblGrid>
      <w:tr>
        <w:trPr/>
        <w:tc>
          <w:tcPr>
            <w:tcW w:w="174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Restricted Stock Units ("PRSUs")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Employee Stock Purchase Plan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cost recognized for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there was approximately $76.8 million of unrecognized stock-based compensation expense related to unvested stock options, unvested RSUs, unvested PRSUs and the ESPP.</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grant stock options during the six months ended June 30, 2026 and 2025, respectively.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under the 2020 Plan during the six months ended June 30, 2026, was as follows:</w:t>
      </w:r>
    </w:p>
    <w:tbl>
      <w:tblPr>
        <w:tblW w:w="7901" w:type="dxa"/>
        <w:jc w:val="left"/>
        <w:tblInd w:w="0" w:type="dxa"/>
        <w:tblLayout w:type="fixed"/>
        <w:tblCellMar>
          <w:top w:w="28" w:type="dxa"/>
          <w:left w:w="28" w:type="dxa"/>
          <w:bottom w:w="28" w:type="dxa"/>
          <w:right w:w="28" w:type="dxa"/>
        </w:tblCellMar>
      </w:tblPr>
      <w:tblGrid>
        <w:gridCol w:w="907"/>
        <w:gridCol w:w="798"/>
        <w:gridCol w:w="800"/>
        <w:gridCol w:w="714"/>
        <w:gridCol w:w="714"/>
        <w:gridCol w:w="717"/>
        <w:gridCol w:w="109"/>
        <w:gridCol w:w="109"/>
        <w:gridCol w:w="109"/>
        <w:gridCol w:w="704"/>
        <w:gridCol w:w="1706"/>
        <w:gridCol w:w="51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January 1, 2026</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773,859 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1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773,859 </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bottom w:val="double" w:sz="4"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under the 2014 Plan during the six months ended June 30, 2026, was as follows:</w:t>
      </w:r>
    </w:p>
    <w:tbl>
      <w:tblPr>
        <w:tblW w:w="7901" w:type="dxa"/>
        <w:jc w:val="left"/>
        <w:tblInd w:w="0" w:type="dxa"/>
        <w:tblLayout w:type="fixed"/>
        <w:tblCellMar>
          <w:top w:w="28" w:type="dxa"/>
          <w:left w:w="28" w:type="dxa"/>
          <w:bottom w:w="28" w:type="dxa"/>
          <w:right w:w="28" w:type="dxa"/>
        </w:tblCellMar>
      </w:tblPr>
      <w:tblGrid>
        <w:gridCol w:w="907"/>
        <w:gridCol w:w="798"/>
        <w:gridCol w:w="800"/>
        <w:gridCol w:w="714"/>
        <w:gridCol w:w="714"/>
        <w:gridCol w:w="717"/>
        <w:gridCol w:w="109"/>
        <w:gridCol w:w="109"/>
        <w:gridCol w:w="109"/>
        <w:gridCol w:w="704"/>
        <w:gridCol w:w="1706"/>
        <w:gridCol w:w="51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January 1, 2026</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22,990,399 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(962,417)</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(1,034,037)</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1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20,993,945 </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bottom w:val="double" w:sz="4"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June 30, 2026, outstanding stock options, substantially all of which are expected to vest, had an aggregate intrinsic value of $52.6 million, and a weighted-average remaining contractual term of 3.00 years. At June 30, 2026, there were 21,767,804 options exercisable under the Plan, with an aggregate intrinsic value of $52.6 million, a weighted-average exercise price of $3.05 per share, and a weighted-average remaining contractual term of 3.00 years. The total value of stock options exercised during the six months ended June 30, 2026 and 2025 was $4.1 million and $0.9 million, respectively. Cash received from stock option exercises during the six months ended June 30, 2026 and 2025 totaled $1.7 million and $0.4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 summary of total RSU activity is presented below:</w:t>
      </w:r>
    </w:p>
    <w:tbl>
      <w:tblPr>
        <w:tblW w:w="9150" w:type="dxa"/>
        <w:jc w:val="left"/>
        <w:tblInd w:w="0" w:type="dxa"/>
        <w:tblLayout w:type="fixed"/>
        <w:tblCellMar>
          <w:top w:w="28" w:type="dxa"/>
          <w:left w:w="28" w:type="dxa"/>
          <w:bottom w:w="28" w:type="dxa"/>
          <w:right w:w="28" w:type="dxa"/>
        </w:tblCellMar>
      </w:tblPr>
      <w:tblGrid>
        <w:gridCol w:w="907"/>
        <w:gridCol w:w="798"/>
        <w:gridCol w:w="800"/>
        <w:gridCol w:w="109"/>
        <w:gridCol w:w="109"/>
        <w:gridCol w:w="109"/>
        <w:gridCol w:w="576"/>
        <w:gridCol w:w="579"/>
        <w:gridCol w:w="501"/>
        <w:gridCol w:w="109"/>
        <w:gridCol w:w="109"/>
        <w:gridCol w:w="109"/>
        <w:gridCol w:w="1044"/>
        <w:gridCol w:w="2529"/>
        <w:gridCol w:w="762"/>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42,953,954 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7,792,462 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(11,273,136)</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(4,240,770)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35,232,510 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Performance Restricted Stock Units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PRSU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pStyle w:val="TextBody"/>
        <w:bidi w:val="0"/>
        <w:spacing w:lineRule="auto" w:line="288" w:before="180" w:after="180"/>
        <w:jc w:val="both"/>
        <w:rPr/>
      </w:pPr>
      <w:r>
        <w:rPr>
          <w:rFonts w:ascii="Times New Roman;serif" w:hAnsi="Times New Roman;serif"/>
          <w:b w:val="false"/>
          <w:color w:val="000000"/>
          <w:sz w:val="20"/>
        </w:rPr>
        <w:t xml:space="preserve">At January 7, 2026, the end of the performance period, the market conditions associated with the Company's Market PRSUs were not achieved. Accordingly, the awards were forfeited and cancelled. Consistent with ASC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previously recognized compensation cost associated with these awards was not reversed and no additional compensation expense was recognized upon cancellation as the derived service period had been completed.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summary of PRSU activity is presented below:</w:t>
      </w:r>
    </w:p>
    <w:tbl>
      <w:tblPr>
        <w:tblW w:w="9115" w:type="dxa"/>
        <w:jc w:val="left"/>
        <w:tblInd w:w="0" w:type="dxa"/>
        <w:tblLayout w:type="fixed"/>
        <w:tblCellMar>
          <w:top w:w="28" w:type="dxa"/>
          <w:left w:w="28" w:type="dxa"/>
          <w:bottom w:w="28" w:type="dxa"/>
          <w:right w:w="28" w:type="dxa"/>
        </w:tblCellMar>
      </w:tblPr>
      <w:tblGrid>
        <w:gridCol w:w="880"/>
        <w:gridCol w:w="774"/>
        <w:gridCol w:w="776"/>
        <w:gridCol w:w="109"/>
        <w:gridCol w:w="109"/>
        <w:gridCol w:w="109"/>
        <w:gridCol w:w="576"/>
        <w:gridCol w:w="579"/>
        <w:gridCol w:w="541"/>
        <w:gridCol w:w="109"/>
        <w:gridCol w:w="109"/>
        <w:gridCol w:w="109"/>
        <w:gridCol w:w="1044"/>
        <w:gridCol w:w="2529"/>
        <w:gridCol w:w="762"/>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27,523,030 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 during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35"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(27,523,030)</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192,345 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6685"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there was $0.3 million unrecognized share-based compensation expense related to PRSUs.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2020 Employee Stock Purchase Plan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16,157,671 shares of Class A common stock were available for issuance under the ESPP.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assumptions that the Company used in the Black-Scholes option-pricing model to determine the fair value of the purchase rights under the ESPP for the most recent offering period, is as follows:</w:t>
      </w:r>
    </w:p>
    <w:tbl>
      <w:tblPr>
        <w:tblW w:w="6311" w:type="dxa"/>
        <w:jc w:val="left"/>
        <w:tblInd w:w="0" w:type="dxa"/>
        <w:tblLayout w:type="fixed"/>
        <w:tblCellMar>
          <w:top w:w="28" w:type="dxa"/>
          <w:left w:w="28" w:type="dxa"/>
          <w:bottom w:w="28" w:type="dxa"/>
          <w:right w:w="28" w:type="dxa"/>
        </w:tblCellMar>
      </w:tblPr>
      <w:tblGrid>
        <w:gridCol w:w="1813"/>
        <w:gridCol w:w="1593"/>
        <w:gridCol w:w="1603"/>
        <w:gridCol w:w="109"/>
        <w:gridCol w:w="109"/>
        <w:gridCol w:w="109"/>
        <w:gridCol w:w="274"/>
        <w:gridCol w:w="274"/>
        <w:gridCol w:w="427"/>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Offering period from May 22, 2026 to November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risk-free interest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years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consolidated effective tax rate of the Company for the three and six months ended June 30, 2026 and 2025, was 0.0% and 0.0%, respectively. Although the Company generated net income for the three and six months ended June 30, 2026, it continues to maintain significant net operating loss carryforwards and a net deferred tax asset position. As a result, and in accordance with accounting standards, the Company maintains a valuation allowance to reduce the value of the net deferred tax assets to zero. The Company believes that at June 30, 2026, it had no material uncertain tax positions. Interest and penalties related to unrecognized tax expense (benefits) are recognized in income tax expense, when applicable.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There were no material liabilities for interest and penalties accrued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11. Earnings (Loss) per Share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 attributable to Class A common stockholders and Class B common stockholders (collectively, "Common Stockholders") for the years indicated were calculated as follows:</w:t>
      </w:r>
    </w:p>
    <w:tbl>
      <w:tblPr>
        <w:tblW w:w="10205" w:type="dxa"/>
        <w:jc w:val="left"/>
        <w:tblInd w:w="0" w:type="dxa"/>
        <w:tblLayout w:type="fixed"/>
        <w:tblCellMar>
          <w:top w:w="28" w:type="dxa"/>
          <w:left w:w="28" w:type="dxa"/>
          <w:bottom w:w="28" w:type="dxa"/>
          <w:right w:w="28" w:type="dxa"/>
        </w:tblCellMar>
      </w:tblPr>
      <w:tblGrid>
        <w:gridCol w:w="1438"/>
        <w:gridCol w:w="1173"/>
        <w:gridCol w:w="1169"/>
        <w:gridCol w:w="268"/>
        <w:gridCol w:w="918"/>
        <w:gridCol w:w="109"/>
        <w:gridCol w:w="109"/>
        <w:gridCol w:w="109"/>
        <w:gridCol w:w="109"/>
        <w:gridCol w:w="264"/>
        <w:gridCol w:w="922"/>
        <w:gridCol w:w="109"/>
        <w:gridCol w:w="109"/>
        <w:gridCol w:w="109"/>
        <w:gridCol w:w="109"/>
        <w:gridCol w:w="268"/>
        <w:gridCol w:w="918"/>
        <w:gridCol w:w="109"/>
        <w:gridCol w:w="109"/>
        <w:gridCol w:w="109"/>
        <w:gridCol w:w="109"/>
        <w:gridCol w:w="264"/>
        <w:gridCol w:w="922"/>
        <w:gridCol w:w="109"/>
        <w:gridCol w:w="109"/>
        <w:gridCol w:w="155"/>
      </w:tblGrid>
      <w:tr>
        <w:trPr/>
        <w:tc>
          <w:tcPr>
            <w:tcW w:w="14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except for per share and share amounts)</w:t>
            </w:r>
          </w:p>
        </w:tc>
        <w:tc>
          <w:tcPr>
            <w:tcW w:w="264"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common shares and common share equivalents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524,186,885 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509,043,210 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523,861,227 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Dilutive shares: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PRSU</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class A and class B common shares and common share equivalents outstanding</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545,447,735 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509,043,210 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Potentially dilutive securities are excluded from the computation of diluted earnings (loss) per share if their effect would be anti-dilutive. For the three and six months ended June 30, 2026, certain potentially dilutive securities were excluded from the computation of diluted earnings per share because their inclusion would have been anti-dilutive. For the three and six months ended June 30, 2025, the Company incurred a net loss; therefore, all potentially dilutive securities, which include Options, RSUs, and PRSUs, were excluded from the computation of diluted loss per share as their effect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potentially dilutive shares that were excluded from the computation of diluted net earnings (loss) per share of common stock:</w:t>
      </w:r>
    </w:p>
    <w:tbl>
      <w:tblPr>
        <w:tblW w:w="10205" w:type="dxa"/>
        <w:jc w:val="left"/>
        <w:tblInd w:w="0" w:type="dxa"/>
        <w:tblLayout w:type="fixed"/>
        <w:tblCellMar>
          <w:top w:w="28" w:type="dxa"/>
          <w:left w:w="28" w:type="dxa"/>
          <w:bottom w:w="28" w:type="dxa"/>
          <w:right w:w="28" w:type="dxa"/>
        </w:tblCellMar>
      </w:tblPr>
      <w:tblGrid>
        <w:gridCol w:w="1335"/>
        <w:gridCol w:w="994"/>
        <w:gridCol w:w="998"/>
        <w:gridCol w:w="694"/>
        <w:gridCol w:w="387"/>
        <w:gridCol w:w="163"/>
        <w:gridCol w:w="163"/>
        <w:gridCol w:w="163"/>
        <w:gridCol w:w="163"/>
        <w:gridCol w:w="163"/>
        <w:gridCol w:w="540"/>
        <w:gridCol w:w="541"/>
        <w:gridCol w:w="176"/>
        <w:gridCol w:w="159"/>
        <w:gridCol w:w="159"/>
        <w:gridCol w:w="159"/>
        <w:gridCol w:w="667"/>
        <w:gridCol w:w="414"/>
        <w:gridCol w:w="159"/>
        <w:gridCol w:w="159"/>
        <w:gridCol w:w="159"/>
        <w:gridCol w:w="159"/>
        <w:gridCol w:w="540"/>
        <w:gridCol w:w="541"/>
        <w:gridCol w:w="176"/>
        <w:gridCol w:w="109"/>
        <w:gridCol w:w="165"/>
      </w:tblGrid>
      <w:tr>
        <w:trPr/>
        <w:tc>
          <w:tcPr>
            <w:tcW w:w="133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31" w:type="dxa"/>
            <w:gridSpan w:val="5"/>
            <w:tcBorders/>
          </w:tcPr>
          <w:p>
            <w:pPr>
              <w:pStyle w:val="TableContents"/>
              <w:bidi w:val="0"/>
              <w:spacing w:before="0" w:after="283"/>
              <w:jc w:val="left"/>
              <w:rPr>
                <w:sz w:val="4"/>
                <w:szCs w:val="4"/>
              </w:rPr>
            </w:pPr>
            <w:r>
              <w:rPr>
                <w:sz w:val="4"/>
                <w:szCs w:val="4"/>
              </w:rPr>
            </w:r>
          </w:p>
        </w:tc>
      </w:tr>
      <w:tr>
        <w:trPr/>
        <w:tc>
          <w:tcPr>
            <w:tcW w:w="3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5,901,641 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23,993,192 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5,901,641 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23,993,192 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5,962,028 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41,224,131 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7,434,329 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41,224,131 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28,799,293 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28,799,293 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shares excluded from computation of net earnings (loss) per share</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11,863,669 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94,016,616 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13,335,970 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2" w:space="0" w:color="FFFFFF"/>
              <w:bottom w:val="double" w:sz="4"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94,016,616 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Legal Actions</w:t>
      </w:r>
    </w:p>
    <w:p>
      <w:pPr>
        <w:pStyle w:val="TextBody"/>
        <w:bidi w:val="0"/>
        <w:spacing w:lineRule="auto" w:line="288" w:before="180" w:after="180"/>
        <w:jc w:val="both"/>
        <w:rPr/>
      </w:pPr>
      <w:r>
        <w:rPr>
          <w:rFonts w:ascii="Times New Roman;serif" w:hAnsi="Times New Roman;serif"/>
          <w:b w:val="false"/>
          <w:color w:val="000000"/>
          <w:sz w:val="20"/>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June 30, 2026, and December 31, 2025, respectively, there were no material known contingent liabilities arising outside the normal course of business other than as set forth below. In accordance with ASC No. 450-20, </w:t>
      </w:r>
      <w:r>
        <w:rPr>
          <w:rFonts w:ascii="Times New Roman;serif" w:hAnsi="Times New Roman;serif"/>
          <w:b w:val="false"/>
          <w:i/>
          <w:color w:val="000000"/>
          <w:sz w:val="20"/>
        </w:rPr>
        <w:t>Loss Contingencies</w:t>
      </w:r>
      <w:r>
        <w:rPr>
          <w:rFonts w:ascii="Times New Roman;serif" w:hAnsi="Times New Roman;serif"/>
          <w:b w:val="false"/>
          <w:color w:val="000000"/>
          <w:sz w:val="20"/>
        </w:rPr>
        <w:t>, we will record accruals for loss contingencies when it is probable that a liability has been incurred and the amount of loss can be reasonably estimated.</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Class Actions and Investigations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 </w:t>
      </w:r>
    </w:p>
    <w:p>
      <w:pPr>
        <w:pStyle w:val="TextBody"/>
        <w:bidi w:val="0"/>
        <w:spacing w:lineRule="auto" w:line="288" w:before="0" w:after="0"/>
        <w:jc w:val="both"/>
        <w:rPr/>
      </w:pPr>
      <w:r>
        <w:rPr>
          <w:rFonts w:ascii="Times New Roman;serif" w:hAnsi="Times New Roman;serif"/>
          <w:b w:val="false"/>
          <w:color w:val="000000"/>
          <w:sz w:val="20"/>
        </w:rPr>
        <w:t xml:space="preserve">On July 22, 2026, a putative class action complaint was filed against the Company in the United States District Court for the Middle District of Tennessee, captioned </w:t>
      </w:r>
      <w:r>
        <w:rPr>
          <w:rFonts w:ascii="Times New Roman;serif" w:hAnsi="Times New Roman;serif"/>
          <w:b w:val="false"/>
          <w:i/>
          <w:color w:val="000000"/>
          <w:sz w:val="20"/>
        </w:rPr>
        <w:t>Christian et al. v. Clover Health Investments, Corp.</w:t>
      </w:r>
      <w:r>
        <w:rPr>
          <w:rFonts w:ascii="Times New Roman;serif" w:hAnsi="Times New Roman;serif"/>
          <w:b w:val="false"/>
          <w:color w:val="000000"/>
          <w:sz w:val="20"/>
        </w:rPr>
        <w:t xml:space="preserve">, Case No. 3:26-cv-01035. On July 23, 2026, two additional putative class action complaints were filed in the same court, captioned </w:t>
      </w:r>
      <w:r>
        <w:rPr>
          <w:rFonts w:ascii="Times New Roman;serif" w:hAnsi="Times New Roman;serif"/>
          <w:b w:val="false"/>
          <w:i/>
          <w:color w:val="000000"/>
          <w:sz w:val="20"/>
        </w:rPr>
        <w:t>Holman v. Clover Health Investments, Corp.</w:t>
      </w:r>
      <w:r>
        <w:rPr>
          <w:rFonts w:ascii="Times New Roman;serif" w:hAnsi="Times New Roman;serif"/>
          <w:b w:val="false"/>
          <w:color w:val="000000"/>
          <w:sz w:val="20"/>
        </w:rPr>
        <w:t xml:space="preserve">, Case No. 3:26-cv-01047, and </w:t>
      </w:r>
      <w:r>
        <w:rPr>
          <w:rFonts w:ascii="Times New Roman;serif" w:hAnsi="Times New Roman;serif"/>
          <w:b w:val="false"/>
          <w:i/>
          <w:color w:val="000000"/>
          <w:sz w:val="20"/>
        </w:rPr>
        <w:t>Griffin v. Clover Health Investments, Corp.</w:t>
      </w:r>
      <w:r>
        <w:rPr>
          <w:rFonts w:ascii="Times New Roman;serif" w:hAnsi="Times New Roman;serif"/>
          <w:b w:val="false"/>
          <w:color w:val="000000"/>
          <w:sz w:val="20"/>
        </w:rPr>
        <w:t xml:space="preserve">, Case No. 3:26-cv-01049. On July 24, 2026, another putative class action complaint was filed in the same court, captioned </w:t>
      </w:r>
      <w:r>
        <w:rPr>
          <w:rFonts w:ascii="Times New Roman;serif" w:hAnsi="Times New Roman;serif"/>
          <w:b w:val="false"/>
          <w:i/>
          <w:color w:val="000000"/>
          <w:sz w:val="20"/>
        </w:rPr>
        <w:t>Karwoski v. Clover Health Investments, Corp.</w:t>
      </w:r>
      <w:r>
        <w:rPr>
          <w:rFonts w:ascii="Times New Roman;serif" w:hAnsi="Times New Roman;serif"/>
          <w:b w:val="false"/>
          <w:color w:val="000000"/>
          <w:sz w:val="20"/>
        </w:rPr>
        <w:t xml:space="preserve">, Case No. 3:26-cv-01054. The complaints arise from the cybersecurity incident disclosed by the Company on July 17, 2026, and generally assert claims relating to the alleged compromise of personally identifiable information and protected health information, including claims for negligence and other common law causes of action, on behalf of putative classes of individuals whose information was allegedly affected. The Company intends to vigorously defend these matters. At this early stage of the proceedings, the Company cannot reasonably estimate the possible loss or range of loss, if 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13. Operating Segments</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Clover Health has one reportable segment: Insurance. The Insurance segment provides PPO and HMO plans to Medicare Advantage members in several states. The segment information is prepared on the same basis that the Company's chief executive officer uses, who is the Chief Operating Decision Maker ("CODM"). These segment groupings are consistent with information used by the CODM, to assess performance and allocate resources. The CODM uses segment gross profit in competitive analysis by benchmarking to the Company’s competitors. The competitive analysis along with the monitoring of budgeted versus actual results are used in assessing performance of the segment and in establishing management’s compensation. The accounting policies of the Insurance segment are the same as those described in the summary of significant accounting policies. The CODM does not receive or review a measure of assets by segment; asset information reviewed by the CODM is limited to consolidated liquidity metrics, including total cash and investment balances; accordingly, segment assets are not disclosed.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10144" w:type="dxa"/>
        <w:jc w:val="left"/>
        <w:tblInd w:w="0" w:type="dxa"/>
        <w:tblLayout w:type="fixed"/>
        <w:tblCellMar>
          <w:top w:w="28" w:type="dxa"/>
          <w:left w:w="28" w:type="dxa"/>
          <w:bottom w:w="28" w:type="dxa"/>
          <w:right w:w="28" w:type="dxa"/>
        </w:tblCellMar>
      </w:tblPr>
      <w:tblGrid>
        <w:gridCol w:w="1391"/>
        <w:gridCol w:w="1222"/>
        <w:gridCol w:w="1226"/>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Insurance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profits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14. Dividend Restrictions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Accordingly, the Company’s regulated insurance subsidiaries’ ability to declare and pay dividends is limited by state regulations, including requirements to obtain prior approval from the New Jersey Department of Banking and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provides information that management believes is relevant to an assessment and understanding of our condensed consolidated results of operations and financial condition. The discussion should be read in conjunction with the unaudited condensed consolidated financial statements and notes thereto for the three and six months ended June 30, 2026, contained in this Quarterly Report on Form 10-Q (the "Form 10-Q") and the audited consolidated financial statements and notes thereto for the year ended December 31, 2025, contained in the Company's Annual Report on Form 10-K for the year ended December 31, 2025, filed with the Securities and Exchange Commission (the "SEC") on February 27, 2026 (the "2025 Form 10-K"). This discussion contains forward-looking statements and involves numerous risks and uncertainties, including, but not limited to, those described in the "Risk Factors" section of the 2025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June 30, 2026, we operated our MA plans in five states and 203 counties, with 157,309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summary highlights matters that management considers most significant to an understanding of our results for the three and six months ended June 30, 2026. It is not a complete description of, and should be read together with, the more detailed discussion that follows and our condensed consolidated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Total revenues increased 56% to $743.2 million for the three months ended June 30, 2026, and 59% to $1,492.4 million for the six months ended June 30, 2026, compared to the respective prior-year periods, driven primarily by growth in our Medicare Advantage membership and higher per-member premium. We reported income from operations of $28.0 million and $55.3 million for the three and six month periods, respectively, compared to losses in the prior-year periods.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results reflect continued membership growth alongside disciplined management of administrative spend. Adjusted SG&amp;A as a percentage of total revenues improved to 16% for the six months ended June 30, 2026, from 18% in the prior-year period, as revenue growth outpaced growth in our administrative cost base. Adjusted EBITDA increased to $81.2 million for the six months ended June 30, 2026, from $42.9 million in the prior-year period. We continued to maintain a strong liquidity position, with cash, cash equivalents, and investments of $443.0 million at June 30, 2026.</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Consolidated gross profit increased approximately 50% to $312.5 million for the six months ended June 30, 2026, broadly in line with our membership growth.</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described under "Recent Developments" below, developments during the quarter relating to our 2026 Star Ratings are expected to affect payment year 2027 rather than our current period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CMS Star Ratings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CMS’s MA Star Ratings system, CMS annually awards between 1.0 and 5.0 Stars to MA plans based on performance in several categories. CMS released the Company’s 2026 Star Ratings on October 9, 2025 and had awarded the Company's PPO (contract H5141) and HMO plans (contract H8010) with 3.5 Stars and 4.0 Stars, respectively.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June 9, 2026, CMS informed the Company that, consistent with a court judgment in Clover Insurance Co. V. HHS, Civ. A. No. 25-142 (S.D. Ga) (the "Stars Litigation"), CMS had recalculated the 2026 Star Rating for the Company's PPO MA contract, H5141, from 3.5 Stars to 4.5 Stars for payment year 2027.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17, 2026, CMS issued updated guidance informing all MA Organizations that it was voluntarily recalculating the 2027 Quality Bonus Payment ratings for certain MA contracts as a result of the decision in the Stars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CMS’s guidance stated that MA organizations can view their recalculated 2027 QBP ratings in the Health Plan Management System ("HPMS"). HPMS displays the Company's PPO MA contract, H5141, rated at 4.5 Stars for payment year 2027, and also displays that the 2026 Star Rating for the Company's HMO MA contract, H8010, increased from 4.0 Stars to 4.5 Stars, which also impacts payment year 2027.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21, 2026, CMS filed its Notice of Appeal of the district court's decision in the Stars Litigation with the United States Court of Appeals for the Eleventh Circuit.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Key Performance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manage our operations based on one reportable segment: Insurance. Through our Insurance segment, we provide PPO and HMO plans to Medicare Advantage members in several states.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segment grouping is consistent with the information used by our Chief Executive Officer (identified as our chief operating decision maker) ("CODM") to assess performance and allocate the Company's resources.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key financial measures for the periods indicated:</w:t>
      </w:r>
    </w:p>
    <w:tbl>
      <w:tblPr>
        <w:tblW w:w="12043"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196"/>
        <w:gridCol w:w="736"/>
        <w:gridCol w:w="256"/>
        <w:gridCol w:w="109"/>
        <w:gridCol w:w="109"/>
        <w:gridCol w:w="109"/>
        <w:gridCol w:w="196"/>
        <w:gridCol w:w="556"/>
        <w:gridCol w:w="109"/>
        <w:gridCol w:w="109"/>
        <w:gridCol w:w="109"/>
        <w:gridCol w:w="109"/>
        <w:gridCol w:w="196"/>
        <w:gridCol w:w="736"/>
        <w:gridCol w:w="256"/>
        <w:gridCol w:w="109"/>
        <w:gridCol w:w="109"/>
        <w:gridCol w:w="109"/>
        <w:gridCol w:w="196"/>
        <w:gridCol w:w="556"/>
        <w:gridCol w:w="109"/>
        <w:gridCol w:w="109"/>
        <w:gridCol w:w="109"/>
        <w:gridCol w:w="109"/>
        <w:gridCol w:w="196"/>
        <w:gridCol w:w="871"/>
        <w:gridCol w:w="256"/>
        <w:gridCol w:w="109"/>
        <w:gridCol w:w="109"/>
        <w:gridCol w:w="109"/>
        <w:gridCol w:w="196"/>
        <w:gridCol w:w="556"/>
        <w:gridCol w:w="109"/>
        <w:gridCol w:w="109"/>
        <w:gridCol w:w="109"/>
        <w:gridCol w:w="109"/>
        <w:gridCol w:w="196"/>
        <w:gridCol w:w="736"/>
        <w:gridCol w:w="256"/>
        <w:gridCol w:w="109"/>
        <w:gridCol w:w="109"/>
        <w:gridCol w:w="109"/>
        <w:gridCol w:w="196"/>
        <w:gridCol w:w="55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PMPM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PMPM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PMPM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PMPM </w:t>
            </w:r>
            <w:r>
              <w:rPr>
                <w:rFonts w:ascii="Times New Roman;serif" w:hAnsi="Times New Roman;serif"/>
                <w:b/>
                <w:color w:val="000000"/>
                <w:sz w:val="12"/>
              </w:rPr>
              <w:t>(1)</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 amounts in thousands, except PMPM amounts)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Consolidated: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743,167 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1,492,356 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1,179,813 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Medicare Advantage membership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earned,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469,826 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1,481,956 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926,732 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Net medical claims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1,225,423 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Benefits Expense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043" w:type="dxa"/>
            <w:gridSpan w:val="51"/>
            <w:tcBorders/>
            <w:tcMar>
              <w:top w:w="0" w:type="dxa"/>
              <w:left w:w="0" w:type="dxa"/>
              <w:bottom w:w="0" w:type="dxa"/>
              <w:right w:w="0" w:type="dxa"/>
            </w:tcMar>
            <w:vAlign w:val="center"/>
          </w:tcPr>
          <w:p>
            <w:pPr>
              <w:pStyle w:val="TableContents"/>
              <w:bidi w:val="0"/>
              <w:spacing w:lineRule="auto" w:line="240" w:before="4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Calculated per member per month ("PMPM") figures are based on the applicable amount divided by member months in the given period. Member months represents the number of months members are enrolled in a Clover Health plan in the period.</w:t>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Total revenues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Total revenues represents the sum of Premiums earned, net and Other income for a given period. Premiums earned, net reflects the earned portion of premiums under our Medicare Advantage contracts with CMS, net of premiums ceded to reinsurers and inclusive of risk adjustment revenue. Other income primarily consists of investment income and other ancillary revenues. We believe Total revenues is a useful measure of the overall scale and growth of our business, as it captures the aggregate economic inflows generated from our Insurance operations and related activities. Management uses Total revenues to evaluate period-over-period growth, assess the impact of membership levels and risk adjustment performance, analyze revenue trends relative to medical cost and operating expense trends, and support strategic planning and capital allocation decisions.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Membership and associated premiums earned and medical claim expenses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Premiums earned, net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Insurance net medical claims incurred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Non-GAAP Financial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use non-GAAP measures in this Form 10-Q, including Consolidated Gross profit, Adjusted SG&amp;A, Adjusted EBITDA, and Adjusted Net income from operations, and Insurance Benefits expense ratio ("BER").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consolidated financial statements prepared in accordance with GAAP.</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a description of these non-GAAP financial measures, including the reasons management uses such measures, and the reconciliations of these non-GAAP financial measures to the comparable GAAP measures, please see "Consolidated Gross profit", "Adjusted SG&amp;A", "Adjusted EBITDA", "Adjusted Net income", and "Benefits expense ratio" below.</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Consolidated Gross profit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Consolidated Gross profit represents net income (loss) before salaries and benefits, general and administrative expenses, depreciation and amortization, premium deficiency reserve expense, restructuring costs, impairment of goodwill and other intangible assets, interest expense, change in fair value of warrants, and loss on investment. We believe that Consolidated Gross profit provides management, investors, and others a useful view of consolidated business performance and is much more informative of operational results. Accordingly, we believe that Consolidated Gross profit provides investors and others useful information to understand and evaluate our operating results in the same manner as our management and our board of directors.</w:t>
      </w:r>
    </w:p>
    <w:tbl>
      <w:tblPr>
        <w:tblW w:w="8835" w:type="dxa"/>
        <w:jc w:val="left"/>
        <w:tblInd w:w="0" w:type="dxa"/>
        <w:tblLayout w:type="fixed"/>
        <w:tblCellMar>
          <w:top w:w="28" w:type="dxa"/>
          <w:left w:w="28" w:type="dxa"/>
          <w:bottom w:w="28" w:type="dxa"/>
          <w:right w:w="28" w:type="dxa"/>
        </w:tblCellMar>
      </w:tblPr>
      <w:tblGrid>
        <w:gridCol w:w="1179"/>
        <w:gridCol w:w="1033"/>
        <w:gridCol w:w="1043"/>
        <w:gridCol w:w="211"/>
        <w:gridCol w:w="826"/>
        <w:gridCol w:w="109"/>
        <w:gridCol w:w="109"/>
        <w:gridCol w:w="109"/>
        <w:gridCol w:w="109"/>
        <w:gridCol w:w="211"/>
        <w:gridCol w:w="796"/>
        <w:gridCol w:w="109"/>
        <w:gridCol w:w="109"/>
        <w:gridCol w:w="109"/>
        <w:gridCol w:w="109"/>
        <w:gridCol w:w="211"/>
        <w:gridCol w:w="826"/>
        <w:gridCol w:w="109"/>
        <w:gridCol w:w="109"/>
        <w:gridCol w:w="109"/>
        <w:gridCol w:w="109"/>
        <w:gridCol w:w="211"/>
        <w:gridCol w:w="82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0"/>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Adjusted SG&amp;A</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table below provides a reconciliation of Total SG&amp;A, a GAAP financial measure, to Adjusted SG&amp;A, a non-GAAP measure:</w:t>
      </w:r>
    </w:p>
    <w:tbl>
      <w:tblPr>
        <w:tblW w:w="10205" w:type="dxa"/>
        <w:jc w:val="left"/>
        <w:tblInd w:w="0" w:type="dxa"/>
        <w:tblLayout w:type="fixed"/>
        <w:tblCellMar>
          <w:top w:w="28" w:type="dxa"/>
          <w:left w:w="28" w:type="dxa"/>
          <w:bottom w:w="28" w:type="dxa"/>
          <w:right w:w="28" w:type="dxa"/>
        </w:tblCellMar>
      </w:tblPr>
      <w:tblGrid>
        <w:gridCol w:w="1437"/>
        <w:gridCol w:w="1205"/>
        <w:gridCol w:w="1154"/>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7"/>
      </w:tblGrid>
      <w:tr>
        <w:trPr/>
        <w:tc>
          <w:tcPr>
            <w:tcW w:w="143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(GAAP)</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939,951 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(non-GAAP) as a percentage of Total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defined by us as net income (loss) before depreciation and amortization, loss on investment, interest expense, change in fair value of warrants, stock-based compensation, premium deficiency reserve expense, restructuring (recoveries)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table below provides a reconciliation of Net income (loss), a GAAP financial measure, to Adjusted EBITDA, a non-GAAP financial measure:</w:t>
      </w:r>
    </w:p>
    <w:tbl>
      <w:tblPr>
        <w:tblW w:w="9135" w:type="dxa"/>
        <w:jc w:val="left"/>
        <w:tblInd w:w="0" w:type="dxa"/>
        <w:tblLayout w:type="fixed"/>
        <w:tblCellMar>
          <w:top w:w="28" w:type="dxa"/>
          <w:left w:w="28" w:type="dxa"/>
          <w:bottom w:w="28" w:type="dxa"/>
          <w:right w:w="28" w:type="dxa"/>
        </w:tblCellMar>
      </w:tblPr>
      <w:tblGrid>
        <w:gridCol w:w="1374"/>
        <w:gridCol w:w="1205"/>
        <w:gridCol w:w="1216"/>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Adjusted Net income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Adjusted Net income is a non-GAAP financial measure defined by us as net income (loss) before stock-based compensation, premium deficiency reserve benefit, restructuring costs, non-recurring legal expenses and settlement, and impairment of goodwill and other intangible assets. Adjusted Net income is a key measure used by our management team and the board of directors to understand and evaluate our operating performance and trends. We believe that Adjusted Net income is helpful to investors in assessing the Company’s financial performance in the same manner as our management and our board of directors.</w:t>
      </w:r>
    </w:p>
    <w:tbl>
      <w:tblPr>
        <w:tblW w:w="9135" w:type="dxa"/>
        <w:jc w:val="left"/>
        <w:tblInd w:w="0" w:type="dxa"/>
        <w:tblLayout w:type="fixed"/>
        <w:tblCellMar>
          <w:top w:w="28" w:type="dxa"/>
          <w:left w:w="28" w:type="dxa"/>
          <w:bottom w:w="28" w:type="dxa"/>
          <w:right w:w="28" w:type="dxa"/>
        </w:tblCellMar>
      </w:tblPr>
      <w:tblGrid>
        <w:gridCol w:w="1375"/>
        <w:gridCol w:w="1204"/>
        <w:gridCol w:w="1216"/>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79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legal expenses and 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Insurance Benefits Expense Ratio</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Insurance Benefits Expense Ratio ("BER") is a non-GAAP financial measure. We calculate our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for the current year. We believe our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 The Company has discontinued disclosure of Normalized Insurance Benefits Expense Ratio ("Normalized BER") beginning in the first quarter of 2026, as management no longer uses this metric to evaluate operating performance or allocate resources. The Company will continue to present Insurance Benefits Expense Ratio.</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tables below provide reconciliations of Insurance Net medical claims incurred, net and Premiums earned, net which are GAAP measures, to Insurance BER, which represents a non-GAAP measure.</w:t>
      </w:r>
    </w:p>
    <w:tbl>
      <w:tblPr>
        <w:tblW w:w="10205" w:type="dxa"/>
        <w:jc w:val="left"/>
        <w:tblInd w:w="0" w:type="dxa"/>
        <w:tblLayout w:type="fixed"/>
        <w:tblCellMar>
          <w:top w:w="28" w:type="dxa"/>
          <w:left w:w="28" w:type="dxa"/>
          <w:bottom w:w="28" w:type="dxa"/>
          <w:right w:w="28" w:type="dxa"/>
        </w:tblCellMar>
      </w:tblPr>
      <w:tblGrid>
        <w:gridCol w:w="1408"/>
        <w:gridCol w:w="1191"/>
        <w:gridCol w:w="1196"/>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8"/>
      </w:tblGrid>
      <w:tr>
        <w:trPr/>
        <w:tc>
          <w:tcPr>
            <w:tcW w:w="140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Net medical claims incurred, net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762,100 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Benefits Expense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809,003 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 net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Benefits Expense Ratio (non-GAAP)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results of operations for the three months ended June 30, 2026 and 2025. The period-to-period comparison of results is not necessarily indicative of results for future periods.</w:t>
      </w:r>
    </w:p>
    <w:tbl>
      <w:tblPr>
        <w:tblW w:w="10205" w:type="dxa"/>
        <w:jc w:val="left"/>
        <w:tblInd w:w="0" w:type="dxa"/>
        <w:tblLayout w:type="fixed"/>
        <w:tblCellMar>
          <w:top w:w="28" w:type="dxa"/>
          <w:left w:w="28" w:type="dxa"/>
          <w:bottom w:w="28" w:type="dxa"/>
          <w:right w:w="28" w:type="dxa"/>
        </w:tblCellMar>
      </w:tblPr>
      <w:tblGrid>
        <w:gridCol w:w="1836"/>
        <w:gridCol w:w="1402"/>
        <w:gridCol w:w="1411"/>
        <w:gridCol w:w="211"/>
        <w:gridCol w:w="826"/>
        <w:gridCol w:w="109"/>
        <w:gridCol w:w="109"/>
        <w:gridCol w:w="109"/>
        <w:gridCol w:w="109"/>
        <w:gridCol w:w="211"/>
        <w:gridCol w:w="826"/>
        <w:gridCol w:w="109"/>
        <w:gridCol w:w="109"/>
        <w:gridCol w:w="109"/>
        <w:gridCol w:w="109"/>
        <w:gridCol w:w="243"/>
        <w:gridCol w:w="951"/>
        <w:gridCol w:w="125"/>
        <w:gridCol w:w="125"/>
        <w:gridCol w:w="125"/>
        <w:gridCol w:w="125"/>
        <w:gridCol w:w="272"/>
        <w:gridCol w:w="275"/>
        <w:gridCol w:w="369"/>
      </w:tblGrid>
      <w:tr>
        <w:trPr/>
        <w:tc>
          <w:tcPr>
            <w:tcW w:w="183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Between 2026 and 2025</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75"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 of $91 and $96 for the three months ended June 30, 2026 and 2025,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265,547 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    Not presented because the current or prior period amount is zero or the amount for the line item changed from a gain to a loss (or vice versa) and thus yields a result that is not meaningful.</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Premiums earned, net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Premiums earned, net increased $267.9 million, or 57%, to $737.8 million for the three months ended June 30, 2026, compared to the three months ended June 30, 2025. The increase was primarily driven by growth in our average membership over the period, which increased approximately 49%, together with an approximately 6% increase in per-member premium. The higher per-member premium reflected higher CMS premium rates, including the effect of being paid on 4.0 Stars in the current payment year compared to 3.5 Stars in the prior period for our PPO plans, which cover the large majority of our members.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Other income decreased by $2.4 million, or 31%, to $5.4 million for the three months ended June 30, 2026, compared to the three months ended June 30, 2025. The decrease was primarily driven by the absence in 2026 of a non-recurring gain recognized in the prior-year period from the fair value remeasurement of an equity investment in a privately held company, and by lower investment income resulting from a lower interest rate environment, to which our returns are closely correlated given the short-duration nature of our investment portfolio.</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Net medical claims incurred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Net medical claims incurred increased $212.2 million, or 56%, to $590.2 million for the three months ended June 30, 2026, compared to the three months ended June 30, 2025. The increase was primarily driven by growth in our average membership during the period, which increased approximately 49%, together with higher per-member medical costs. On a per-member basis, net medical claims incurred increased approximately 5% to $1,254 from $1,194, driven by the current-year benefit design and general medical cost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Salaries and benefits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Salaries and benefits decreased by $7.2 million, or 12%, to $54.1 million for the three months ended June 30, 2026, compared to the three months ended June 30, 2025. The decrease was driven primarily by lower stock-based compensation expense, reflecting the completion in January 2026 of the requisite service period for certain founder equity awards granted in 2021, partially offset by higher cash compensation, including base salaries associated with increased headcount to support our membership growth.</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$21.8 million, or 45%, to $70.3 million for the three months ended June 30, 2026, compared to the three months ended June 30, 2025. The increase was primarily driven by higher administrative costs to support the growth in our membership, including higher professional fees, broker commissions, and other operating expenses.</w:t>
      </w:r>
    </w:p>
    <w:p>
      <w:pPr>
        <w:pStyle w:val="TextBody"/>
        <w:bidi w:val="0"/>
        <w:spacing w:before="0" w:after="0"/>
        <w:jc w:val="both"/>
        <w:rPr/>
      </w:pPr>
      <w:r>
        <w:rPr/>
      </w:r>
    </w:p>
    <w:p>
      <w:pPr>
        <w:pStyle w:val="TextBody"/>
        <w:bidi w:val="0"/>
        <w:spacing w:before="18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results of operations for the six months ended June 30, 2026 and 2025. The period-to-period comparison of results is not necessarily indicative of results for future periods.</w:t>
      </w:r>
    </w:p>
    <w:tbl>
      <w:tblPr>
        <w:tblW w:w="10205" w:type="dxa"/>
        <w:jc w:val="left"/>
        <w:tblInd w:w="0" w:type="dxa"/>
        <w:tblLayout w:type="fixed"/>
        <w:tblCellMar>
          <w:top w:w="28" w:type="dxa"/>
          <w:left w:w="28" w:type="dxa"/>
          <w:bottom w:w="28" w:type="dxa"/>
          <w:right w:w="28" w:type="dxa"/>
        </w:tblCellMar>
      </w:tblPr>
      <w:tblGrid>
        <w:gridCol w:w="1791"/>
        <w:gridCol w:w="1356"/>
        <w:gridCol w:w="1366"/>
        <w:gridCol w:w="211"/>
        <w:gridCol w:w="976"/>
        <w:gridCol w:w="109"/>
        <w:gridCol w:w="109"/>
        <w:gridCol w:w="109"/>
        <w:gridCol w:w="109"/>
        <w:gridCol w:w="211"/>
        <w:gridCol w:w="826"/>
        <w:gridCol w:w="109"/>
        <w:gridCol w:w="109"/>
        <w:gridCol w:w="109"/>
        <w:gridCol w:w="109"/>
        <w:gridCol w:w="241"/>
        <w:gridCol w:w="945"/>
        <w:gridCol w:w="124"/>
        <w:gridCol w:w="124"/>
        <w:gridCol w:w="124"/>
        <w:gridCol w:w="124"/>
        <w:gridCol w:w="272"/>
        <w:gridCol w:w="274"/>
        <w:gridCol w:w="368"/>
      </w:tblGrid>
      <w:tr>
        <w:trPr/>
        <w:tc>
          <w:tcPr>
            <w:tcW w:w="179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 Between 2026 and 2025</w:t>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7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Premiums earned, net (Net of ceded premiums of $183 and $192 for the six months ended June 30, 2026 and 2025,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medical claims incurred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1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4"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rFonts w:ascii="Times New Roman;serif" w:hAnsi="Times New Roman;serif"/>
          <w:b w:val="false"/>
          <w:color w:val="000000"/>
          <w:sz w:val="18"/>
        </w:rPr>
      </w:pPr>
      <w:r>
        <w:rPr>
          <w:rFonts w:ascii="Times New Roman;serif" w:hAnsi="Times New Roman;serif"/>
          <w:b w:val="false"/>
          <w:color w:val="000000"/>
          <w:sz w:val="18"/>
        </w:rPr>
        <w:t>*    Not presented because the current or prior period amount is zero or the amount for the line item changed from a gain to a loss (or vice versa) and thus yields a result that is not meaningful.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Premiums earned,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Premiums earned, net increased $555.2 million, or 60%, to $1,482.0 million for the six months ended June 30, 2026, compared to the six months ended June 30, 2025. The increase was primarily driven by growth in our average membership over the period, which increased approximately 50%, together with an approximately 7% increase in per-member premium. The higher per-member premium reflected higher CMS premium rates, including the effect of being paid on 4.0 Stars in the current payment year compared to 3.5 Stars in the prior period for our PPO plans, which cover the large majority of our members.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decreased by $2.8 million, or 21%, to $10.4 million for the six months ended June 30, 2026, compared to the six months ended June 30, 2025. The decrease was primarily driven by the absence in 2026 of a non-recurring gain recognized in the prior-year period from the fair value remeasurement of an equity investment in a privately held company, and by lower investment income resulting from a lower interest rate environment, to which our returns are closely correlated given the short-duration nature of our investment portfolio.</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medical claims incurred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medical claims incurred increased $448.4 million, or 61%, to $1,179.8 million for the six months ended June 30, 2026, compared to the six months ended June 30, 2025. The increase was primarily driven by growth in our average members during the period, which increased approximately 50%, together with higher per-member medical costs. On a per-member basis, net medical claims incurred increased approximately 7% to $1,263 from $1,175, driven by the current-year benefit design and general medical cost trends.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Salaries and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Salaries and benefits decreased by $9.1 million, or 8%, to $111.2 million for the six months ended June 30, 2026, compared to the six months ended June 30, 2025. This decrease was primarily driven by lower stock-based compensation expense, reflecting the completion in January 2026 of the requisite service period for certain founder equity awards granted in 2021, partially offset by higher cash compensation, including base salaries associated with increased headcount to support our membership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$45.8 million, or 46%, to $144.9 million for the six months ended June 30, 2026, compared to the six months ended June 30, 2025. The increase was primarily driven by higher administrative costs to support the growth in our membership, including higher professional fees, broker commissions, and other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primarily from the proceeds we received through premiums earned under our MA plans. We expect that our cash, cash equivalents,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Consolidated Entities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cash equivalents and investment securities consist primarily of money market funds, U.S. government debt securities, and corporate debt securities. At June 30, 2026 and December 31, 2025, total cash, cash equivalents, and investments were $443.0 million and $319.9 million, respectively. These totals consist of $241.7 million and $224.6 million at June 30, 2026 and December 31, 2025, respectively, that specifically relate to available-for-sale and held-to-maturity investment securities.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Unregulated Entities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total cash, cash equivalents, and investments for the parent company, Clover Health Investments, Corp., and unregulated subsidiaries were $128.5 million and $122.0 million, respectively.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Regulated Entities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total cash, cash equivalents, and investments for our regulated subsidiaries were $314.5 million and $197.9 million, respectively. Additionally, our regulated insurance subsidiaries held $177.4 million and $178.1 million of available-for-sale and held-to-maturity investment securities at June 30, 2026 and December 31, 2025, respectively. Our use of operating cash derived from our unregulated subsidiaries is generally not restricted by departments of insurance (or comparable state regulatory agencies). Our regulated insurance subsidiaries are subject to regulations and standards in their respective jurisdictions on their ability to declare and pay dividends to the parent. As of June 30, 2026, there have been no dividends paid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a detailed discussion of our regulatory requirements, including aggregate statutory capital and surplus as well as dividends paid from the subsidiaries to the parent, please refer to Notes 20 "Dividend Restrictions", 21 "Statutory Equity", and 22 "Regulatory Matters" in the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condensed consolidated cash flows for the six months ended June 30, 2026 and 2025. </w:t>
      </w:r>
    </w:p>
    <w:tbl>
      <w:tblPr>
        <w:tblW w:w="7176" w:type="dxa"/>
        <w:jc w:val="left"/>
        <w:tblInd w:w="0" w:type="dxa"/>
        <w:tblLayout w:type="fixed"/>
        <w:tblCellMar>
          <w:top w:w="28" w:type="dxa"/>
          <w:left w:w="28" w:type="dxa"/>
          <w:bottom w:w="28" w:type="dxa"/>
          <w:right w:w="28" w:type="dxa"/>
        </w:tblCellMar>
      </w:tblPr>
      <w:tblGrid>
        <w:gridCol w:w="1526"/>
        <w:gridCol w:w="1342"/>
        <w:gridCol w:w="1347"/>
        <w:gridCol w:w="109"/>
        <w:gridCol w:w="109"/>
        <w:gridCol w:w="109"/>
        <w:gridCol w:w="211"/>
        <w:gridCol w:w="826"/>
        <w:gridCol w:w="109"/>
        <w:gridCol w:w="109"/>
        <w:gridCol w:w="109"/>
        <w:gridCol w:w="109"/>
        <w:gridCol w:w="211"/>
        <w:gridCol w:w="79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short-term investments, and our current projections of cash flows from operations.</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flows is capitated payments from CMS. Our primary uses of cash from operating activities are payments for medical benefits and payments of operating expenses.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operating activities was $133.1 million, which reflects Net income of $55.3 million. The changes in operating assets and liabilities were largely attributable to a $97.6 million increase in Unpaid claims. Non-cash activities primarily included a $21.4 million charge to Stock-based compensation.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Net cash used in operating activities was $10.9 million, which reflects a Net loss of $11.9 million. Non-cash activities primarily included a $52.6 million charge to Stock-based compensation expense.</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of $5.1 million was primarily due to $68.1 million used to purchase investments. This was largely attributable to $64.5 million provided from the sales and maturities of investment securities.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2025 of $44.5 million was primarily due to $105.1 million provided from the sales and maturities of investment securities. This was partially offset by $59.9 million used to purchase investments.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investing activities, please refer to Note 3 "Investment Securities" to our condensed consolidated financial statements included in this Form 10-Q.</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2026 of $7.4 million was primarily the result of cash paid for shares withheld related to stock-based compensation totaling $9.7 million.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of $39.5 million was primarily the result of cash paid for shares withheld related to stock-based compensation totaling $22.1 million in addition to repurchases of our Class A common stock totaling $18.3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Financing Arrangements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financing arrangements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Material cash requirements from known contractual obligations and commitments at June 30, 2026 include operating lease obligations of $3.6 million. These commitments are associated with contracts that were enforceable and legally binding at June 30, 2026, and that specified all significant terms, including fixed or minimum services to be used, fixed, minimum, or variable price provisions, and the approximate timing of the actions under the contracts. There were no other material cash requirements from known contractual obligations and commitments at June 30, 2026. For additional information regarding our remaining estimated contractual obligations and commitments, see Note 12 "Commitments and Contingencies" in the accompanying notes to the condensed consolidated financial statements included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believe that the accounting policies and estimates involve a significant degree of judgment and complexity. There have been no significant changes in our critical accounting policies and estimates during the three months ended June 30, 2026, as compared to the critical accounting policies and estimates disclosed in the section titled "Management's Discussion and Analysis of Financial Condition and Results of Operations" included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Recently Issued and Adopted Accounting Pronouncements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in the accompanying notes to the consolidated financial statements included in this Form 10-Q for a discussion of accounting pronouncements recently adopted and recently issued accounting pronouncements not yet adopted and their potential impact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are also exposed to credit risk on our investment portfolio. We manage the exposure to credit risk in our portfolio by investing in high quality securities and diversifying our holdings.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monitor our investment portfolio to ensure that credit risk does not exceed prudent levels. Our investment policy is focused on preservation of capital, liquidity, and earning a modest yield. Our fixed-maturity portfolio is invested primarily in U.S. government and government agency securities and investment-grade corporate debt securities. At June 30, 2026, all of our fixed-maturity securities were rated investment grade, and none were unrated or rated below investment 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June 30, 2026, pursuant to Rule 13a-15(b) under the Securities Exchange Act of 1934, as amended (the "Exchange Act"). Based upon that evaluation, our Certifying Officers concluded that, at June 30, 2026, our disclosure controls and procedures were effective.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180"/>
        <w:jc w:val="both"/>
        <w:rPr/>
      </w:pPr>
      <w:r>
        <w:rPr>
          <w:rFonts w:ascii="Times New Roman;serif" w:hAnsi="Times New Roman;serif"/>
          <w:b w:val="false"/>
          <w:color w:val="231F20"/>
          <w:sz w:val="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serif" w:hAnsi="Times New Roman;serif"/>
          <w:b w:val="false"/>
          <w:color w:val="000000"/>
          <w:sz w:val="20"/>
        </w:rPr>
        <w:t>results</w:t>
      </w:r>
      <w:r>
        <w:rPr>
          <w:color w:val="231F20"/>
        </w:rPr>
        <w:t xml:space="preserve"> </w:t>
      </w:r>
      <w:r>
        <w:rPr>
          <w:rFonts w:ascii="Times New Roman;serif" w:hAnsi="Times New Roman;serif"/>
          <w:b w:val="false"/>
          <w:color w:val="231F20"/>
          <w:sz w:val="20"/>
        </w:rPr>
        <w:t>of operation.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Information concerning legal proceedings can be found in Note 12 "Commitments and Contingencies" in the accompanying notes to condensed consolidated financial statements included in Part I, Item 1 of this Form 10-Q, which information is incorporated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Except as set forth below or as subsequently disclosed in our periodic reports, there have been no material changes in our risk factors from those disclosed in Part I, Item 1A of the 2025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2025 Form 10-K, as updated by the risk factor set forth below, as well as the factors identified under "Cautionary Note Regarding Forward-Looking Statements" at the beginning of Part I, Item 1 of this Form 10-Q and as may be updated in subsequent filings with the SEC.</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Our failure to protect our sites, networks, and systems against security breaches, or otherwise to protect our confidential or health information or the confidential or health information of our members, providers, or other third parties, could damage our reputation and brands, and substantially harm our business and results of operations.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Breaches of our security measures or those of our third-party service providers or other cybersecurity incidents could result in unauthorized access to our sites, networks, systems and accounts; unauthorized access to, and misappropriation of, individuals' personally identifiable information (“PII”), protected health information (“PHI”) or other confidential or proprietary information of ourselves, our members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Healthcare organizations are frequent targets of increasingly sophisticated cyberattacks, including phishing, social engineering, ransomware, credential compromise and other attempts to gain unauthorized access to systems and sensitive information. Such attacks are increasing in their frequency, levels of persistence, sophistication and intensity, and they are being conducted by increasingly sophisticated and organized groups and individuals with a wide range of motives and expertise, including through the use of artificial intelligence and other technologies (including generative AI models). Threat actors are using these technologies to create sophisticated new attack methods that are increasingly automated, targeted, coordinated and difficult to defend against. This may increase the effectiveness of social engineering and other attacks and make detection more difficult. Such attacks may remain undetected for an extended period of time.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these breaches of security should occur, whether involving our systems or those of our vendors, business partners or other third parties, we cannot guarantee that recovery protocols and backup systems will be sufficient to prevent data loss or the interruption, disruption or malfunction of our operations, including with respect to telehealth services. As a result, we could face regulatory investigations or enforcement actions, litigation, indemnification obligations, contractual disputes, and other liabilities. We could also incur costs relating to breach remediation, deployment of additional personnel and protection technologies, and response to governmental investigations and media inquiries and coverage; be required to engage third-party experts and consultants; and face litigation, regulatory action, notification obligations, operational disruptions, and other potential liabilities. Our reputation and brand could be damaged, and our business may suffer. We could face loss of business, reputational harm, reduced member, provider or broker confidence and be required to expend significant capital and other resources to alleviate problems caused by such breaches. Actual or anticipated security breaches or attacks may cause us to incur increasing costs, including costs to respond to and remediate cybersecurity incidents, deploy additional personnel and protection technologies, train employees, engage third-party experts and consultants, enhance our security measures and comply with applicable legal and regulatory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example, as previously disclosed, on July 4, 2026, we identified unauthorized access to certain of our information systems resulting from a social engineering attack involving three non-managerial employee accounts. Based on our investigation to date, the affected accounts were associated with member visit-scheduling and broker-facing sales functions and had access to certain PII and PHI, but did not have access to our corporate financial or claims systems. Although we believe our prompt response successfully contained and terminated this unauthorized access and, based on information currently available, we do not believe this incident has had, or is reasonably likely to have, a material impact on our business, financial condition or results of operations, our investigation remains ongoing and the ultimate scope, nature and extent of any unauthorized access to or acquisition of data has not been fully determined. For a discussion of litigation arising from this incident, see Note 12 “Commitments and Contingencies – Legal Actions” in the accompanying notes to the condensed consolidated financial statements included in this Form 10-Q.</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certain of our third-party service providers provide technology-related services and/or store or have access to our data and may not have effective controls, processes or practices to protect our information from loss, unauthorized disclosure, unauthorized use or misappropriation, cyberattacks or other data security incidents. A vulnerability in such service providers’ software or systems, a failure in their safeguards, policies or procedures, or a cyberattack or other data security incident affecting any of these third parties could result in harm to our business. For example, in 2024, one of our vendors, UnitedHealth Group’s Change Healthcare, experienced a ransomware attack that compromised certain of our members’ personal information (including PHI). Although the Change Healthcare incident did not have a material impact on our business, financial condition or results of operations, it illustrates the ongoing and evolving nature of cybersecurity threats facing the Company and its service providers.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While we maintain administrative, technical and physical safeguards designed to protect our systems and information, including employee training, incident response procedures and other security controls, these measures may not be effective in preventing or detecting all cybersecurity incidents or mitigating all related risks. Any compromise could violate applicable privacy, data protection, data security, network and information systems security and other laws, and cause significant legal and financial exposure, adverse publicity and a loss of confidence in our security measures. We devote significant resources to protect against security breaches, and we may need to devote significantly more resources in the future to address problems caused by breaches, including notifying affected subscribers and responding to any resulting litigation, which would divert resources from the growth and expansion of our business. Any future cybersecurity incident could have a material effect on our business,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as described below, two of the Company’s officers (as defined in Rule 16a-1(f) of the Exchange Act) adopted or terminated a Rule 10b5-1 trading arrangement or non-Rule 10b5-1 trading arrangement (as such terms are defined in Item 408(a) of Regulation S-K of the Securities Act).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June 8, 2026, Conrad Wai, Chief Executive Officer of Counterpart Health, Inc., our subsidiary, adopted a Rule 10b5-1 trading arrangement intended to satisfy the affirmative defense conditions of Rule 10b5-1(c) under the Exchange Act. The trading arrangement was entered into during an open trading window in accordance with the Company’s Insider Trading Policy and includes a cooling-off period of 90 days. The arrangement provides for the potential sale of up to 1,470,056 shares of the Company’s Class A Common Stock, subject to specified market price conditions and other terms, beginning no earlier than September 15, 2026, and ending no later than June 17, 2027. Mr. Wai has informed the Company that the purpose of the trading arrangement is to facilitate personal financial planning, including tax and diversification strategies. Any transactions under the arrangement will be disclosed publicly through Form 4 filings with the Securities and Exchange Commission, as applicable.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May 14, 2026, Andrew Toy, the Chief Executive Officer of the Company and a director adopted a Rule 10b5-1 trading arrangement intended to satisfy the affirmative defense conditions of Rule 10b5-1(c) under the Securities Exchange Act of 1934, as amended. The trading arrangement was entered into during an open trading window in accordance with the Company's Insider Trading Policy and includes a cooling-off period of 90 days. The trading arrangement provides for the potential sale of up to 3,786,201 shares of the Company's Class A Common Stock, subject to specified market price conditions and other terms, beginning no earlier than August 13, 2026, and ending no later than December 31, 2027. Mr. Toy has informed the Company that the purpose of the trading arrangement is to facilitate personal financial planning, including tax and diversification strategies. Any transaction under the trading arrangement will be disclosed publicly through Form 4 filings with the SEC, as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 and Financial Statement Schedules</w:t>
      </w:r>
    </w:p>
    <w:p>
      <w:pPr>
        <w:pStyle w:val="TextBody"/>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A list of exhibits to this Form 10-Q is set forth below:</w:t>
      </w:r>
    </w:p>
    <w:tbl>
      <w:tblPr>
        <w:tblW w:w="10205" w:type="dxa"/>
        <w:jc w:val="left"/>
        <w:tblInd w:w="0" w:type="dxa"/>
        <w:tblLayout w:type="fixed"/>
        <w:tblCellMar>
          <w:top w:w="28" w:type="dxa"/>
          <w:left w:w="28" w:type="dxa"/>
          <w:bottom w:w="28" w:type="dxa"/>
          <w:right w:w="28" w:type="dxa"/>
        </w:tblCellMar>
      </w:tblPr>
      <w:tblGrid>
        <w:gridCol w:w="269"/>
        <w:gridCol w:w="236"/>
        <w:gridCol w:w="238"/>
        <w:gridCol w:w="109"/>
        <w:gridCol w:w="109"/>
        <w:gridCol w:w="109"/>
        <w:gridCol w:w="2801"/>
        <w:gridCol w:w="2582"/>
        <w:gridCol w:w="2614"/>
        <w:gridCol w:w="109"/>
        <w:gridCol w:w="109"/>
        <w:gridCol w:w="109"/>
        <w:gridCol w:w="109"/>
        <w:gridCol w:w="109"/>
        <w:gridCol w:w="109"/>
        <w:gridCol w:w="109"/>
        <w:gridCol w:w="109"/>
        <w:gridCol w:w="109"/>
        <w:gridCol w:w="157"/>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hyperlink w:anchor="exhibit101-separationagr.htm">
              <w:r>
                <w:rPr>
                  <w:rStyle w:val="InternetLink"/>
                  <w:rFonts w:ascii="Times New Roman;serif" w:hAnsi="Times New Roman;serif"/>
                  <w:b w:val="false"/>
                  <w:color w:val="0000FF"/>
                  <w:sz w:val="20"/>
                  <w:u w:val="single"/>
                </w:rPr>
                <w:t>Separation Agreement and Release, between the Clover Health LLC and Peter Kuipers, dated April 3,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10-q2q26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10-q2q26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10-q2q26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10-q2q26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color w:val="000000"/>
          <w:sz w:val="24"/>
        </w:rPr>
      </w:pPr>
      <w:r>
        <w:rPr>
          <w:rFonts w:ascii="Arial;sans-serif" w:hAnsi="Arial;sans-serif"/>
          <w:b w:val="false"/>
          <w:color w:val="000000"/>
          <w:sz w:val="24"/>
        </w:rPr>
        <w:t>_____________</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jc w:val="both"/>
        <w:rPr>
          <w:color w:val="000000"/>
        </w:rPr>
      </w:pPr>
      <w:r>
        <w:rPr>
          <w:color w:val="000000"/>
        </w:rPr>
        <w:t xml:space="preserve">† </w:t>
      </w: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60"/>
        <w:ind w:left="0" w:right="0" w:hanging="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326" w:type="dxa"/>
        <w:jc w:val="left"/>
        <w:tblInd w:w="0" w:type="dxa"/>
        <w:tblLayout w:type="fixed"/>
        <w:tblCellMar>
          <w:top w:w="28" w:type="dxa"/>
          <w:left w:w="28" w:type="dxa"/>
          <w:bottom w:w="28" w:type="dxa"/>
          <w:right w:w="28" w:type="dxa"/>
        </w:tblCellMar>
      </w:tblPr>
      <w:tblGrid>
        <w:gridCol w:w="667"/>
        <w:gridCol w:w="587"/>
        <w:gridCol w:w="590"/>
        <w:gridCol w:w="621"/>
        <w:gridCol w:w="621"/>
        <w:gridCol w:w="621"/>
        <w:gridCol w:w="1349"/>
        <w:gridCol w:w="1349"/>
        <w:gridCol w:w="192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CLOVER HEALTH INVESTMENTS, CORP.</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Toy</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Andrew Toy</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(Principal Executive Officer)</w:t>
            </w:r>
          </w:p>
        </w:tc>
      </w:tr>
    </w:tbl>
    <w:p>
      <w:pPr>
        <w:pStyle w:val="TextBody"/>
        <w:bidi w:val="0"/>
        <w:spacing w:before="0" w:after="0"/>
        <w:jc w:val="center"/>
        <w:rPr/>
      </w:pPr>
      <w:r>
        <w:rPr/>
      </w:r>
    </w:p>
    <w:p>
      <w:pPr>
        <w:pStyle w:val="TextBody"/>
        <w:bidi w:val="0"/>
        <w:spacing w:before="0" w:after="0"/>
        <w:jc w:val="center"/>
        <w:rPr/>
      </w:pPr>
      <w:r>
        <w:rPr/>
      </w:r>
    </w:p>
    <w:tbl>
      <w:tblPr>
        <w:tblW w:w="749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535"/>
        <w:gridCol w:w="1535"/>
        <w:gridCol w:w="217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Clay Thornton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Clay Thornton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Interim Chief Financial Officer (Principal Financial Officer)</w:t>
            </w:r>
          </w:p>
        </w:tc>
      </w:tr>
    </w:tbl>
    <w:p>
      <w:pPr>
        <w:pStyle w:val="TextBody"/>
        <w:bidi w:val="0"/>
        <w:spacing w:before="0" w:after="0"/>
        <w:jc w:val="left"/>
        <w:rPr/>
      </w:pPr>
      <w:r>
        <w:rPr/>
      </w:r>
    </w:p>
    <w:tbl>
      <w:tblPr>
        <w:tblW w:w="721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451"/>
        <w:gridCol w:w="1451"/>
        <w:gridCol w:w="206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Joe Oldakowski</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Joe Oldakowski</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Vice President, Controller (Principal Accounting Officer)</w:t>
            </w:r>
          </w:p>
        </w:tc>
      </w:tr>
    </w:tbl>
    <w:p>
      <w:pPr>
        <w:pStyle w:val="TextBody"/>
        <w:bidi w:val="0"/>
        <w:spacing w:before="0" w:after="283"/>
        <w:jc w:val="left"/>
        <w:rPr/>
      </w:pPr>
      <w:r>
        <w:rPr/>
      </w:r>
    </w:p>
    <w:p>
      <w:pPr>
        <w:pStyle w:val="TextBody"/>
        <w:bidi w:val="0"/>
        <w:jc w:val="center"/>
        <w:rPr/>
      </w:pPr>
      <w:bookmarkStart w:id="0" w:name="exhibit101-separationagr.htm"/>
      <w:bookmarkStart w:id="1" w:name="ksexhibit101separationagr"/>
      <w:bookmarkEnd w:id="0"/>
      <w:bookmarkEnd w:id="1"/>
      <w:r>
        <w:rPr/>
        <w:drawing>
          <wp:inline distT="0" distB="0" distL="0" distR="0">
            <wp:extent cx="10048875" cy="13001625"/>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Andrew Toy, certify that: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six months ended June 30, 2026, of Clover Health Investments, Corp.;</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7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623"/>
        <w:gridCol w:w="623"/>
        <w:gridCol w:w="88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Toy</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Andrew Toy</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Clay Thornton, certify that: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six months ended June 30, 2026, of Clover Health Investments, Corp.;</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3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816"/>
        <w:gridCol w:w="816"/>
        <w:gridCol w:w="11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Clay Thornton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Clay Thornton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Clover Health Investments, Corp. (the “Company”) for the six months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482" w:type="dxa"/>
        <w:jc w:val="left"/>
        <w:tblInd w:w="0" w:type="dxa"/>
        <w:tblLayout w:type="fixed"/>
        <w:tblCellMar>
          <w:top w:w="28" w:type="dxa"/>
          <w:left w:w="28" w:type="dxa"/>
          <w:bottom w:w="28" w:type="dxa"/>
          <w:right w:w="28" w:type="dxa"/>
        </w:tblCellMar>
      </w:tblPr>
      <w:tblGrid>
        <w:gridCol w:w="705"/>
        <w:gridCol w:w="619"/>
        <w:gridCol w:w="625"/>
        <w:gridCol w:w="134"/>
        <w:gridCol w:w="134"/>
        <w:gridCol w:w="136"/>
        <w:gridCol w:w="623"/>
        <w:gridCol w:w="623"/>
        <w:gridCol w:w="88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Toy</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Andrew Toy</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Clover Health Investments, Corp. (the “Company”) for the six months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143" w:type="dxa"/>
        <w:jc w:val="left"/>
        <w:tblInd w:w="0" w:type="dxa"/>
        <w:tblLayout w:type="fixed"/>
        <w:tblCellMar>
          <w:top w:w="28" w:type="dxa"/>
          <w:left w:w="28" w:type="dxa"/>
          <w:bottom w:w="28" w:type="dxa"/>
          <w:right w:w="28" w:type="dxa"/>
        </w:tblCellMar>
      </w:tblPr>
      <w:tblGrid>
        <w:gridCol w:w="705"/>
        <w:gridCol w:w="619"/>
        <w:gridCol w:w="625"/>
        <w:gridCol w:w="134"/>
        <w:gridCol w:w="134"/>
        <w:gridCol w:w="136"/>
        <w:gridCol w:w="816"/>
        <w:gridCol w:w="816"/>
        <w:gridCol w:w="115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Clay Thornton</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Clay Thornton</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Interim Chief Financial Officer</w:t>
            </w:r>
          </w:p>
        </w:tc>
      </w:tr>
    </w:tbl>
    <w:p>
      <w:pPr>
        <w:pStyle w:val="TextBody"/>
        <w:bidi w:val="0"/>
        <w:spacing w:before="0" w:after="283"/>
        <w:ind w:left="0" w:right="0" w:hanging="49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19906</Words>
  <Characters>113619</Characters>
  <CharactersWithSpaces>132226</CharactersWithSpaces>
  <Paragraphs>2658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exhibit101-separationagr</dc:title>
</cp:coreProperties>
</file>