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414655</wp:posOffset>
            </wp:positionV>
            <wp:extent cx="71234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343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380365</wp:posOffset>
            </wp:positionV>
            <wp:extent cx="71234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3430" cy="8255"/>
                    </a:xfrm>
                    <a:prstGeom prst="rect">
                      <a:avLst/>
                    </a:prstGeom>
                    <a:noFill/>
                  </pic:spPr>
                </pic:pic>
              </a:graphicData>
            </a:graphic>
          </wp:anchor>
        </w:drawing>
        <w:t>UNITED STATES</w:t>
      </w:r>
    </w:p>
    <w:p>
      <w:pPr>
        <w:spacing w:after="0" w:line="2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WASHINGTON, D.C. 20549</w:t>
      </w:r>
    </w:p>
    <w:p>
      <w:pPr>
        <w:spacing w:after="0" w:line="2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725170</wp:posOffset>
            </wp:positionH>
            <wp:positionV relativeFrom="paragraph">
              <wp:posOffset>86995</wp:posOffset>
            </wp:positionV>
            <wp:extent cx="57003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00395" cy="8255"/>
                    </a:xfrm>
                    <a:prstGeom prst="rect">
                      <a:avLst/>
                    </a:prstGeom>
                    <a:noFill/>
                  </pic:spPr>
                </pic:pic>
              </a:graphicData>
            </a:graphic>
          </wp:anchor>
        </w:drawing>
      </w:r>
    </w:p>
    <w:p>
      <w:pPr>
        <w:spacing w:after="0" w:line="200" w:lineRule="exact"/>
        <w:rPr>
          <w:sz w:val="24"/>
          <w:szCs w:val="24"/>
          <w:color w:val="auto"/>
        </w:rPr>
      </w:pPr>
    </w:p>
    <w:p>
      <w:pPr>
        <w:spacing w:after="0" w:line="2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CURRENT REPORT</w:t>
      </w:r>
    </w:p>
    <w:p>
      <w:pPr>
        <w:spacing w:after="0" w:line="25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Pursuant to Section 13 or 15(d) of the Securities Exchange Act of 1934</w:t>
      </w:r>
    </w:p>
    <w:p>
      <w:pPr>
        <w:spacing w:after="0" w:line="26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Date of Report (Date of earliest event reported): June 9,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725170</wp:posOffset>
            </wp:positionH>
            <wp:positionV relativeFrom="paragraph">
              <wp:posOffset>64770</wp:posOffset>
            </wp:positionV>
            <wp:extent cx="57003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00395" cy="8890"/>
                    </a:xfrm>
                    <a:prstGeom prst="rect">
                      <a:avLst/>
                    </a:prstGeom>
                    <a:noFill/>
                  </pic:spPr>
                </pic:pic>
              </a:graphicData>
            </a:graphic>
          </wp:anchor>
        </w:drawing>
      </w:r>
    </w:p>
    <w:p>
      <w:pPr>
        <w:spacing w:after="0" w:line="200" w:lineRule="exact"/>
        <w:rPr>
          <w:sz w:val="24"/>
          <w:szCs w:val="24"/>
          <w:color w:val="auto"/>
        </w:rPr>
      </w:pPr>
    </w:p>
    <w:p>
      <w:pPr>
        <w:spacing w:after="0" w:line="2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9"/>
          <w:szCs w:val="39"/>
          <w:b w:val="1"/>
          <w:bCs w:val="1"/>
          <w:color w:val="auto"/>
        </w:rPr>
        <w:t>CLOVER HEALTH INVESTMENTS, CORP.</w:t>
      </w:r>
    </w:p>
    <w:p>
      <w:pPr>
        <w:spacing w:after="0" w:line="2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3056890</wp:posOffset>
            </wp:positionH>
            <wp:positionV relativeFrom="paragraph">
              <wp:posOffset>175895</wp:posOffset>
            </wp:positionV>
            <wp:extent cx="10369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36955" cy="8255"/>
                    </a:xfrm>
                    <a:prstGeom prst="rect">
                      <a:avLst/>
                    </a:prstGeom>
                    <a:noFill/>
                  </pic:spPr>
                </pic:pic>
              </a:graphicData>
            </a:graphic>
          </wp:anchor>
        </w:drawing>
      </w:r>
    </w:p>
    <w:p>
      <w:pPr>
        <w:spacing w:after="0" w:line="282" w:lineRule="exact"/>
        <w:rPr>
          <w:sz w:val="24"/>
          <w:szCs w:val="24"/>
          <w:color w:val="auto"/>
        </w:rPr>
      </w:pPr>
    </w:p>
    <w:p>
      <w:pPr>
        <w:ind w:left="2560"/>
        <w:spacing w:after="0"/>
        <w:tabs>
          <w:tab w:leader="none" w:pos="5260" w:val="left"/>
          <w:tab w:leader="none" w:pos="7940" w:val="left"/>
        </w:tabs>
        <w:rPr>
          <w:sz w:val="20"/>
          <w:szCs w:val="20"/>
          <w:color w:val="auto"/>
        </w:rPr>
      </w:pPr>
      <w:r>
        <w:rPr>
          <w:rFonts w:ascii="Times New Roman" w:cs="Times New Roman" w:eastAsia="Times New Roman" w:hAnsi="Times New Roman"/>
          <w:sz w:val="16"/>
          <w:szCs w:val="16"/>
          <w:b w:val="1"/>
          <w:bCs w:val="1"/>
          <w:color w:val="auto"/>
        </w:rPr>
        <w:t>Delaware</w:t>
      </w:r>
      <w:r>
        <w:rPr>
          <w:sz w:val="20"/>
          <w:szCs w:val="20"/>
          <w:color w:val="auto"/>
        </w:rPr>
        <w:tab/>
      </w:r>
      <w:r>
        <w:rPr>
          <w:rFonts w:ascii="Times New Roman" w:cs="Times New Roman" w:eastAsia="Times New Roman" w:hAnsi="Times New Roman"/>
          <w:sz w:val="16"/>
          <w:szCs w:val="16"/>
          <w:b w:val="1"/>
          <w:bCs w:val="1"/>
          <w:color w:val="auto"/>
        </w:rPr>
        <w:t>001-39252</w:t>
      </w:r>
      <w:r>
        <w:rPr>
          <w:sz w:val="20"/>
          <w:szCs w:val="20"/>
          <w:color w:val="auto"/>
        </w:rPr>
        <w:tab/>
      </w:r>
      <w:r>
        <w:rPr>
          <w:rFonts w:ascii="Times New Roman" w:cs="Times New Roman" w:eastAsia="Times New Roman" w:hAnsi="Times New Roman"/>
          <w:sz w:val="16"/>
          <w:szCs w:val="16"/>
          <w:b w:val="1"/>
          <w:bCs w:val="1"/>
          <w:color w:val="auto"/>
        </w:rPr>
        <w:t>98-1515192</w:t>
      </w:r>
    </w:p>
    <w:p>
      <w:pPr>
        <w:spacing w:after="0" w:line="67" w:lineRule="exact"/>
        <w:rPr>
          <w:sz w:val="24"/>
          <w:szCs w:val="24"/>
          <w:color w:val="auto"/>
        </w:rPr>
      </w:pPr>
    </w:p>
    <w:p>
      <w:pPr>
        <w:ind w:left="2260"/>
        <w:spacing w:after="0"/>
        <w:tabs>
          <w:tab w:leader="none" w:pos="4960" w:val="left"/>
          <w:tab w:leader="none" w:pos="7980" w:val="left"/>
        </w:tabs>
        <w:rPr>
          <w:sz w:val="20"/>
          <w:szCs w:val="20"/>
          <w:color w:val="auto"/>
        </w:rPr>
      </w:pPr>
      <w:r>
        <w:rPr>
          <w:rFonts w:ascii="Times New Roman" w:cs="Times New Roman" w:eastAsia="Times New Roman" w:hAnsi="Times New Roman"/>
          <w:sz w:val="12"/>
          <w:szCs w:val="12"/>
          <w:color w:val="auto"/>
        </w:rPr>
        <w:t>(State or Other Jurisdiction</w:t>
      </w:r>
      <w:r>
        <w:rPr>
          <w:sz w:val="20"/>
          <w:szCs w:val="20"/>
          <w:color w:val="auto"/>
        </w:rPr>
        <w:tab/>
      </w:r>
      <w:r>
        <w:rPr>
          <w:rFonts w:ascii="Times New Roman" w:cs="Times New Roman" w:eastAsia="Times New Roman" w:hAnsi="Times New Roman"/>
          <w:sz w:val="12"/>
          <w:szCs w:val="12"/>
          <w:color w:val="auto"/>
        </w:rPr>
        <w:t>(Commission File Number)</w:t>
      </w:r>
      <w:r>
        <w:rPr>
          <w:sz w:val="20"/>
          <w:szCs w:val="20"/>
          <w:color w:val="auto"/>
        </w:rPr>
        <w:tab/>
      </w:r>
      <w:r>
        <w:rPr>
          <w:rFonts w:ascii="Times New Roman" w:cs="Times New Roman" w:eastAsia="Times New Roman" w:hAnsi="Times New Roman"/>
          <w:sz w:val="11"/>
          <w:szCs w:val="11"/>
          <w:color w:val="auto"/>
        </w:rPr>
        <w:t>(IRS Employer</w:t>
      </w:r>
    </w:p>
    <w:p>
      <w:pPr>
        <w:spacing w:after="0" w:line="51" w:lineRule="exact"/>
        <w:rPr>
          <w:sz w:val="24"/>
          <w:szCs w:val="24"/>
          <w:color w:val="auto"/>
        </w:rPr>
      </w:pPr>
    </w:p>
    <w:p>
      <w:pPr>
        <w:ind w:left="2480"/>
        <w:spacing w:after="0"/>
        <w:tabs>
          <w:tab w:leader="none" w:pos="7900" w:val="left"/>
        </w:tabs>
        <w:rPr>
          <w:sz w:val="20"/>
          <w:szCs w:val="20"/>
          <w:color w:val="auto"/>
        </w:rPr>
      </w:pPr>
      <w:r>
        <w:rPr>
          <w:rFonts w:ascii="Times New Roman" w:cs="Times New Roman" w:eastAsia="Times New Roman" w:hAnsi="Times New Roman"/>
          <w:sz w:val="12"/>
          <w:szCs w:val="12"/>
          <w:color w:val="auto"/>
        </w:rPr>
        <w:t>of Incorporation)</w:t>
      </w:r>
      <w:r>
        <w:rPr>
          <w:sz w:val="20"/>
          <w:szCs w:val="20"/>
          <w:color w:val="auto"/>
        </w:rPr>
        <w:tab/>
      </w:r>
      <w:r>
        <w:rPr>
          <w:rFonts w:ascii="Times New Roman" w:cs="Times New Roman" w:eastAsia="Times New Roman" w:hAnsi="Times New Roman"/>
          <w:sz w:val="11"/>
          <w:szCs w:val="11"/>
          <w:color w:val="auto"/>
        </w:rPr>
        <w:t>Identification No.)</w:t>
      </w:r>
    </w:p>
    <w:p>
      <w:pPr>
        <w:spacing w:after="0" w:line="273" w:lineRule="exact"/>
        <w:rPr>
          <w:sz w:val="24"/>
          <w:szCs w:val="24"/>
          <w:color w:val="auto"/>
        </w:rPr>
      </w:pPr>
    </w:p>
    <w:p>
      <w:pPr>
        <w:ind w:left="2220"/>
        <w:spacing w:after="0"/>
        <w:tabs>
          <w:tab w:leader="none" w:pos="7240" w:val="left"/>
        </w:tabs>
        <w:rPr>
          <w:sz w:val="20"/>
          <w:szCs w:val="20"/>
          <w:color w:val="auto"/>
        </w:rPr>
      </w:pPr>
      <w:r>
        <w:rPr>
          <w:rFonts w:ascii="Times New Roman" w:cs="Times New Roman" w:eastAsia="Times New Roman" w:hAnsi="Times New Roman"/>
          <w:sz w:val="16"/>
          <w:szCs w:val="16"/>
          <w:b w:val="1"/>
          <w:bCs w:val="1"/>
          <w:color w:val="auto"/>
        </w:rPr>
        <w:t>Address Not Applicable</w:t>
      </w:r>
      <w:r>
        <w:rPr>
          <w:rFonts w:ascii="Times New Roman" w:cs="Times New Roman" w:eastAsia="Times New Roman" w:hAnsi="Times New Roman"/>
          <w:sz w:val="21"/>
          <w:szCs w:val="21"/>
          <w:color w:val="auto"/>
          <w:vertAlign w:val="superscript"/>
        </w:rPr>
        <w:t>(1)</w:t>
      </w:r>
      <w:r>
        <w:rPr>
          <w:sz w:val="20"/>
          <w:szCs w:val="20"/>
          <w:color w:val="auto"/>
        </w:rPr>
        <w:tab/>
      </w:r>
      <w:r>
        <w:rPr>
          <w:rFonts w:ascii="Times New Roman" w:cs="Times New Roman" w:eastAsia="Times New Roman" w:hAnsi="Times New Roman"/>
          <w:sz w:val="15"/>
          <w:szCs w:val="15"/>
          <w:b w:val="1"/>
          <w:bCs w:val="1"/>
          <w:color w:val="auto"/>
        </w:rPr>
        <w:t>Address Not Applicable</w:t>
      </w:r>
      <w:r>
        <w:rPr>
          <w:rFonts w:ascii="Times New Roman" w:cs="Times New Roman" w:eastAsia="Times New Roman" w:hAnsi="Times New Roman"/>
          <w:sz w:val="20"/>
          <w:szCs w:val="20"/>
          <w:color w:val="auto"/>
          <w:vertAlign w:val="superscript"/>
        </w:rPr>
        <w:t>(1)</w:t>
      </w:r>
    </w:p>
    <w:p>
      <w:pPr>
        <w:spacing w:after="0" w:line="13" w:lineRule="exact"/>
        <w:rPr>
          <w:sz w:val="24"/>
          <w:szCs w:val="24"/>
          <w:color w:val="auto"/>
        </w:rPr>
      </w:pPr>
    </w:p>
    <w:p>
      <w:pPr>
        <w:ind w:left="2080"/>
        <w:spacing w:after="0"/>
        <w:tabs>
          <w:tab w:leader="none" w:pos="7840" w:val="left"/>
        </w:tabs>
        <w:rPr>
          <w:sz w:val="20"/>
          <w:szCs w:val="20"/>
          <w:color w:val="auto"/>
        </w:rPr>
      </w:pPr>
      <w:r>
        <w:rPr>
          <w:rFonts w:ascii="Times New Roman" w:cs="Times New Roman" w:eastAsia="Times New Roman" w:hAnsi="Times New Roman"/>
          <w:sz w:val="13"/>
          <w:szCs w:val="13"/>
          <w:color w:val="auto"/>
        </w:rPr>
        <w:t>(Address of Principal Executive Offices)</w:t>
      </w:r>
      <w:r>
        <w:rPr>
          <w:sz w:val="20"/>
          <w:szCs w:val="20"/>
          <w:color w:val="auto"/>
        </w:rPr>
        <w:tab/>
      </w:r>
      <w:r>
        <w:rPr>
          <w:rFonts w:ascii="Times New Roman" w:cs="Times New Roman" w:eastAsia="Times New Roman" w:hAnsi="Times New Roman"/>
          <w:sz w:val="12"/>
          <w:szCs w:val="12"/>
          <w:color w:val="auto"/>
        </w:rPr>
        <w:t>(Zip Code)</w:t>
      </w:r>
    </w:p>
    <w:p>
      <w:pPr>
        <w:spacing w:after="0" w:line="18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 Applicable</w:t>
      </w:r>
      <w:r>
        <w:rPr>
          <w:rFonts w:ascii="Times New Roman" w:cs="Times New Roman" w:eastAsia="Times New Roman" w:hAnsi="Times New Roman"/>
          <w:sz w:val="21"/>
          <w:szCs w:val="21"/>
          <w:color w:val="auto"/>
          <w:vertAlign w:val="superscript"/>
        </w:rPr>
        <w:t>(1)</w:t>
      </w:r>
    </w:p>
    <w:p>
      <w:pPr>
        <w:spacing w:after="0" w:line="5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24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 Applicable</w:t>
      </w:r>
    </w:p>
    <w:p>
      <w:pPr>
        <w:spacing w:after="0" w:line="26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725170</wp:posOffset>
            </wp:positionH>
            <wp:positionV relativeFrom="paragraph">
              <wp:posOffset>63500</wp:posOffset>
            </wp:positionV>
            <wp:extent cx="57003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0039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ind w:right="1060"/>
        <w:spacing w:after="0" w:line="316" w:lineRule="auto"/>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77" w:lineRule="exact"/>
        <w:rPr>
          <w:sz w:val="24"/>
          <w:szCs w:val="24"/>
          <w:color w:val="auto"/>
        </w:rPr>
      </w:pPr>
    </w:p>
    <w:p>
      <w:pPr>
        <w:ind w:left="200" w:hanging="192"/>
        <w:spacing w:after="0"/>
        <w:tabs>
          <w:tab w:leader="none" w:pos="2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248" w:lineRule="exact"/>
        <w:rPr>
          <w:rFonts w:ascii="MS PGothic" w:cs="MS PGothic" w:eastAsia="MS PGothic" w:hAnsi="MS PGothic"/>
          <w:sz w:val="16"/>
          <w:szCs w:val="16"/>
          <w:color w:val="auto"/>
        </w:rPr>
      </w:pPr>
    </w:p>
    <w:p>
      <w:pPr>
        <w:ind w:left="200" w:hanging="192"/>
        <w:spacing w:after="0"/>
        <w:tabs>
          <w:tab w:leader="none" w:pos="2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261" w:lineRule="exact"/>
        <w:rPr>
          <w:rFonts w:ascii="MS PGothic" w:cs="MS PGothic" w:eastAsia="MS PGothic" w:hAnsi="MS PGothic"/>
          <w:sz w:val="16"/>
          <w:szCs w:val="16"/>
          <w:color w:val="auto"/>
        </w:rPr>
      </w:pPr>
    </w:p>
    <w:p>
      <w:pPr>
        <w:ind w:left="200" w:hanging="192"/>
        <w:spacing w:after="0"/>
        <w:tabs>
          <w:tab w:leader="none" w:pos="2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248" w:lineRule="exact"/>
        <w:rPr>
          <w:rFonts w:ascii="MS PGothic" w:cs="MS PGothic" w:eastAsia="MS PGothic" w:hAnsi="MS PGothic"/>
          <w:sz w:val="16"/>
          <w:szCs w:val="16"/>
          <w:color w:val="auto"/>
        </w:rPr>
      </w:pPr>
    </w:p>
    <w:p>
      <w:pPr>
        <w:ind w:left="200" w:hanging="192"/>
        <w:spacing w:after="0"/>
        <w:tabs>
          <w:tab w:leader="none" w:pos="2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200" w:lineRule="exact"/>
        <w:rPr>
          <w:sz w:val="24"/>
          <w:szCs w:val="24"/>
          <w:color w:val="auto"/>
        </w:rPr>
      </w:pPr>
    </w:p>
    <w:p>
      <w:pPr>
        <w:spacing w:after="0" w:line="3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pacing w:after="0" w:line="302" w:lineRule="exact"/>
        <w:rPr>
          <w:sz w:val="24"/>
          <w:szCs w:val="24"/>
          <w:color w:val="auto"/>
        </w:rPr>
      </w:pPr>
    </w:p>
    <w:tbl>
      <w:tblPr>
        <w:tblLayout w:type="fixed"/>
        <w:tblInd w:w="480" w:type="dxa"/>
        <w:tblCellMar>
          <w:top w:w="0" w:type="dxa"/>
          <w:left w:w="0" w:type="dxa"/>
          <w:bottom w:w="0" w:type="dxa"/>
          <w:right w:w="0" w:type="dxa"/>
        </w:tblCellMar>
      </w:tblPr>
      <w:tr>
        <w:trPr>
          <w:trHeight w:val="212"/>
        </w:trPr>
        <w:tc>
          <w:tcPr>
            <w:tcW w:w="4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Trading</w:t>
            </w:r>
          </w:p>
        </w:tc>
        <w:tc>
          <w:tcPr>
            <w:tcW w:w="4180" w:type="dxa"/>
            <w:vAlign w:val="bottom"/>
          </w:tcPr>
          <w:p>
            <w:pPr>
              <w:spacing w:after="0"/>
              <w:rPr>
                <w:sz w:val="18"/>
                <w:szCs w:val="18"/>
                <w:color w:val="auto"/>
              </w:rPr>
            </w:pPr>
          </w:p>
        </w:tc>
      </w:tr>
      <w:tr>
        <w:trPr>
          <w:trHeight w:val="256"/>
        </w:trPr>
        <w:tc>
          <w:tcPr>
            <w:tcW w:w="4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140" w:type="dxa"/>
            <w:vAlign w:val="bottom"/>
          </w:tcPr>
          <w:p>
            <w:pPr>
              <w:spacing w:after="0"/>
              <w:rPr>
                <w:sz w:val="22"/>
                <w:szCs w:val="22"/>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Symbol(s)</w:t>
            </w:r>
          </w:p>
        </w:tc>
        <w:tc>
          <w:tcPr>
            <w:tcW w:w="140" w:type="dxa"/>
            <w:vAlign w:val="bottom"/>
          </w:tcPr>
          <w:p>
            <w:pPr>
              <w:spacing w:after="0"/>
              <w:rPr>
                <w:sz w:val="22"/>
                <w:szCs w:val="22"/>
                <w:color w:val="auto"/>
              </w:rPr>
            </w:pPr>
          </w:p>
        </w:tc>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24"/>
        </w:trPr>
        <w:tc>
          <w:tcPr>
            <w:tcW w:w="430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Class A Common Stock, par value $0.0001 per share</w:t>
            </w:r>
          </w:p>
        </w:tc>
        <w:tc>
          <w:tcPr>
            <w:tcW w:w="18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CLOV</w:t>
            </w:r>
          </w:p>
        </w:tc>
        <w:tc>
          <w:tcPr>
            <w:tcW w:w="41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The NASDAQ Stock Market LLC</w:t>
            </w:r>
          </w:p>
        </w:tc>
      </w:tr>
    </w:tbl>
    <w:p>
      <w:pPr>
        <w:spacing w:after="0" w:line="208" w:lineRule="exact"/>
        <w:rPr>
          <w:sz w:val="24"/>
          <w:szCs w:val="24"/>
          <w:color w:val="auto"/>
        </w:rPr>
      </w:pPr>
    </w:p>
    <w:p>
      <w:pPr>
        <w:jc w:val="both"/>
        <w:ind w:right="440"/>
        <w:spacing w:after="0" w:line="280"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21"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163" w:lineRule="exact"/>
        <w:rPr>
          <w:sz w:val="24"/>
          <w:szCs w:val="24"/>
          <w:color w:val="auto"/>
        </w:rPr>
      </w:pPr>
    </w:p>
    <w:p>
      <w:pPr>
        <w:ind w:right="580"/>
        <w:spacing w:after="0" w:line="213"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18859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ectPr>
          <w:pgSz w:w="11900" w:h="16838" w:orient="portrait"/>
          <w:cols w:equalWidth="0" w:num="1">
            <w:col w:w="11240"/>
          </w:cols>
          <w:pgMar w:left="320" w:top="709" w:right="339" w:bottom="1052" w:gutter="0" w:footer="0" w:header="0"/>
        </w:sectPr>
      </w:pPr>
    </w:p>
    <w:p>
      <w:pPr>
        <w:spacing w:after="0" w:line="228" w:lineRule="exact"/>
        <w:rPr>
          <w:sz w:val="24"/>
          <w:szCs w:val="24"/>
          <w:color w:val="auto"/>
        </w:rPr>
      </w:pPr>
    </w:p>
    <w:p>
      <w:pPr>
        <w:jc w:val="both"/>
        <w:ind w:firstLine="8"/>
        <w:spacing w:after="0" w:line="281" w:lineRule="auto"/>
        <w:tabs>
          <w:tab w:leader="none" w:pos="132" w:val="left"/>
        </w:tabs>
        <w:numPr>
          <w:ilvl w:val="0"/>
          <w:numId w:val="2"/>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We are a remote-first company. Accordingly, we do not maintain a headquarters. For purposes of compliance with applicable requirements of the Securities Act of 1933, as amended, and the Securities Exchange Act of 1934, as amended, stockholder communications required to be sent to our principal executive offices may be directed to the email address: secretary@cloverhealth.com, or to our agent for service of process at The Corporation Trust Company, 1209 Orange Street, Wilmington, Delaware 19801.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195580</wp:posOffset>
            </wp:positionV>
            <wp:extent cx="71234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234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161290</wp:posOffset>
            </wp:positionV>
            <wp:extent cx="71234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ectPr>
          <w:pgSz w:w="11900" w:h="16838" w:orient="portrait"/>
          <w:cols w:equalWidth="0" w:num="1">
            <w:col w:w="11240"/>
          </w:cols>
          <w:pgMar w:left="320" w:top="709" w:right="339" w:bottom="1052" w:gutter="0" w:footer="0" w:header="0"/>
          <w:type w:val="continuous"/>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273685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May 29, 2026, the United States District Court for the Southern District of Georgia entered final judgment in Clover Insurance Co. v. U.S. Department of Health and Human Services, 2:25-CV-142, granting summary judgment in part for Clover Insurance Company (“Clover”), a subsidiary of Clover Health Investments, Corp. At issue in the lawsuit was Clover’s 2026 Star Rating, which impacts Payment Year 2027. The Court set aside Clover’s 2026 3.5 Star Rating for Contract H5141 and ordered the Centers for Medicare &amp; Medicaid Services (“CMS”) to recalculate Clover’s 2026 Star Rating in a manner consistent with the Order.</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June 9, 2026, CMS informed Clover that, consistent with the Court’s order, it has recalculated Clover's 2026 Star Rating as 4.5 Stars, and has instructed Clover to submit alternate bids at 4.5 Stars. The 4.5 Star Rating applies to Contract H5141, Clover’s PPO plan, which covers over 97% of Clover’s members. Clover’s HMO plan’s (Contract H8010) 2026 Star Rating was not subject to this litigation and its 2026 Star Rating remains at 4.0 Stars, as previously reported.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1124585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0" w:lineRule="exact"/>
        <w:rPr>
          <w:sz w:val="20"/>
          <w:szCs w:val="20"/>
          <w:color w:val="auto"/>
        </w:rPr>
      </w:pPr>
    </w:p>
    <w:p>
      <w:pPr>
        <w:spacing w:after="0" w:line="21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7500" w:type="dxa"/>
            <w:vAlign w:val="bottom"/>
            <w:gridSpan w:val="3"/>
          </w:tcPr>
          <w:p>
            <w:pPr>
              <w:ind w:left="2040"/>
              <w:spacing w:after="0"/>
              <w:rPr>
                <w:sz w:val="20"/>
                <w:szCs w:val="20"/>
                <w:color w:val="auto"/>
              </w:rPr>
            </w:pPr>
            <w:r>
              <w:rPr>
                <w:rFonts w:ascii="Times New Roman" w:cs="Times New Roman" w:eastAsia="Times New Roman" w:hAnsi="Times New Roman"/>
                <w:sz w:val="18"/>
                <w:szCs w:val="18"/>
                <w:b w:val="1"/>
                <w:bCs w:val="1"/>
                <w:color w:val="auto"/>
              </w:rPr>
              <w:t>Clover Health Investments, Corp.</w:t>
            </w:r>
          </w:p>
        </w:tc>
      </w:tr>
      <w:tr>
        <w:trPr>
          <w:trHeight w:val="499"/>
        </w:trPr>
        <w:tc>
          <w:tcPr>
            <w:tcW w:w="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w:t>
            </w:r>
          </w:p>
        </w:tc>
        <w:tc>
          <w:tcPr>
            <w:tcW w:w="3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June 10, 2026</w:t>
            </w:r>
          </w:p>
        </w:tc>
        <w:tc>
          <w:tcPr>
            <w:tcW w:w="304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By:</w:t>
            </w:r>
          </w:p>
        </w:tc>
        <w:tc>
          <w:tcPr>
            <w:tcW w:w="1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/s/ Clay Thornton</w:t>
            </w:r>
          </w:p>
        </w:tc>
        <w:tc>
          <w:tcPr>
            <w:tcW w:w="3180" w:type="dxa"/>
            <w:vAlign w:val="bottom"/>
          </w:tcPr>
          <w:p>
            <w:pPr>
              <w:spacing w:after="0"/>
              <w:rPr>
                <w:sz w:val="24"/>
                <w:szCs w:val="24"/>
                <w:color w:val="auto"/>
              </w:rPr>
            </w:pPr>
          </w:p>
        </w:tc>
      </w:tr>
      <w:tr>
        <w:trPr>
          <w:trHeight w:val="291"/>
        </w:trPr>
        <w:tc>
          <w:tcPr>
            <w:tcW w:w="56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304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Name:</w:t>
            </w:r>
          </w:p>
        </w:tc>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Clay Thornton</w:t>
            </w:r>
          </w:p>
        </w:tc>
      </w:tr>
      <w:tr>
        <w:trPr>
          <w:trHeight w:val="270"/>
        </w:trPr>
        <w:tc>
          <w:tcPr>
            <w:tcW w:w="560" w:type="dxa"/>
            <w:vAlign w:val="bottom"/>
          </w:tcPr>
          <w:p>
            <w:pPr>
              <w:spacing w:after="0"/>
              <w:rPr>
                <w:sz w:val="23"/>
                <w:szCs w:val="23"/>
                <w:color w:val="auto"/>
              </w:rPr>
            </w:pPr>
          </w:p>
        </w:tc>
        <w:tc>
          <w:tcPr>
            <w:tcW w:w="3160" w:type="dxa"/>
            <w:vAlign w:val="bottom"/>
          </w:tcPr>
          <w:p>
            <w:pPr>
              <w:spacing w:after="0"/>
              <w:rPr>
                <w:sz w:val="23"/>
                <w:szCs w:val="23"/>
                <w:color w:val="auto"/>
              </w:rPr>
            </w:pPr>
          </w:p>
        </w:tc>
        <w:tc>
          <w:tcPr>
            <w:tcW w:w="304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Title:</w:t>
            </w:r>
          </w:p>
        </w:tc>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Interim Chief Financial Officer (Principal Financial Officer)</w:t>
            </w:r>
          </w:p>
        </w:tc>
      </w:tr>
      <w:tr>
        <w:trPr>
          <w:trHeight w:val="459"/>
        </w:trPr>
        <w:tc>
          <w:tcPr>
            <w:tcW w:w="56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20"/>
      </w:cols>
      <w:pgMar w:left="320" w:top="441"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2026-06-10T07:32:09Z</dcterms:created>
  <dcterms:modified xsi:type="dcterms:W3CDTF">2026-06-10T07:32:09Z</dcterms:modified>
</cp:coreProperties>
</file>