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November 15, 2021.</w:t>
      </w:r>
    </w:p>
    <w:p>
      <w:pPr>
        <w:spacing w:after="0" w:line="273" w:lineRule="exact"/>
        <w:rPr>
          <w:sz w:val="24"/>
          <w:szCs w:val="24"/>
          <w:color w:val="auto"/>
        </w:rPr>
      </w:pPr>
    </w:p>
    <w:p>
      <w:pPr>
        <w:ind w:left="9501"/>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43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52070</wp:posOffset>
            </wp:positionV>
            <wp:extent cx="1193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146685</wp:posOffset>
            </wp:positionV>
            <wp:extent cx="11931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CLOVER HEALTH INVESTMENTS, CORP.</w:t>
      </w:r>
    </w:p>
    <w:p>
      <w:pPr>
        <w:spacing w:after="0" w:line="6" w:lineRule="exact"/>
        <w:rPr>
          <w:sz w:val="24"/>
          <w:szCs w:val="24"/>
          <w:color w:val="auto"/>
        </w:rPr>
      </w:pPr>
    </w:p>
    <w:tbl>
      <w:tblPr>
        <w:tblLayout w:type="fixed"/>
        <w:tblInd w:w="1101"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478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89"/>
              </w:rPr>
              <w:t>(Exact Name of Registrant as Specified in Its Charter)</w:t>
            </w:r>
          </w:p>
        </w:tc>
        <w:tc>
          <w:tcPr>
            <w:tcW w:w="1880" w:type="dxa"/>
            <w:vAlign w:val="bottom"/>
          </w:tcPr>
          <w:p>
            <w:pPr>
              <w:spacing w:after="0"/>
              <w:rPr>
                <w:sz w:val="16"/>
                <w:szCs w:val="16"/>
                <w:color w:val="auto"/>
              </w:rPr>
            </w:pPr>
          </w:p>
        </w:tc>
      </w:tr>
      <w:tr>
        <w:trPr>
          <w:trHeight w:val="200"/>
        </w:trPr>
        <w:tc>
          <w:tcPr>
            <w:tcW w:w="2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44"/>
        </w:trPr>
        <w:tc>
          <w:tcPr>
            <w:tcW w:w="2180" w:type="dxa"/>
            <w:vAlign w:val="bottom"/>
          </w:tcPr>
          <w:p>
            <w:pPr>
              <w:jc w:val="center"/>
              <w:ind w:right="597"/>
              <w:spacing w:after="0"/>
              <w:rPr>
                <w:sz w:val="20"/>
                <w:szCs w:val="20"/>
                <w:color w:val="auto"/>
              </w:rPr>
            </w:pPr>
            <w:r>
              <w:rPr>
                <w:rFonts w:ascii="Arial" w:cs="Arial" w:eastAsia="Arial" w:hAnsi="Arial"/>
                <w:sz w:val="15"/>
                <w:szCs w:val="15"/>
                <w:b w:val="1"/>
                <w:bCs w:val="1"/>
                <w:color w:val="auto"/>
                <w:w w:val="91"/>
              </w:rPr>
              <w:t>Delaware</w:t>
            </w:r>
          </w:p>
        </w:tc>
        <w:tc>
          <w:tcPr>
            <w:tcW w:w="3280" w:type="dxa"/>
            <w:vAlign w:val="bottom"/>
            <w:gridSpan w:val="2"/>
          </w:tcPr>
          <w:p>
            <w:pPr>
              <w:jc w:val="center"/>
              <w:ind w:left="1306"/>
              <w:spacing w:after="0"/>
              <w:rPr>
                <w:sz w:val="20"/>
                <w:szCs w:val="20"/>
                <w:color w:val="auto"/>
              </w:rPr>
            </w:pPr>
            <w:r>
              <w:rPr>
                <w:rFonts w:ascii="Arial" w:cs="Arial" w:eastAsia="Arial" w:hAnsi="Arial"/>
                <w:sz w:val="15"/>
                <w:szCs w:val="15"/>
                <w:b w:val="1"/>
                <w:bCs w:val="1"/>
                <w:color w:val="auto"/>
                <w:w w:val="89"/>
              </w:rPr>
              <w:t>6324</w:t>
            </w:r>
          </w:p>
        </w:tc>
        <w:tc>
          <w:tcPr>
            <w:tcW w:w="1500" w:type="dxa"/>
            <w:vAlign w:val="bottom"/>
          </w:tcPr>
          <w:p>
            <w:pPr>
              <w:spacing w:after="0"/>
              <w:rPr>
                <w:sz w:val="24"/>
                <w:szCs w:val="24"/>
                <w:color w:val="auto"/>
              </w:rPr>
            </w:pPr>
          </w:p>
        </w:tc>
        <w:tc>
          <w:tcPr>
            <w:tcW w:w="1880" w:type="dxa"/>
            <w:vAlign w:val="bottom"/>
          </w:tcPr>
          <w:p>
            <w:pPr>
              <w:jc w:val="center"/>
              <w:ind w:left="677"/>
              <w:spacing w:after="0"/>
              <w:rPr>
                <w:sz w:val="20"/>
                <w:szCs w:val="20"/>
                <w:color w:val="auto"/>
              </w:rPr>
            </w:pPr>
            <w:r>
              <w:rPr>
                <w:rFonts w:ascii="Arial" w:cs="Arial" w:eastAsia="Arial" w:hAnsi="Arial"/>
                <w:sz w:val="15"/>
                <w:szCs w:val="15"/>
                <w:b w:val="1"/>
                <w:bCs w:val="1"/>
                <w:color w:val="auto"/>
                <w:w w:val="87"/>
              </w:rPr>
              <w:t>98-1515192</w:t>
            </w:r>
          </w:p>
        </w:tc>
      </w:tr>
      <w:tr>
        <w:trPr>
          <w:trHeight w:val="117"/>
        </w:trPr>
        <w:tc>
          <w:tcPr>
            <w:tcW w:w="2180" w:type="dxa"/>
            <w:vAlign w:val="bottom"/>
          </w:tcPr>
          <w:p>
            <w:pPr>
              <w:jc w:val="center"/>
              <w:ind w:right="577"/>
              <w:spacing w:after="0" w:line="117" w:lineRule="exact"/>
              <w:rPr>
                <w:sz w:val="20"/>
                <w:szCs w:val="20"/>
                <w:color w:val="auto"/>
              </w:rPr>
            </w:pPr>
            <w:r>
              <w:rPr>
                <w:rFonts w:ascii="Arial" w:cs="Arial" w:eastAsia="Arial" w:hAnsi="Arial"/>
                <w:sz w:val="12"/>
                <w:szCs w:val="12"/>
                <w:b w:val="1"/>
                <w:bCs w:val="1"/>
                <w:color w:val="auto"/>
                <w:w w:val="88"/>
              </w:rPr>
              <w:t>(State or Other Jurisdiction of</w:t>
            </w:r>
          </w:p>
        </w:tc>
        <w:tc>
          <w:tcPr>
            <w:tcW w:w="1400" w:type="dxa"/>
            <w:vAlign w:val="bottom"/>
          </w:tcPr>
          <w:p>
            <w:pPr>
              <w:spacing w:after="0"/>
              <w:rPr>
                <w:sz w:val="10"/>
                <w:szCs w:val="10"/>
                <w:color w:val="auto"/>
              </w:rPr>
            </w:pPr>
          </w:p>
        </w:tc>
        <w:tc>
          <w:tcPr>
            <w:tcW w:w="3380" w:type="dxa"/>
            <w:vAlign w:val="bottom"/>
            <w:gridSpan w:val="2"/>
          </w:tcPr>
          <w:p>
            <w:pPr>
              <w:jc w:val="center"/>
              <w:ind w:right="1520"/>
              <w:spacing w:after="0" w:line="117" w:lineRule="exact"/>
              <w:rPr>
                <w:sz w:val="20"/>
                <w:szCs w:val="20"/>
                <w:color w:val="auto"/>
              </w:rPr>
            </w:pPr>
            <w:r>
              <w:rPr>
                <w:rFonts w:ascii="Arial" w:cs="Arial" w:eastAsia="Arial" w:hAnsi="Arial"/>
                <w:sz w:val="12"/>
                <w:szCs w:val="12"/>
                <w:b w:val="1"/>
                <w:bCs w:val="1"/>
                <w:color w:val="auto"/>
                <w:w w:val="90"/>
              </w:rPr>
              <w:t>(Primary Standard Industrial</w:t>
            </w:r>
          </w:p>
        </w:tc>
        <w:tc>
          <w:tcPr>
            <w:tcW w:w="1880" w:type="dxa"/>
            <w:vAlign w:val="bottom"/>
          </w:tcPr>
          <w:p>
            <w:pPr>
              <w:jc w:val="center"/>
              <w:ind w:left="677"/>
              <w:spacing w:after="0" w:line="117" w:lineRule="exact"/>
              <w:rPr>
                <w:sz w:val="20"/>
                <w:szCs w:val="20"/>
                <w:color w:val="auto"/>
              </w:rPr>
            </w:pPr>
            <w:r>
              <w:rPr>
                <w:rFonts w:ascii="Arial" w:cs="Arial" w:eastAsia="Arial" w:hAnsi="Arial"/>
                <w:sz w:val="12"/>
                <w:szCs w:val="12"/>
                <w:b w:val="1"/>
                <w:bCs w:val="1"/>
                <w:color w:val="auto"/>
                <w:w w:val="89"/>
              </w:rPr>
              <w:t>(I.R.S. Employer</w:t>
            </w:r>
          </w:p>
        </w:tc>
      </w:tr>
      <w:tr>
        <w:trPr>
          <w:trHeight w:val="149"/>
        </w:trPr>
        <w:tc>
          <w:tcPr>
            <w:tcW w:w="2180" w:type="dxa"/>
            <w:vAlign w:val="bottom"/>
          </w:tcPr>
          <w:p>
            <w:pPr>
              <w:jc w:val="center"/>
              <w:ind w:right="577"/>
              <w:spacing w:after="0"/>
              <w:rPr>
                <w:sz w:val="20"/>
                <w:szCs w:val="20"/>
                <w:color w:val="auto"/>
              </w:rPr>
            </w:pPr>
            <w:r>
              <w:rPr>
                <w:rFonts w:ascii="Arial" w:cs="Arial" w:eastAsia="Arial" w:hAnsi="Arial"/>
                <w:sz w:val="12"/>
                <w:szCs w:val="12"/>
                <w:b w:val="1"/>
                <w:bCs w:val="1"/>
                <w:color w:val="auto"/>
                <w:w w:val="88"/>
              </w:rPr>
              <w:t>Incorporation or Organization)</w:t>
            </w:r>
          </w:p>
        </w:tc>
        <w:tc>
          <w:tcPr>
            <w:tcW w:w="1400" w:type="dxa"/>
            <w:vAlign w:val="bottom"/>
          </w:tcPr>
          <w:p>
            <w:pPr>
              <w:spacing w:after="0"/>
              <w:rPr>
                <w:sz w:val="12"/>
                <w:szCs w:val="12"/>
                <w:color w:val="auto"/>
              </w:rPr>
            </w:pPr>
          </w:p>
        </w:tc>
        <w:tc>
          <w:tcPr>
            <w:tcW w:w="3380" w:type="dxa"/>
            <w:vAlign w:val="bottom"/>
            <w:gridSpan w:val="2"/>
          </w:tcPr>
          <w:p>
            <w:pPr>
              <w:jc w:val="center"/>
              <w:ind w:right="1520"/>
              <w:spacing w:after="0"/>
              <w:rPr>
                <w:sz w:val="20"/>
                <w:szCs w:val="20"/>
                <w:color w:val="auto"/>
              </w:rPr>
            </w:pPr>
            <w:r>
              <w:rPr>
                <w:rFonts w:ascii="Arial" w:cs="Arial" w:eastAsia="Arial" w:hAnsi="Arial"/>
                <w:sz w:val="12"/>
                <w:szCs w:val="12"/>
                <w:b w:val="1"/>
                <w:bCs w:val="1"/>
                <w:color w:val="auto"/>
                <w:w w:val="86"/>
              </w:rPr>
              <w:t>Classification Code Number)</w:t>
            </w:r>
          </w:p>
        </w:tc>
        <w:tc>
          <w:tcPr>
            <w:tcW w:w="1880" w:type="dxa"/>
            <w:vAlign w:val="bottom"/>
          </w:tcPr>
          <w:p>
            <w:pPr>
              <w:jc w:val="center"/>
              <w:ind w:left="677"/>
              <w:spacing w:after="0"/>
              <w:rPr>
                <w:sz w:val="20"/>
                <w:szCs w:val="20"/>
                <w:color w:val="auto"/>
              </w:rPr>
            </w:pPr>
            <w:r>
              <w:rPr>
                <w:rFonts w:ascii="Arial" w:cs="Arial" w:eastAsia="Arial" w:hAnsi="Arial"/>
                <w:sz w:val="12"/>
                <w:szCs w:val="12"/>
                <w:b w:val="1"/>
                <w:bCs w:val="1"/>
                <w:color w:val="auto"/>
                <w:w w:val="89"/>
              </w:rPr>
              <w:t>Identification Number)</w:t>
            </w: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3401 Mallory Lane, Suite 210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Franklin, Tennessee 37067</w:t>
      </w:r>
    </w:p>
    <w:p>
      <w:pPr>
        <w:jc w:val="center"/>
        <w:spacing w:after="0" w:line="237" w:lineRule="auto"/>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143510</wp:posOffset>
            </wp:positionV>
            <wp:extent cx="11931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Vivek Garipalli</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3401 Mallory Lane, Suite 210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Franklin, Tennessee 37067</w:t>
      </w:r>
    </w:p>
    <w:p>
      <w:pPr>
        <w:jc w:val="center"/>
        <w:spacing w:after="0" w:line="230" w:lineRule="auto"/>
        <w:rPr>
          <w:sz w:val="20"/>
          <w:szCs w:val="20"/>
          <w:color w:val="auto"/>
        </w:rPr>
      </w:pPr>
      <w:r>
        <w:rPr>
          <w:rFonts w:ascii="Arial" w:cs="Arial" w:eastAsia="Arial" w:hAnsi="Arial"/>
          <w:sz w:val="15"/>
          <w:szCs w:val="15"/>
          <w:b w:val="1"/>
          <w:bCs w:val="1"/>
          <w:color w:val="auto"/>
        </w:rPr>
        <w:t>Telephone: (201) 432-2133</w:t>
      </w: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142875</wp:posOffset>
            </wp:positionV>
            <wp:extent cx="11931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721"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3780" w:type="dxa"/>
            <w:vAlign w:val="bottom"/>
          </w:tcPr>
          <w:p>
            <w:pPr>
              <w:jc w:val="center"/>
              <w:ind w:right="6"/>
              <w:spacing w:after="0"/>
              <w:rPr>
                <w:sz w:val="20"/>
                <w:szCs w:val="20"/>
                <w:color w:val="auto"/>
              </w:rPr>
            </w:pPr>
            <w:r>
              <w:rPr>
                <w:rFonts w:ascii="Arial" w:cs="Arial" w:eastAsia="Arial" w:hAnsi="Arial"/>
                <w:sz w:val="15"/>
                <w:szCs w:val="15"/>
                <w:b w:val="1"/>
                <w:bCs w:val="1"/>
                <w:i w:val="1"/>
                <w:iCs w:val="1"/>
                <w:color w:val="auto"/>
                <w:w w:val="84"/>
              </w:rPr>
              <w:t>Copies to:</w:t>
            </w:r>
          </w:p>
        </w:tc>
        <w:tc>
          <w:tcPr>
            <w:tcW w:w="2760" w:type="dxa"/>
            <w:vAlign w:val="bottom"/>
          </w:tcPr>
          <w:p>
            <w:pPr>
              <w:spacing w:after="0"/>
              <w:rPr>
                <w:sz w:val="16"/>
                <w:szCs w:val="16"/>
                <w:color w:val="auto"/>
              </w:rPr>
            </w:pPr>
          </w:p>
        </w:tc>
      </w:tr>
      <w:tr>
        <w:trPr>
          <w:trHeight w:val="315"/>
        </w:trPr>
        <w:tc>
          <w:tcPr>
            <w:tcW w:w="3060" w:type="dxa"/>
            <w:vAlign w:val="bottom"/>
          </w:tcPr>
          <w:p>
            <w:pPr>
              <w:jc w:val="center"/>
              <w:ind w:right="706"/>
              <w:spacing w:after="0"/>
              <w:rPr>
                <w:sz w:val="20"/>
                <w:szCs w:val="20"/>
                <w:color w:val="auto"/>
              </w:rPr>
            </w:pPr>
            <w:r>
              <w:rPr>
                <w:rFonts w:ascii="Arial" w:cs="Arial" w:eastAsia="Arial" w:hAnsi="Arial"/>
                <w:sz w:val="15"/>
                <w:szCs w:val="15"/>
                <w:b w:val="1"/>
                <w:bCs w:val="1"/>
                <w:color w:val="auto"/>
                <w:w w:val="89"/>
              </w:rPr>
              <w:t>Stephen Thau, Esq.</w:t>
            </w:r>
          </w:p>
        </w:tc>
        <w:tc>
          <w:tcPr>
            <w:tcW w:w="3780" w:type="dxa"/>
            <w:vAlign w:val="bottom"/>
          </w:tcPr>
          <w:p>
            <w:pPr>
              <w:jc w:val="center"/>
              <w:ind w:right="46"/>
              <w:spacing w:after="0"/>
              <w:rPr>
                <w:sz w:val="20"/>
                <w:szCs w:val="20"/>
                <w:color w:val="auto"/>
              </w:rPr>
            </w:pPr>
            <w:r>
              <w:rPr>
                <w:rFonts w:ascii="Arial" w:cs="Arial" w:eastAsia="Arial" w:hAnsi="Arial"/>
                <w:sz w:val="15"/>
                <w:szCs w:val="15"/>
                <w:b w:val="1"/>
                <w:bCs w:val="1"/>
                <w:color w:val="auto"/>
                <w:w w:val="91"/>
              </w:rPr>
              <w:t>Gia Lee, Esq.</w:t>
            </w:r>
          </w:p>
        </w:tc>
        <w:tc>
          <w:tcPr>
            <w:tcW w:w="2760" w:type="dxa"/>
            <w:vAlign w:val="bottom"/>
          </w:tcPr>
          <w:p>
            <w:pPr>
              <w:jc w:val="center"/>
              <w:ind w:left="786"/>
              <w:spacing w:after="0"/>
              <w:rPr>
                <w:sz w:val="20"/>
                <w:szCs w:val="20"/>
                <w:color w:val="auto"/>
              </w:rPr>
            </w:pPr>
            <w:r>
              <w:rPr>
                <w:rFonts w:ascii="Arial" w:cs="Arial" w:eastAsia="Arial" w:hAnsi="Arial"/>
                <w:sz w:val="15"/>
                <w:szCs w:val="15"/>
                <w:b w:val="1"/>
                <w:bCs w:val="1"/>
                <w:color w:val="auto"/>
                <w:w w:val="89"/>
              </w:rPr>
              <w:t>Brian J. Cuneo, Esq.</w:t>
            </w:r>
          </w:p>
        </w:tc>
      </w:tr>
      <w:tr>
        <w:trPr>
          <w:trHeight w:val="148"/>
        </w:trPr>
        <w:tc>
          <w:tcPr>
            <w:tcW w:w="3060" w:type="dxa"/>
            <w:vAlign w:val="bottom"/>
          </w:tcPr>
          <w:p>
            <w:pPr>
              <w:jc w:val="center"/>
              <w:ind w:right="686"/>
              <w:spacing w:after="0" w:line="149" w:lineRule="exact"/>
              <w:rPr>
                <w:sz w:val="20"/>
                <w:szCs w:val="20"/>
                <w:color w:val="auto"/>
              </w:rPr>
            </w:pPr>
            <w:r>
              <w:rPr>
                <w:rFonts w:ascii="Arial" w:cs="Arial" w:eastAsia="Arial" w:hAnsi="Arial"/>
                <w:sz w:val="15"/>
                <w:szCs w:val="15"/>
                <w:b w:val="1"/>
                <w:bCs w:val="1"/>
                <w:color w:val="auto"/>
                <w:w w:val="90"/>
              </w:rPr>
              <w:t>William L. Hughes, Esq.</w:t>
            </w:r>
          </w:p>
        </w:tc>
        <w:tc>
          <w:tcPr>
            <w:tcW w:w="3780" w:type="dxa"/>
            <w:vAlign w:val="bottom"/>
          </w:tcPr>
          <w:p>
            <w:pPr>
              <w:jc w:val="center"/>
              <w:ind w:right="46"/>
              <w:spacing w:after="0" w:line="149" w:lineRule="exact"/>
              <w:rPr>
                <w:sz w:val="20"/>
                <w:szCs w:val="20"/>
                <w:color w:val="auto"/>
              </w:rPr>
            </w:pPr>
            <w:r>
              <w:rPr>
                <w:rFonts w:ascii="Arial" w:cs="Arial" w:eastAsia="Arial" w:hAnsi="Arial"/>
                <w:sz w:val="15"/>
                <w:szCs w:val="15"/>
                <w:b w:val="1"/>
                <w:bCs w:val="1"/>
                <w:color w:val="auto"/>
                <w:w w:val="88"/>
              </w:rPr>
              <w:t>General Counsel and Secretary</w:t>
            </w:r>
          </w:p>
        </w:tc>
        <w:tc>
          <w:tcPr>
            <w:tcW w:w="2760" w:type="dxa"/>
            <w:vAlign w:val="bottom"/>
          </w:tcPr>
          <w:p>
            <w:pPr>
              <w:jc w:val="center"/>
              <w:ind w:left="786"/>
              <w:spacing w:after="0" w:line="149" w:lineRule="exact"/>
              <w:rPr>
                <w:sz w:val="20"/>
                <w:szCs w:val="20"/>
                <w:color w:val="auto"/>
              </w:rPr>
            </w:pPr>
            <w:r>
              <w:rPr>
                <w:rFonts w:ascii="Arial" w:cs="Arial" w:eastAsia="Arial" w:hAnsi="Arial"/>
                <w:sz w:val="15"/>
                <w:szCs w:val="15"/>
                <w:b w:val="1"/>
                <w:bCs w:val="1"/>
                <w:color w:val="auto"/>
                <w:w w:val="94"/>
              </w:rPr>
              <w:t>Latham &amp; Watkins LLP</w:t>
            </w:r>
          </w:p>
        </w:tc>
      </w:tr>
      <w:tr>
        <w:trPr>
          <w:trHeight w:val="148"/>
        </w:trPr>
        <w:tc>
          <w:tcPr>
            <w:tcW w:w="3060" w:type="dxa"/>
            <w:vAlign w:val="bottom"/>
          </w:tcPr>
          <w:p>
            <w:pPr>
              <w:jc w:val="center"/>
              <w:ind w:right="686"/>
              <w:spacing w:after="0" w:line="149" w:lineRule="exact"/>
              <w:rPr>
                <w:sz w:val="20"/>
                <w:szCs w:val="20"/>
                <w:color w:val="auto"/>
              </w:rPr>
            </w:pPr>
            <w:r>
              <w:rPr>
                <w:rFonts w:ascii="Arial" w:cs="Arial" w:eastAsia="Arial" w:hAnsi="Arial"/>
                <w:sz w:val="15"/>
                <w:szCs w:val="15"/>
                <w:b w:val="1"/>
                <w:bCs w:val="1"/>
                <w:color w:val="auto"/>
                <w:w w:val="91"/>
              </w:rPr>
              <w:t>Niki Fang, Esq.</w:t>
            </w:r>
          </w:p>
        </w:tc>
        <w:tc>
          <w:tcPr>
            <w:tcW w:w="3780" w:type="dxa"/>
            <w:vAlign w:val="bottom"/>
          </w:tcPr>
          <w:p>
            <w:pPr>
              <w:jc w:val="center"/>
              <w:ind w:right="46"/>
              <w:spacing w:after="0" w:line="149" w:lineRule="exact"/>
              <w:rPr>
                <w:sz w:val="20"/>
                <w:szCs w:val="20"/>
                <w:color w:val="auto"/>
              </w:rPr>
            </w:pPr>
            <w:r>
              <w:rPr>
                <w:rFonts w:ascii="Arial" w:cs="Arial" w:eastAsia="Arial" w:hAnsi="Arial"/>
                <w:sz w:val="15"/>
                <w:szCs w:val="15"/>
                <w:b w:val="1"/>
                <w:bCs w:val="1"/>
                <w:color w:val="auto"/>
                <w:w w:val="90"/>
              </w:rPr>
              <w:t>Clover Health Investments, Corp.</w:t>
            </w:r>
          </w:p>
        </w:tc>
        <w:tc>
          <w:tcPr>
            <w:tcW w:w="2760" w:type="dxa"/>
            <w:vAlign w:val="bottom"/>
          </w:tcPr>
          <w:p>
            <w:pPr>
              <w:jc w:val="center"/>
              <w:ind w:left="786"/>
              <w:spacing w:after="0" w:line="149" w:lineRule="exact"/>
              <w:rPr>
                <w:sz w:val="20"/>
                <w:szCs w:val="20"/>
                <w:color w:val="auto"/>
              </w:rPr>
            </w:pPr>
            <w:r>
              <w:rPr>
                <w:rFonts w:ascii="Arial" w:cs="Arial" w:eastAsia="Arial" w:hAnsi="Arial"/>
                <w:sz w:val="15"/>
                <w:szCs w:val="15"/>
                <w:b w:val="1"/>
                <w:bCs w:val="1"/>
                <w:color w:val="auto"/>
                <w:w w:val="90"/>
              </w:rPr>
              <w:t>140 Scott Drive</w:t>
            </w:r>
          </w:p>
        </w:tc>
      </w:tr>
      <w:tr>
        <w:trPr>
          <w:trHeight w:val="161"/>
        </w:trPr>
        <w:tc>
          <w:tcPr>
            <w:tcW w:w="3060" w:type="dxa"/>
            <w:vAlign w:val="bottom"/>
          </w:tcPr>
          <w:p>
            <w:pPr>
              <w:jc w:val="center"/>
              <w:ind w:right="706"/>
              <w:spacing w:after="0" w:line="161" w:lineRule="exact"/>
              <w:rPr>
                <w:sz w:val="20"/>
                <w:szCs w:val="20"/>
                <w:color w:val="auto"/>
              </w:rPr>
            </w:pPr>
            <w:r>
              <w:rPr>
                <w:rFonts w:ascii="Arial" w:cs="Arial" w:eastAsia="Arial" w:hAnsi="Arial"/>
                <w:sz w:val="15"/>
                <w:szCs w:val="15"/>
                <w:b w:val="1"/>
                <w:bCs w:val="1"/>
                <w:color w:val="auto"/>
                <w:w w:val="94"/>
              </w:rPr>
              <w:t>Orrick, Herrington &amp; Sutcliffe LLP</w:t>
            </w:r>
          </w:p>
        </w:tc>
        <w:tc>
          <w:tcPr>
            <w:tcW w:w="3780" w:type="dxa"/>
            <w:vAlign w:val="bottom"/>
          </w:tcPr>
          <w:p>
            <w:pPr>
              <w:jc w:val="center"/>
              <w:ind w:right="46"/>
              <w:spacing w:after="0" w:line="161" w:lineRule="exact"/>
              <w:rPr>
                <w:sz w:val="20"/>
                <w:szCs w:val="20"/>
                <w:color w:val="auto"/>
              </w:rPr>
            </w:pPr>
            <w:r>
              <w:rPr>
                <w:rFonts w:ascii="Arial" w:cs="Arial" w:eastAsia="Arial" w:hAnsi="Arial"/>
                <w:sz w:val="15"/>
                <w:szCs w:val="15"/>
                <w:b w:val="1"/>
                <w:bCs w:val="1"/>
                <w:color w:val="auto"/>
                <w:w w:val="91"/>
              </w:rPr>
              <w:t>3401 Mallory Lane, Suite 210</w:t>
            </w:r>
          </w:p>
        </w:tc>
        <w:tc>
          <w:tcPr>
            <w:tcW w:w="2760" w:type="dxa"/>
            <w:vAlign w:val="bottom"/>
          </w:tcPr>
          <w:p>
            <w:pPr>
              <w:jc w:val="center"/>
              <w:ind w:left="786"/>
              <w:spacing w:after="0" w:line="161" w:lineRule="exact"/>
              <w:rPr>
                <w:sz w:val="20"/>
                <w:szCs w:val="20"/>
                <w:color w:val="auto"/>
              </w:rPr>
            </w:pPr>
            <w:r>
              <w:rPr>
                <w:rFonts w:ascii="Arial" w:cs="Arial" w:eastAsia="Arial" w:hAnsi="Arial"/>
                <w:sz w:val="15"/>
                <w:szCs w:val="15"/>
                <w:b w:val="1"/>
                <w:bCs w:val="1"/>
                <w:color w:val="auto"/>
                <w:w w:val="93"/>
              </w:rPr>
              <w:t>Menlo Park, California 94025</w:t>
            </w:r>
          </w:p>
        </w:tc>
      </w:tr>
      <w:tr>
        <w:trPr>
          <w:trHeight w:val="161"/>
        </w:trPr>
        <w:tc>
          <w:tcPr>
            <w:tcW w:w="3060" w:type="dxa"/>
            <w:vAlign w:val="bottom"/>
          </w:tcPr>
          <w:p>
            <w:pPr>
              <w:jc w:val="center"/>
              <w:ind w:right="686"/>
              <w:spacing w:after="0" w:line="161" w:lineRule="exact"/>
              <w:rPr>
                <w:sz w:val="20"/>
                <w:szCs w:val="20"/>
                <w:color w:val="auto"/>
              </w:rPr>
            </w:pPr>
            <w:r>
              <w:rPr>
                <w:rFonts w:ascii="Arial" w:cs="Arial" w:eastAsia="Arial" w:hAnsi="Arial"/>
                <w:sz w:val="15"/>
                <w:szCs w:val="15"/>
                <w:b w:val="1"/>
                <w:bCs w:val="1"/>
                <w:color w:val="auto"/>
                <w:w w:val="93"/>
              </w:rPr>
              <w:t>The Orrick Building</w:t>
            </w:r>
          </w:p>
        </w:tc>
        <w:tc>
          <w:tcPr>
            <w:tcW w:w="3780" w:type="dxa"/>
            <w:vAlign w:val="bottom"/>
          </w:tcPr>
          <w:p>
            <w:pPr>
              <w:jc w:val="center"/>
              <w:ind w:right="46"/>
              <w:spacing w:after="0" w:line="161" w:lineRule="exact"/>
              <w:rPr>
                <w:sz w:val="20"/>
                <w:szCs w:val="20"/>
                <w:color w:val="auto"/>
              </w:rPr>
            </w:pPr>
            <w:r>
              <w:rPr>
                <w:rFonts w:ascii="Arial" w:cs="Arial" w:eastAsia="Arial" w:hAnsi="Arial"/>
                <w:sz w:val="15"/>
                <w:szCs w:val="15"/>
                <w:b w:val="1"/>
                <w:bCs w:val="1"/>
                <w:color w:val="auto"/>
                <w:w w:val="87"/>
              </w:rPr>
              <w:t>Franklin, Tennessee 37067</w:t>
            </w:r>
          </w:p>
        </w:tc>
        <w:tc>
          <w:tcPr>
            <w:tcW w:w="2760" w:type="dxa"/>
            <w:vAlign w:val="bottom"/>
          </w:tcPr>
          <w:p>
            <w:pPr>
              <w:jc w:val="center"/>
              <w:ind w:left="786"/>
              <w:spacing w:after="0" w:line="161" w:lineRule="exact"/>
              <w:rPr>
                <w:sz w:val="20"/>
                <w:szCs w:val="20"/>
                <w:color w:val="auto"/>
              </w:rPr>
            </w:pPr>
            <w:r>
              <w:rPr>
                <w:rFonts w:ascii="Arial" w:cs="Arial" w:eastAsia="Arial" w:hAnsi="Arial"/>
                <w:sz w:val="15"/>
                <w:szCs w:val="15"/>
                <w:b w:val="1"/>
                <w:bCs w:val="1"/>
                <w:color w:val="auto"/>
                <w:w w:val="91"/>
              </w:rPr>
              <w:t>(650) 328-4600</w:t>
            </w:r>
          </w:p>
        </w:tc>
      </w:tr>
      <w:tr>
        <w:trPr>
          <w:trHeight w:val="148"/>
        </w:trPr>
        <w:tc>
          <w:tcPr>
            <w:tcW w:w="3060" w:type="dxa"/>
            <w:vAlign w:val="bottom"/>
          </w:tcPr>
          <w:p>
            <w:pPr>
              <w:jc w:val="center"/>
              <w:ind w:right="706"/>
              <w:spacing w:after="0" w:line="149" w:lineRule="exact"/>
              <w:rPr>
                <w:sz w:val="20"/>
                <w:szCs w:val="20"/>
                <w:color w:val="auto"/>
              </w:rPr>
            </w:pPr>
            <w:r>
              <w:rPr>
                <w:rFonts w:ascii="Arial" w:cs="Arial" w:eastAsia="Arial" w:hAnsi="Arial"/>
                <w:sz w:val="15"/>
                <w:szCs w:val="15"/>
                <w:b w:val="1"/>
                <w:bCs w:val="1"/>
                <w:color w:val="auto"/>
                <w:w w:val="91"/>
              </w:rPr>
              <w:t>405 Howard Street</w:t>
            </w:r>
          </w:p>
        </w:tc>
        <w:tc>
          <w:tcPr>
            <w:tcW w:w="3780" w:type="dxa"/>
            <w:vAlign w:val="bottom"/>
          </w:tcPr>
          <w:p>
            <w:pPr>
              <w:jc w:val="center"/>
              <w:ind w:right="46"/>
              <w:spacing w:after="0" w:line="149" w:lineRule="exact"/>
              <w:rPr>
                <w:sz w:val="20"/>
                <w:szCs w:val="20"/>
                <w:color w:val="auto"/>
              </w:rPr>
            </w:pPr>
            <w:r>
              <w:rPr>
                <w:rFonts w:ascii="Arial" w:cs="Arial" w:eastAsia="Arial" w:hAnsi="Arial"/>
                <w:sz w:val="15"/>
                <w:szCs w:val="15"/>
                <w:b w:val="1"/>
                <w:bCs w:val="1"/>
                <w:color w:val="auto"/>
                <w:w w:val="91"/>
              </w:rPr>
              <w:t>(201) 432-2133</w:t>
            </w:r>
          </w:p>
        </w:tc>
        <w:tc>
          <w:tcPr>
            <w:tcW w:w="2760" w:type="dxa"/>
            <w:vAlign w:val="bottom"/>
          </w:tcPr>
          <w:p>
            <w:pPr>
              <w:spacing w:after="0"/>
              <w:rPr>
                <w:sz w:val="12"/>
                <w:szCs w:val="12"/>
                <w:color w:val="auto"/>
              </w:rPr>
            </w:pPr>
          </w:p>
        </w:tc>
      </w:tr>
      <w:tr>
        <w:trPr>
          <w:trHeight w:val="124"/>
        </w:trPr>
        <w:tc>
          <w:tcPr>
            <w:tcW w:w="3060" w:type="dxa"/>
            <w:vAlign w:val="bottom"/>
          </w:tcPr>
          <w:p>
            <w:pPr>
              <w:jc w:val="center"/>
              <w:ind w:right="686"/>
              <w:spacing w:after="0" w:line="124" w:lineRule="exact"/>
              <w:rPr>
                <w:sz w:val="20"/>
                <w:szCs w:val="20"/>
                <w:color w:val="auto"/>
              </w:rPr>
            </w:pPr>
            <w:r>
              <w:rPr>
                <w:rFonts w:ascii="Arial" w:cs="Arial" w:eastAsia="Arial" w:hAnsi="Arial"/>
                <w:sz w:val="14"/>
                <w:szCs w:val="14"/>
                <w:b w:val="1"/>
                <w:bCs w:val="1"/>
                <w:color w:val="auto"/>
                <w:w w:val="95"/>
              </w:rPr>
              <w:t>San Francisco, California 94105</w:t>
            </w:r>
          </w:p>
        </w:tc>
        <w:tc>
          <w:tcPr>
            <w:tcW w:w="3780" w:type="dxa"/>
            <w:vAlign w:val="bottom"/>
          </w:tcPr>
          <w:p>
            <w:pPr>
              <w:spacing w:after="0"/>
              <w:rPr>
                <w:sz w:val="10"/>
                <w:szCs w:val="10"/>
                <w:color w:val="auto"/>
              </w:rPr>
            </w:pPr>
          </w:p>
        </w:tc>
        <w:tc>
          <w:tcPr>
            <w:tcW w:w="2760" w:type="dxa"/>
            <w:vAlign w:val="bottom"/>
          </w:tcPr>
          <w:p>
            <w:pPr>
              <w:spacing w:after="0"/>
              <w:rPr>
                <w:sz w:val="10"/>
                <w:szCs w:val="10"/>
                <w:color w:val="auto"/>
              </w:rPr>
            </w:pPr>
          </w:p>
        </w:tc>
      </w:tr>
      <w:tr>
        <w:trPr>
          <w:trHeight w:val="192"/>
        </w:trPr>
        <w:tc>
          <w:tcPr>
            <w:tcW w:w="3060" w:type="dxa"/>
            <w:vAlign w:val="bottom"/>
          </w:tcPr>
          <w:p>
            <w:pPr>
              <w:jc w:val="center"/>
              <w:ind w:right="706"/>
              <w:spacing w:after="0"/>
              <w:rPr>
                <w:sz w:val="20"/>
                <w:szCs w:val="20"/>
                <w:color w:val="auto"/>
              </w:rPr>
            </w:pPr>
            <w:r>
              <w:rPr>
                <w:rFonts w:ascii="Arial" w:cs="Arial" w:eastAsia="Arial" w:hAnsi="Arial"/>
                <w:sz w:val="15"/>
                <w:szCs w:val="15"/>
                <w:b w:val="1"/>
                <w:bCs w:val="1"/>
                <w:color w:val="auto"/>
                <w:w w:val="89"/>
              </w:rPr>
              <w:t>Tel: (415) 773-5700</w:t>
            </w:r>
          </w:p>
        </w:tc>
        <w:tc>
          <w:tcPr>
            <w:tcW w:w="378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191770</wp:posOffset>
            </wp:positionV>
            <wp:extent cx="1193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1"/>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 statement.</w:t>
      </w:r>
    </w:p>
    <w:p>
      <w:pPr>
        <w:spacing w:after="0" w:line="153" w:lineRule="exact"/>
        <w:rPr>
          <w:sz w:val="24"/>
          <w:szCs w:val="24"/>
          <w:color w:val="auto"/>
        </w:rPr>
      </w:pPr>
    </w:p>
    <w:p>
      <w:pPr>
        <w:ind w:left="1"/>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172" w:lineRule="exact"/>
        <w:rPr>
          <w:sz w:val="24"/>
          <w:szCs w:val="24"/>
          <w:color w:val="auto"/>
        </w:rPr>
      </w:pPr>
    </w:p>
    <w:p>
      <w:pPr>
        <w:ind w:left="1" w:right="20"/>
        <w:spacing w:after="0" w:line="262"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left="1" w:right="240"/>
        <w:spacing w:after="0" w:line="262"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left="1" w:right="220"/>
        <w:spacing w:after="0" w:line="262"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left="1" w:right="140"/>
        <w:spacing w:after="0" w:line="301" w:lineRule="auto"/>
        <w:rPr>
          <w:sz w:val="20"/>
          <w:szCs w:val="20"/>
          <w:color w:val="auto"/>
        </w:rPr>
      </w:pPr>
      <w:r>
        <w:rPr>
          <w:rFonts w:ascii="Arial" w:cs="Arial" w:eastAsia="Arial" w:hAnsi="Arial"/>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5"/>
          <w:szCs w:val="15"/>
          <w:color w:val="auto"/>
        </w:rPr>
        <w:t>“</w:t>
      </w:r>
      <w:r>
        <w:rPr>
          <w:rFonts w:ascii="Arial" w:cs="Arial" w:eastAsia="Arial" w:hAnsi="Arial"/>
          <w:sz w:val="14"/>
          <w:szCs w:val="14"/>
          <w:color w:val="auto"/>
        </w:rPr>
        <w:t>large accelerated filer,</w:t>
      </w:r>
      <w:r>
        <w:rPr>
          <w:rFonts w:ascii="Arial" w:cs="Arial" w:eastAsia="Arial" w:hAnsi="Arial"/>
          <w:sz w:val="15"/>
          <w:szCs w:val="15"/>
          <w:color w:val="auto"/>
        </w:rPr>
        <w:t>” “</w:t>
      </w:r>
      <w:r>
        <w:rPr>
          <w:rFonts w:ascii="Arial" w:cs="Arial" w:eastAsia="Arial" w:hAnsi="Arial"/>
          <w:sz w:val="14"/>
          <w:szCs w:val="14"/>
          <w:color w:val="auto"/>
        </w:rPr>
        <w:t>accelerated filer,</w:t>
      </w:r>
      <w:r>
        <w:rPr>
          <w:rFonts w:ascii="Arial" w:cs="Arial" w:eastAsia="Arial" w:hAnsi="Arial"/>
          <w:sz w:val="15"/>
          <w:szCs w:val="15"/>
          <w:color w:val="auto"/>
        </w:rPr>
        <w:t>” “</w:t>
      </w:r>
      <w:r>
        <w:rPr>
          <w:rFonts w:ascii="Arial" w:cs="Arial" w:eastAsia="Arial" w:hAnsi="Arial"/>
          <w:sz w:val="14"/>
          <w:szCs w:val="14"/>
          <w:color w:val="auto"/>
        </w:rPr>
        <w:t>smaller reporting company,</w:t>
      </w:r>
      <w:r>
        <w:rPr>
          <w:rFonts w:ascii="Arial" w:cs="Arial" w:eastAsia="Arial" w:hAnsi="Arial"/>
          <w:sz w:val="15"/>
          <w:szCs w:val="15"/>
          <w:color w:val="auto"/>
        </w:rPr>
        <w:t>”</w:t>
      </w:r>
      <w:r>
        <w:rPr>
          <w:rFonts w:ascii="Arial" w:cs="Arial" w:eastAsia="Arial" w:hAnsi="Arial"/>
          <w:sz w:val="14"/>
          <w:szCs w:val="14"/>
          <w:color w:val="auto"/>
        </w:rPr>
        <w:t xml:space="preserve"> and </w:t>
      </w:r>
      <w:r>
        <w:rPr>
          <w:rFonts w:ascii="Arial" w:cs="Arial" w:eastAsia="Arial" w:hAnsi="Arial"/>
          <w:sz w:val="15"/>
          <w:szCs w:val="15"/>
          <w:color w:val="auto"/>
        </w:rPr>
        <w:t>“</w:t>
      </w:r>
      <w:r>
        <w:rPr>
          <w:rFonts w:ascii="Arial" w:cs="Arial" w:eastAsia="Arial" w:hAnsi="Arial"/>
          <w:sz w:val="14"/>
          <w:szCs w:val="14"/>
          <w:color w:val="auto"/>
        </w:rPr>
        <w:t>emerging growth company</w:t>
      </w:r>
      <w:r>
        <w:rPr>
          <w:rFonts w:ascii="Arial" w:cs="Arial" w:eastAsia="Arial" w:hAnsi="Arial"/>
          <w:sz w:val="15"/>
          <w:szCs w:val="15"/>
          <w:color w:val="auto"/>
        </w:rPr>
        <w:t>”</w:t>
      </w:r>
      <w:r>
        <w:rPr>
          <w:rFonts w:ascii="Arial" w:cs="Arial" w:eastAsia="Arial" w:hAnsi="Arial"/>
          <w:sz w:val="14"/>
          <w:szCs w:val="14"/>
          <w:color w:val="auto"/>
        </w:rPr>
        <w:t xml:space="preserve"> in Rule 12b-2 of the Exchange Act.</w:t>
      </w:r>
    </w:p>
    <w:p>
      <w:pPr>
        <w:spacing w:after="0" w:line="138" w:lineRule="exact"/>
        <w:rPr>
          <w:sz w:val="24"/>
          <w:szCs w:val="24"/>
          <w:color w:val="auto"/>
        </w:rPr>
      </w:pPr>
    </w:p>
    <w:tbl>
      <w:tblPr>
        <w:tblLayout w:type="fixed"/>
        <w:tblInd w:w="21"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00" w:type="dxa"/>
            <w:vAlign w:val="bottom"/>
          </w:tcPr>
          <w:p>
            <w:pPr>
              <w:ind w:left="440"/>
              <w:spacing w:after="0"/>
              <w:rPr>
                <w:sz w:val="20"/>
                <w:szCs w:val="20"/>
                <w:color w:val="auto"/>
              </w:rPr>
            </w:pPr>
            <w:r>
              <w:rPr>
                <w:rFonts w:ascii="Arial" w:cs="Arial" w:eastAsia="Arial" w:hAnsi="Arial"/>
                <w:sz w:val="15"/>
                <w:szCs w:val="15"/>
                <w:color w:val="auto"/>
              </w:rPr>
              <w:t>o</w:t>
            </w:r>
          </w:p>
        </w:tc>
        <w:tc>
          <w:tcPr>
            <w:tcW w:w="4160" w:type="dxa"/>
            <w:vAlign w:val="bottom"/>
          </w:tcPr>
          <w:p>
            <w:pPr>
              <w:ind w:left="2240"/>
              <w:spacing w:after="0"/>
              <w:rPr>
                <w:sz w:val="20"/>
                <w:szCs w:val="20"/>
                <w:color w:val="auto"/>
              </w:rPr>
            </w:pPr>
            <w:r>
              <w:rPr>
                <w:rFonts w:ascii="Arial" w:cs="Arial" w:eastAsia="Arial" w:hAnsi="Arial"/>
                <w:sz w:val="15"/>
                <w:szCs w:val="15"/>
                <w:color w:val="auto"/>
              </w:rPr>
              <w:t>Accelerated filer</w:t>
            </w:r>
          </w:p>
        </w:tc>
        <w:tc>
          <w:tcPr>
            <w:tcW w:w="440" w:type="dxa"/>
            <w:vAlign w:val="bottom"/>
          </w:tcPr>
          <w:p>
            <w:pPr>
              <w:ind w:left="300"/>
              <w:spacing w:after="0"/>
              <w:rPr>
                <w:sz w:val="20"/>
                <w:szCs w:val="20"/>
                <w:color w:val="auto"/>
              </w:rPr>
            </w:pPr>
            <w:r>
              <w:rPr>
                <w:rFonts w:ascii="Arial" w:cs="Arial" w:eastAsia="Arial" w:hAnsi="Arial"/>
                <w:sz w:val="15"/>
                <w:szCs w:val="15"/>
                <w:color w:val="auto"/>
              </w:rPr>
              <w:t>o</w:t>
            </w:r>
          </w:p>
        </w:tc>
      </w:tr>
      <w:tr>
        <w:trPr>
          <w:trHeight w:val="223"/>
        </w:trPr>
        <w:tc>
          <w:tcPr>
            <w:tcW w:w="1760" w:type="dxa"/>
            <w:vAlign w:val="bottom"/>
          </w:tcPr>
          <w:p>
            <w:pPr>
              <w:spacing w:after="0"/>
              <w:rPr>
                <w:sz w:val="20"/>
                <w:szCs w:val="20"/>
                <w:color w:val="auto"/>
              </w:rPr>
            </w:pPr>
            <w:r>
              <w:rPr>
                <w:rFonts w:ascii="Arial" w:cs="Arial" w:eastAsia="Arial" w:hAnsi="Arial"/>
                <w:sz w:val="15"/>
                <w:szCs w:val="15"/>
                <w:color w:val="auto"/>
              </w:rPr>
              <w:t>Non-accelerated filer</w:t>
            </w:r>
          </w:p>
        </w:tc>
        <w:tc>
          <w:tcPr>
            <w:tcW w:w="2800" w:type="dxa"/>
            <w:vAlign w:val="bottom"/>
          </w:tcPr>
          <w:p>
            <w:pPr>
              <w:ind w:left="44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4160" w:type="dxa"/>
            <w:vAlign w:val="bottom"/>
          </w:tcPr>
          <w:p>
            <w:pPr>
              <w:ind w:left="2240"/>
              <w:spacing w:after="0"/>
              <w:rPr>
                <w:sz w:val="20"/>
                <w:szCs w:val="20"/>
                <w:color w:val="auto"/>
              </w:rPr>
            </w:pPr>
            <w:r>
              <w:rPr>
                <w:rFonts w:ascii="Arial" w:cs="Arial" w:eastAsia="Arial" w:hAnsi="Arial"/>
                <w:sz w:val="15"/>
                <w:szCs w:val="15"/>
                <w:color w:val="auto"/>
              </w:rPr>
              <w:t>Smaller reporting company</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highlight w:val="black"/>
                <w:w w:val="79"/>
              </w:rPr>
              <w:t>☐</w:t>
            </w:r>
          </w:p>
        </w:tc>
      </w:tr>
      <w:tr>
        <w:trPr>
          <w:trHeight w:val="232"/>
        </w:trPr>
        <w:tc>
          <w:tcPr>
            <w:tcW w:w="17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160" w:type="dxa"/>
            <w:vAlign w:val="bottom"/>
          </w:tcPr>
          <w:p>
            <w:pPr>
              <w:ind w:left="2240"/>
              <w:spacing w:after="0"/>
              <w:rPr>
                <w:sz w:val="20"/>
                <w:szCs w:val="20"/>
                <w:color w:val="auto"/>
              </w:rPr>
            </w:pPr>
            <w:r>
              <w:rPr>
                <w:rFonts w:ascii="Arial" w:cs="Arial" w:eastAsia="Arial" w:hAnsi="Arial"/>
                <w:sz w:val="15"/>
                <w:szCs w:val="15"/>
                <w:color w:val="auto"/>
              </w:rPr>
              <w:t>Emerging growth company</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highlight w:val="black"/>
                <w:w w:val="79"/>
              </w:rPr>
              <w:t>☒</w:t>
            </w:r>
          </w:p>
        </w:tc>
      </w:tr>
    </w:tbl>
    <w:p>
      <w:pPr>
        <w:spacing w:after="0" w:line="216" w:lineRule="exact"/>
        <w:rPr>
          <w:sz w:val="24"/>
          <w:szCs w:val="24"/>
          <w:color w:val="auto"/>
        </w:rPr>
      </w:pPr>
    </w:p>
    <w:p>
      <w:pPr>
        <w:ind w:left="1" w:right="240"/>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127000</wp:posOffset>
            </wp:positionV>
            <wp:extent cx="1193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166" w:lineRule="exact"/>
        <w:rPr>
          <w:sz w:val="24"/>
          <w:szCs w:val="24"/>
          <w:color w:val="auto"/>
        </w:rPr>
      </w:pPr>
    </w:p>
    <w:tbl>
      <w:tblPr>
        <w:tblLayout w:type="fixed"/>
        <w:tblInd w:w="1" w:type="dxa"/>
        <w:tblCellMar>
          <w:top w:w="0" w:type="dxa"/>
          <w:left w:w="0" w:type="dxa"/>
          <w:bottom w:w="0" w:type="dxa"/>
          <w:right w:w="0" w:type="dxa"/>
        </w:tblCellMar>
      </w:tblPr>
      <w:tr>
        <w:trPr>
          <w:trHeight w:val="124"/>
        </w:trPr>
        <w:tc>
          <w:tcPr>
            <w:tcW w:w="8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 of</w:t>
            </w:r>
          </w:p>
        </w:tc>
        <w:tc>
          <w:tcPr>
            <w:tcW w:w="1240" w:type="dxa"/>
            <w:vAlign w:val="bottom"/>
            <w:tcBorders>
              <w:top w:val="single" w:sz="8" w:color="auto"/>
              <w:right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87"/>
              </w:rPr>
              <w:t>Proposed Maximum</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6"/>
              </w:rPr>
              <w:t>Amount of</w:t>
            </w:r>
          </w:p>
        </w:tc>
        <w:tc>
          <w:tcPr>
            <w:tcW w:w="0" w:type="dxa"/>
            <w:vAlign w:val="bottom"/>
          </w:tcPr>
          <w:p>
            <w:pPr>
              <w:spacing w:after="0"/>
              <w:rPr>
                <w:sz w:val="1"/>
                <w:szCs w:val="1"/>
                <w:color w:val="auto"/>
              </w:rPr>
            </w:pPr>
          </w:p>
        </w:tc>
      </w:tr>
      <w:tr>
        <w:trPr>
          <w:trHeight w:val="111"/>
        </w:trPr>
        <w:tc>
          <w:tcPr>
            <w:tcW w:w="88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87"/>
              </w:rPr>
              <w:t>Aggregate Offering</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8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Securities to be Registered</w:t>
            </w:r>
          </w:p>
        </w:tc>
        <w:tc>
          <w:tcPr>
            <w:tcW w:w="124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8"/>
                <w:szCs w:val="18"/>
                <w:b w:val="1"/>
                <w:bCs w:val="1"/>
                <w:color w:val="auto"/>
                <w:w w:val="94"/>
                <w:vertAlign w:val="subscript"/>
              </w:rPr>
              <w:t>Price</w:t>
            </w:r>
            <w:r>
              <w:rPr>
                <w:rFonts w:ascii="Arial" w:cs="Arial" w:eastAsia="Arial" w:hAnsi="Arial"/>
                <w:sz w:val="7"/>
                <w:szCs w:val="7"/>
                <w:b w:val="1"/>
                <w:bCs w:val="1"/>
                <w:color w:val="auto"/>
                <w:w w:val="94"/>
              </w:rPr>
              <w:t>(1)(2)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Registration Fee</w:t>
            </w:r>
            <w:r>
              <w:rPr>
                <w:rFonts w:ascii="Arial" w:cs="Arial" w:eastAsia="Arial" w:hAnsi="Arial"/>
                <w:sz w:val="14"/>
                <w:szCs w:val="14"/>
                <w:b w:val="1"/>
                <w:bCs w:val="1"/>
                <w:color w:val="auto"/>
                <w:w w:val="85"/>
                <w:vertAlign w:val="superscript"/>
              </w:rPr>
              <w:t>(2)</w:t>
            </w:r>
          </w:p>
        </w:tc>
        <w:tc>
          <w:tcPr>
            <w:tcW w:w="0" w:type="dxa"/>
            <w:vAlign w:val="bottom"/>
          </w:tcPr>
          <w:p>
            <w:pPr>
              <w:spacing w:after="0"/>
              <w:rPr>
                <w:sz w:val="1"/>
                <w:szCs w:val="1"/>
                <w:color w:val="auto"/>
              </w:rPr>
            </w:pPr>
          </w:p>
        </w:tc>
      </w:tr>
      <w:tr>
        <w:trPr>
          <w:trHeight w:val="197"/>
        </w:trPr>
        <w:tc>
          <w:tcPr>
            <w:tcW w:w="88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Class A common stock, par value $0.0001 per share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$288,190,000</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8"/>
              </w:rPr>
              <w:t>$26,716</w:t>
            </w:r>
          </w:p>
        </w:tc>
        <w:tc>
          <w:tcPr>
            <w:tcW w:w="0" w:type="dxa"/>
            <w:vAlign w:val="bottom"/>
          </w:tcPr>
          <w:p>
            <w:pPr>
              <w:spacing w:after="0"/>
              <w:rPr>
                <w:sz w:val="1"/>
                <w:szCs w:val="1"/>
                <w:color w:val="auto"/>
              </w:rPr>
            </w:pPr>
          </w:p>
        </w:tc>
      </w:tr>
      <w:tr>
        <w:trPr>
          <w:trHeight w:val="166"/>
        </w:trPr>
        <w:tc>
          <w:tcPr>
            <w:tcW w:w="88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4"/>
          <w:szCs w:val="24"/>
          <w:color w:val="auto"/>
        </w:rPr>
      </w:pPr>
    </w:p>
    <w:p>
      <w:pPr>
        <w:sectPr>
          <w:pgSz w:w="11900" w:h="16838" w:orient="portrait"/>
          <w:cols w:equalWidth="0" w:num="1">
            <w:col w:w="11241"/>
          </w:cols>
          <w:pgMar w:left="319" w:top="820" w:right="339" w:bottom="0" w:gutter="0" w:footer="0" w:header="0"/>
        </w:sectPr>
      </w:pPr>
    </w:p>
    <w:p>
      <w:pPr>
        <w:ind w:left="281" w:hanging="281"/>
        <w:spacing w:after="0"/>
        <w:tabs>
          <w:tab w:leader="none" w:pos="281"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additional shares that the underwriters have the option to purchase.</w:t>
      </w:r>
    </w:p>
    <w:p>
      <w:pPr>
        <w:spacing w:after="0" w:line="8" w:lineRule="exact"/>
        <w:rPr>
          <w:rFonts w:ascii="Arial" w:cs="Arial" w:eastAsia="Arial" w:hAnsi="Arial"/>
          <w:sz w:val="13"/>
          <w:szCs w:val="13"/>
          <w:color w:val="auto"/>
        </w:rPr>
      </w:pPr>
    </w:p>
    <w:p>
      <w:pPr>
        <w:ind w:left="281" w:hanging="281"/>
        <w:spacing w:after="0"/>
        <w:tabs>
          <w:tab w:leader="none" w:pos="281"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amount of the registration fee in accordance with Rule 457(o) of the Securities Act of 1933, as amended.</w:t>
      </w:r>
    </w:p>
    <w:p>
      <w:pPr>
        <w:sectPr>
          <w:pgSz w:w="11900" w:h="16838" w:orient="portrait"/>
          <w:cols w:equalWidth="0" w:num="1">
            <w:col w:w="11241"/>
          </w:cols>
          <w:pgMar w:left="319" w:top="820" w:right="339" w:bottom="0" w:gutter="0" w:footer="0" w:header="0"/>
          <w:type w:val="continuous"/>
        </w:sectPr>
      </w:pPr>
    </w:p>
    <w:bookmarkStart w:id="1" w:name="page2"/>
    <w:bookmarkEnd w:id="1"/>
    <w:p>
      <w:pPr>
        <w:jc w:val="both"/>
        <w:spacing w:after="0" w:line="312"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3177540</wp:posOffset>
            </wp:positionH>
            <wp:positionV relativeFrom="page">
              <wp:posOffset>135890</wp:posOffset>
            </wp:positionV>
            <wp:extent cx="11931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3165" cy="762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401955</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71437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 w:name="page3"/>
    <w:bookmarkEnd w:id="2"/>
    <w:p>
      <w:pPr>
        <w:jc w:val="center"/>
        <w:ind w:left="320" w:right="40"/>
        <w:spacing w:after="0" w:line="328" w:lineRule="auto"/>
        <w:rPr>
          <w:sz w:val="20"/>
          <w:szCs w:val="20"/>
          <w:color w:val="auto"/>
        </w:rPr>
      </w:pPr>
      <w:r>
        <w:rPr>
          <w:rFonts w:ascii="Arial" w:cs="Arial" w:eastAsia="Arial" w:hAnsi="Arial"/>
          <w:sz w:val="11"/>
          <w:szCs w:val="11"/>
          <w:b w:val="1"/>
          <w:bCs w:val="1"/>
          <w:color w:val="F1665F"/>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jc w:val="center"/>
        <w:spacing w:after="0"/>
        <w:rPr>
          <w:sz w:val="20"/>
          <w:szCs w:val="20"/>
          <w:color w:val="auto"/>
        </w:rPr>
      </w:pPr>
      <w:r>
        <w:rPr>
          <w:rFonts w:ascii="Arial" w:cs="Arial" w:eastAsia="Arial" w:hAnsi="Arial"/>
          <w:sz w:val="13"/>
          <w:szCs w:val="13"/>
          <w:b w:val="1"/>
          <w:bCs w:val="1"/>
          <w:color w:val="F1665F"/>
        </w:rPr>
        <w:t>SUBJECT TO COMPLETION, DATED NOVEMBER 15, 2021.</w:t>
      </w:r>
    </w:p>
    <w:p>
      <w:pPr>
        <w:spacing w:after="0" w:line="42" w:lineRule="exact"/>
        <w:rPr>
          <w:sz w:val="20"/>
          <w:szCs w:val="20"/>
          <w:color w:val="auto"/>
        </w:rPr>
      </w:pPr>
    </w:p>
    <w:p>
      <w:pPr>
        <w:ind w:left="4761"/>
        <w:spacing w:after="0"/>
        <w:rPr>
          <w:sz w:val="20"/>
          <w:szCs w:val="20"/>
          <w:color w:val="auto"/>
        </w:rPr>
      </w:pPr>
      <w:r>
        <w:rPr>
          <w:rFonts w:ascii="Arial" w:cs="Arial" w:eastAsia="Arial" w:hAnsi="Arial"/>
          <w:sz w:val="30"/>
          <w:szCs w:val="30"/>
          <w:b w:val="1"/>
          <w:bCs w:val="1"/>
          <w:color w:val="auto"/>
        </w:rPr>
        <w:t>35,000,000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48895</wp:posOffset>
            </wp:positionV>
            <wp:extent cx="1412875" cy="761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2875" cy="76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69215</wp:posOffset>
            </wp:positionV>
            <wp:extent cx="13188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21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We are offering 35,000,000 shares of our Class A common stock.</w:t>
      </w:r>
    </w:p>
    <w:p>
      <w:pPr>
        <w:spacing w:after="0" w:line="63" w:lineRule="exact"/>
        <w:rPr>
          <w:sz w:val="20"/>
          <w:szCs w:val="20"/>
          <w:color w:val="auto"/>
        </w:rPr>
      </w:pPr>
    </w:p>
    <w:p>
      <w:pPr>
        <w:ind w:left="301"/>
        <w:spacing w:after="0"/>
        <w:rPr>
          <w:sz w:val="20"/>
          <w:szCs w:val="20"/>
          <w:color w:val="auto"/>
        </w:rPr>
      </w:pPr>
      <w:r>
        <w:rPr>
          <w:rFonts w:ascii="Arial" w:cs="Arial" w:eastAsia="Arial" w:hAnsi="Arial"/>
          <w:sz w:val="16"/>
          <w:szCs w:val="16"/>
          <w:color w:val="auto"/>
        </w:rPr>
        <w:t>Our Class A common stock is listed on the Nasdaq Global Select Market (the “Nasdaq”) under the symbol “CLOV.”</w:t>
      </w:r>
    </w:p>
    <w:p>
      <w:pPr>
        <w:spacing w:after="0" w:line="63" w:lineRule="exact"/>
        <w:rPr>
          <w:sz w:val="20"/>
          <w:szCs w:val="20"/>
          <w:color w:val="auto"/>
        </w:rPr>
      </w:pPr>
    </w:p>
    <w:p>
      <w:pPr>
        <w:ind w:left="1" w:right="40" w:firstLine="297"/>
        <w:spacing w:after="0" w:line="260" w:lineRule="auto"/>
        <w:rPr>
          <w:sz w:val="20"/>
          <w:szCs w:val="20"/>
          <w:color w:val="auto"/>
        </w:rPr>
      </w:pPr>
      <w:r>
        <w:rPr>
          <w:rFonts w:ascii="Arial" w:cs="Arial" w:eastAsia="Arial" w:hAnsi="Arial"/>
          <w:sz w:val="16"/>
          <w:szCs w:val="16"/>
          <w:color w:val="auto"/>
        </w:rPr>
        <w:t>The market prices and trading volume of our shares of Class A common stock have experienced, and may continue to experience, extreme volatility, which could cause purchasers of our Class A common stock to incur substantial losses. During 2021 to date, the market price of our Class A common stock has fluctuated from an intra-day low of $6.31 per share on March 5, 2021 to an intra-day high of $28.85 per share on June 9, 2021, with the most extreme fluctuations occurring between June 4, 2021 and July 6, 2021. The last reported sale price of our Class A common stock on the Nasdaq on November 12, 2021, was $7.16 per share. During 2021 to date, according to Nasdaq, daily trading volume ranged from approximately 3,472,300 to 735,483,700 shares. The extreme fluctuations in the market price of our Class A common stock have been accompanied by reports of strong and substantially increased retail investor interest, including on social media and online forums. While the market price of our Class A common stock may respond to developments regarding operating performance and prospects, expansion plans, developments regarding our participation in direct contracting, the impacts of COVID-19 on utilization of healthcare services, and developments regarding our industry, we believe that the extreme volatility we experienced in recent periods reflects market and trading dynamics unrelated to our underlying business, or macro or industry fundamentals, and we do not know if these dynamics will return or how long they will last if they return. Under these circumstances, we caution you against investing in our Class A common stock, unless you are prepared to incur the risk of losing all or a substantial portion of your investment. See “Risk Factors — Risks Related to Ownership of our Securities and this Offering.”</w:t>
      </w:r>
    </w:p>
    <w:p>
      <w:pPr>
        <w:spacing w:after="0" w:line="31" w:lineRule="exact"/>
        <w:rPr>
          <w:sz w:val="20"/>
          <w:szCs w:val="20"/>
          <w:color w:val="auto"/>
        </w:rPr>
      </w:pPr>
    </w:p>
    <w:p>
      <w:pPr>
        <w:ind w:left="1" w:right="500" w:firstLine="297"/>
        <w:spacing w:after="0" w:line="290"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and, as such, have elected to comply with certain reduced disclosure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55245</wp:posOffset>
            </wp:positionV>
            <wp:extent cx="13188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199" w:lineRule="exact"/>
        <w:rPr>
          <w:sz w:val="20"/>
          <w:szCs w:val="20"/>
          <w:color w:val="auto"/>
        </w:rPr>
      </w:pPr>
    </w:p>
    <w:p>
      <w:pPr>
        <w:ind w:left="301"/>
        <w:spacing w:after="0"/>
        <w:rPr>
          <w:sz w:val="20"/>
          <w:szCs w:val="20"/>
          <w:color w:val="auto"/>
        </w:rPr>
      </w:pPr>
      <w:r>
        <w:rPr>
          <w:rFonts w:ascii="Arial" w:cs="Arial" w:eastAsia="Arial" w:hAnsi="Arial"/>
          <w:sz w:val="16"/>
          <w:szCs w:val="16"/>
          <w:b w:val="1"/>
          <w:bCs w:val="1"/>
          <w:color w:val="auto"/>
        </w:rPr>
        <w:t>Investing in our Class A common stock involves a high degree of risk. See “Risk Factors</w:t>
      </w:r>
      <w:r>
        <w:rPr>
          <w:rFonts w:ascii="Arial" w:cs="Arial" w:eastAsia="Arial" w:hAnsi="Arial"/>
          <w:sz w:val="16"/>
          <w:szCs w:val="16"/>
          <w:color w:val="auto"/>
        </w:rPr>
        <w:t>”</w:t>
      </w:r>
      <w:r>
        <w:rPr>
          <w:rFonts w:ascii="Arial" w:cs="Arial" w:eastAsia="Arial" w:hAnsi="Arial"/>
          <w:sz w:val="16"/>
          <w:szCs w:val="16"/>
          <w:b w:val="1"/>
          <w:bCs w:val="1"/>
          <w:color w:val="auto"/>
        </w:rPr>
        <w:t xml:space="preserve"> beginning on page 14.</w:t>
      </w:r>
    </w:p>
    <w:p>
      <w:pPr>
        <w:spacing w:after="0" w:line="52" w:lineRule="exact"/>
        <w:rPr>
          <w:sz w:val="20"/>
          <w:szCs w:val="20"/>
          <w:color w:val="auto"/>
        </w:rPr>
      </w:pPr>
    </w:p>
    <w:p>
      <w:pPr>
        <w:ind w:left="8881"/>
        <w:spacing w:after="0"/>
        <w:tabs>
          <w:tab w:leader="none" w:pos="10421" w:val="left"/>
        </w:tabs>
        <w:rPr>
          <w:sz w:val="20"/>
          <w:szCs w:val="20"/>
          <w:color w:val="auto"/>
        </w:rPr>
      </w:pPr>
      <w:r>
        <w:rPr>
          <w:rFonts w:ascii="Arial" w:cs="Arial" w:eastAsia="Arial" w:hAnsi="Arial"/>
          <w:sz w:val="12"/>
          <w:szCs w:val="12"/>
          <w:b w:val="1"/>
          <w:bCs w:val="1"/>
          <w:color w:val="auto"/>
        </w:rPr>
        <w:t>Per Share</w:t>
      </w:r>
      <w:r>
        <w:rPr>
          <w:sz w:val="20"/>
          <w:szCs w:val="20"/>
          <w:color w:val="auto"/>
        </w:rPr>
        <w:tab/>
      </w:r>
      <w:r>
        <w:rPr>
          <w:rFonts w:ascii="Arial" w:cs="Arial" w:eastAsia="Arial" w:hAnsi="Arial"/>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5361940</wp:posOffset>
            </wp:positionH>
            <wp:positionV relativeFrom="paragraph">
              <wp:posOffset>16510</wp:posOffset>
            </wp:positionV>
            <wp:extent cx="17818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1810" cy="7620"/>
                    </a:xfrm>
                    <a:prstGeom prst="rect">
                      <a:avLst/>
                    </a:prstGeom>
                    <a:noFill/>
                  </pic:spPr>
                </pic:pic>
              </a:graphicData>
            </a:graphic>
          </wp:anchor>
        </w:drawing>
      </w:r>
    </w:p>
    <w:p>
      <w:pPr>
        <w:spacing w:after="0" w:line="35" w:lineRule="exact"/>
        <w:rPr>
          <w:sz w:val="20"/>
          <w:szCs w:val="20"/>
          <w:color w:val="auto"/>
        </w:rPr>
      </w:pPr>
    </w:p>
    <w:p>
      <w:pPr>
        <w:ind w:left="8461"/>
        <w:spacing w:after="0"/>
        <w:tabs>
          <w:tab w:leader="none" w:pos="9881"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ind w:left="21"/>
        <w:spacing w:after="0"/>
        <w:rPr>
          <w:sz w:val="20"/>
          <w:szCs w:val="20"/>
          <w:color w:val="auto"/>
        </w:rPr>
      </w:pPr>
      <w:r>
        <w:rPr>
          <w:rFonts w:ascii="Arial" w:cs="Arial" w:eastAsia="Arial" w:hAnsi="Arial"/>
          <w:sz w:val="15"/>
          <w:szCs w:val="15"/>
          <w:color w:val="auto"/>
        </w:rPr>
        <w:t>Public offering price</w:t>
      </w:r>
    </w:p>
    <w:p>
      <w:pPr>
        <w:spacing w:after="0" w:line="23" w:lineRule="exact"/>
        <w:rPr>
          <w:sz w:val="20"/>
          <w:szCs w:val="20"/>
          <w:color w:val="auto"/>
        </w:rPr>
      </w:pPr>
    </w:p>
    <w:p>
      <w:pPr>
        <w:ind w:left="8461"/>
        <w:spacing w:after="0"/>
        <w:tabs>
          <w:tab w:leader="none" w:pos="9881"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ind w:left="21"/>
        <w:spacing w:after="0" w:line="234" w:lineRule="auto"/>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19"/>
          <w:szCs w:val="19"/>
          <w:color w:val="auto"/>
          <w:vertAlign w:val="superscript"/>
        </w:rPr>
        <w:t>(1)</w:t>
      </w:r>
    </w:p>
    <w:p>
      <w:pPr>
        <w:ind w:left="8461"/>
        <w:spacing w:after="0" w:line="224" w:lineRule="auto"/>
        <w:tabs>
          <w:tab w:leader="none" w:pos="9881"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ind w:left="21"/>
        <w:spacing w:after="0"/>
        <w:rPr>
          <w:sz w:val="20"/>
          <w:szCs w:val="20"/>
          <w:color w:val="auto"/>
        </w:rPr>
      </w:pPr>
      <w:r>
        <w:rPr>
          <w:rFonts w:ascii="Arial" w:cs="Arial" w:eastAsia="Arial" w:hAnsi="Arial"/>
          <w:sz w:val="15"/>
          <w:szCs w:val="15"/>
          <w:color w:val="auto"/>
        </w:rPr>
        <w:t>Proceeds, before expenses, to us</w:t>
      </w:r>
    </w:p>
    <w:p>
      <w:pPr>
        <w:spacing w:after="0" w:line="8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281" w:hanging="281"/>
        <w:spacing w:after="0"/>
        <w:tabs>
          <w:tab w:leader="none" w:pos="281"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w:t>
      </w:r>
      <w:r>
        <w:rPr>
          <w:rFonts w:ascii="Arial" w:cs="Arial" w:eastAsia="Arial" w:hAnsi="Arial"/>
          <w:sz w:val="16"/>
          <w:szCs w:val="16"/>
          <w:color w:val="auto"/>
        </w:rPr>
        <w:t>”</w:t>
      </w:r>
      <w:r>
        <w:rPr>
          <w:rFonts w:ascii="Arial" w:cs="Arial" w:eastAsia="Arial" w:hAnsi="Arial"/>
          <w:sz w:val="13"/>
          <w:szCs w:val="13"/>
          <w:color w:val="auto"/>
        </w:rPr>
        <w:t xml:space="preserve"> for additional disclosure regarding the underwriting discounts and commissions and estimated offering expenses.</w:t>
      </w:r>
    </w:p>
    <w:p>
      <w:pPr>
        <w:spacing w:after="0" w:line="50" w:lineRule="exact"/>
        <w:rPr>
          <w:sz w:val="20"/>
          <w:szCs w:val="20"/>
          <w:color w:val="auto"/>
        </w:rPr>
      </w:pPr>
    </w:p>
    <w:p>
      <w:pPr>
        <w:ind w:left="1" w:right="500" w:firstLine="297"/>
        <w:spacing w:after="0" w:line="290" w:lineRule="auto"/>
        <w:rPr>
          <w:sz w:val="20"/>
          <w:szCs w:val="20"/>
          <w:color w:val="auto"/>
        </w:rPr>
      </w:pPr>
      <w:r>
        <w:rPr>
          <w:rFonts w:ascii="Arial" w:cs="Arial" w:eastAsia="Arial" w:hAnsi="Arial"/>
          <w:sz w:val="16"/>
          <w:szCs w:val="16"/>
          <w:color w:val="auto"/>
        </w:rPr>
        <w:t>We have granted the underwriters the right to purchase up to an additional 5,250,000 shares of Class A common stock from us at the public offering price, less underwriting discounts and commissions.</w:t>
      </w:r>
    </w:p>
    <w:p>
      <w:pPr>
        <w:ind w:left="1" w:right="20" w:firstLine="297"/>
        <w:spacing w:after="0" w:line="264" w:lineRule="auto"/>
        <w:rPr>
          <w:sz w:val="20"/>
          <w:szCs w:val="20"/>
          <w:color w:val="auto"/>
        </w:rPr>
      </w:pPr>
      <w:r>
        <w:rPr>
          <w:rFonts w:ascii="Arial" w:cs="Arial" w:eastAsia="Arial" w:hAnsi="Arial"/>
          <w:sz w:val="16"/>
          <w:szCs w:val="16"/>
          <w:color w:val="auto"/>
        </w:rPr>
        <w:t>One or more entities affiliated with Social Capital, an affiliate of our predecessor legal entity’s sponsor and of controlling persons of a beneficial owner of more than 10% of our Class A common stock (the “Prospective Investors”), have indicated an interest in purchasing up to $10.0 million of our Class A common stock offered in this offering at the public offering price. Because this indication of interest is not a binding agreement or commitment to purchase, the Prospective Investors may determine to purchase more, fewer or no shares in this offering, or the underwriters may determine to sell more, fewer or no shares to the Prospective Investors. The underwriters would receive the same discount from any of our shares of Class A common stock purchased by the Prospective Investors as they would from any other shares of Class A common stock sold to the public in this offering.</w:t>
      </w:r>
    </w:p>
    <w:p>
      <w:pPr>
        <w:spacing w:after="0" w:line="22" w:lineRule="exact"/>
        <w:rPr>
          <w:sz w:val="20"/>
          <w:szCs w:val="20"/>
          <w:color w:val="auto"/>
        </w:rPr>
      </w:pPr>
    </w:p>
    <w:tbl>
      <w:tblPr>
        <w:tblLayout w:type="fixed"/>
        <w:tblInd w:w="301" w:type="dxa"/>
        <w:tblCellMar>
          <w:top w:w="0" w:type="dxa"/>
          <w:left w:w="0" w:type="dxa"/>
          <w:bottom w:w="0" w:type="dxa"/>
          <w:right w:w="0" w:type="dxa"/>
        </w:tblCellMar>
      </w:tblPr>
      <w:tr>
        <w:trPr>
          <w:trHeight w:val="209"/>
        </w:trPr>
        <w:tc>
          <w:tcPr>
            <w:tcW w:w="6340" w:type="dxa"/>
            <w:vAlign w:val="bottom"/>
          </w:tcPr>
          <w:p>
            <w:pPr>
              <w:spacing w:after="0"/>
              <w:rPr>
                <w:sz w:val="20"/>
                <w:szCs w:val="20"/>
                <w:color w:val="auto"/>
              </w:rPr>
            </w:pPr>
            <w:r>
              <w:rPr>
                <w:rFonts w:ascii="Arial" w:cs="Arial" w:eastAsia="Arial" w:hAnsi="Arial"/>
                <w:sz w:val="16"/>
                <w:szCs w:val="16"/>
                <w:color w:val="auto"/>
                <w:w w:val="99"/>
              </w:rPr>
              <w:t>The underwriters expect to deliver the shares against payment in New York, New York on</w:t>
            </w:r>
          </w:p>
        </w:tc>
        <w:tc>
          <w:tcPr>
            <w:tcW w:w="86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34" w:lineRule="exact"/>
        <w:rPr>
          <w:sz w:val="20"/>
          <w:szCs w:val="20"/>
          <w:color w:val="auto"/>
        </w:rPr>
      </w:pPr>
    </w:p>
    <w:p>
      <w:pPr>
        <w:ind w:left="1" w:right="180" w:firstLine="297"/>
        <w:spacing w:after="0" w:line="29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21590</wp:posOffset>
            </wp:positionV>
            <wp:extent cx="13188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8895" cy="7620"/>
                    </a:xfrm>
                    <a:prstGeom prst="rect">
                      <a:avLst/>
                    </a:prstGeom>
                    <a:noFill/>
                  </pic:spPr>
                </pic:pic>
              </a:graphicData>
            </a:graphic>
          </wp:anchor>
        </w:drawing>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300"/>
        </w:trPr>
        <w:tc>
          <w:tcPr>
            <w:tcW w:w="3340" w:type="dxa"/>
            <w:vAlign w:val="bottom"/>
          </w:tcPr>
          <w:p>
            <w:pPr>
              <w:ind w:left="20"/>
              <w:spacing w:after="0"/>
              <w:rPr>
                <w:sz w:val="20"/>
                <w:szCs w:val="20"/>
                <w:color w:val="auto"/>
              </w:rPr>
            </w:pPr>
            <w:r>
              <w:rPr>
                <w:rFonts w:ascii="Arial" w:cs="Arial" w:eastAsia="Arial" w:hAnsi="Arial"/>
                <w:sz w:val="23"/>
                <w:szCs w:val="23"/>
                <w:b w:val="1"/>
                <w:bCs w:val="1"/>
                <w:color w:val="auto"/>
              </w:rPr>
              <w:t>Citigroup</w:t>
            </w:r>
          </w:p>
        </w:tc>
        <w:tc>
          <w:tcPr>
            <w:tcW w:w="7900" w:type="dxa"/>
            <w:vAlign w:val="bottom"/>
          </w:tcPr>
          <w:p>
            <w:pPr>
              <w:jc w:val="right"/>
              <w:spacing w:after="0"/>
              <w:rPr>
                <w:sz w:val="20"/>
                <w:szCs w:val="20"/>
                <w:color w:val="auto"/>
              </w:rPr>
            </w:pPr>
            <w:r>
              <w:rPr>
                <w:rFonts w:ascii="Arial" w:cs="Arial" w:eastAsia="Arial" w:hAnsi="Arial"/>
                <w:sz w:val="23"/>
                <w:szCs w:val="23"/>
                <w:b w:val="1"/>
                <w:bCs w:val="1"/>
                <w:color w:val="auto"/>
              </w:rPr>
              <w:t>Deutsche Bank Securities</w:t>
            </w:r>
          </w:p>
        </w:tc>
      </w:tr>
      <w:tr>
        <w:trPr>
          <w:trHeight w:val="433"/>
        </w:trPr>
        <w:tc>
          <w:tcPr>
            <w:tcW w:w="3340" w:type="dxa"/>
            <w:vAlign w:val="bottom"/>
          </w:tcPr>
          <w:p>
            <w:pPr>
              <w:ind w:left="20"/>
              <w:spacing w:after="0"/>
              <w:rPr>
                <w:sz w:val="20"/>
                <w:szCs w:val="20"/>
                <w:color w:val="auto"/>
              </w:rPr>
            </w:pPr>
            <w:r>
              <w:rPr>
                <w:rFonts w:ascii="Arial" w:cs="Arial" w:eastAsia="Arial" w:hAnsi="Arial"/>
                <w:sz w:val="23"/>
                <w:szCs w:val="23"/>
                <w:b w:val="1"/>
                <w:bCs w:val="1"/>
                <w:color w:val="auto"/>
              </w:rPr>
              <w:t>SVB Leerink</w:t>
            </w:r>
          </w:p>
        </w:tc>
        <w:tc>
          <w:tcPr>
            <w:tcW w:w="7900" w:type="dxa"/>
            <w:vAlign w:val="bottom"/>
          </w:tcPr>
          <w:p>
            <w:pPr>
              <w:jc w:val="right"/>
              <w:spacing w:after="0"/>
              <w:rPr>
                <w:sz w:val="20"/>
                <w:szCs w:val="20"/>
                <w:color w:val="auto"/>
              </w:rPr>
            </w:pPr>
            <w:r>
              <w:rPr>
                <w:rFonts w:ascii="Arial" w:cs="Arial" w:eastAsia="Arial" w:hAnsi="Arial"/>
                <w:sz w:val="23"/>
                <w:szCs w:val="23"/>
                <w:b w:val="1"/>
                <w:bCs w:val="1"/>
                <w:color w:val="auto"/>
              </w:rPr>
              <w:t>Canaccord Genuity</w:t>
            </w:r>
          </w:p>
        </w:tc>
      </w:tr>
      <w:tr>
        <w:trPr>
          <w:trHeight w:val="497"/>
        </w:trPr>
        <w:tc>
          <w:tcPr>
            <w:tcW w:w="3340" w:type="dxa"/>
            <w:vAlign w:val="bottom"/>
          </w:tcPr>
          <w:p>
            <w:pPr>
              <w:spacing w:after="0"/>
              <w:rPr>
                <w:sz w:val="24"/>
                <w:szCs w:val="24"/>
                <w:color w:val="auto"/>
              </w:rPr>
            </w:pPr>
          </w:p>
        </w:tc>
        <w:tc>
          <w:tcPr>
            <w:tcW w:w="7900" w:type="dxa"/>
            <w:vAlign w:val="bottom"/>
          </w:tcPr>
          <w:p>
            <w:pPr>
              <w:jc w:val="right"/>
              <w:ind w:right="5250"/>
              <w:spacing w:after="0"/>
              <w:rPr>
                <w:sz w:val="20"/>
                <w:szCs w:val="20"/>
                <w:color w:val="auto"/>
              </w:rPr>
            </w:pPr>
            <w:r>
              <w:rPr>
                <w:rFonts w:ascii="Arial" w:cs="Arial" w:eastAsia="Arial" w:hAnsi="Arial"/>
                <w:sz w:val="20"/>
                <w:szCs w:val="20"/>
                <w:color w:val="auto"/>
              </w:rPr>
              <w:t>, 2021</w:t>
            </w:r>
          </w:p>
        </w:tc>
      </w:tr>
      <w:tr>
        <w:trPr>
          <w:trHeight w:val="318"/>
        </w:trPr>
        <w:tc>
          <w:tcPr>
            <w:tcW w:w="33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1"/>
          </w:cols>
          <w:pgMar w:left="319" w:top="490" w:right="339" w:bottom="1440" w:gutter="0" w:footer="0" w:header="0"/>
        </w:sectPr>
      </w:pPr>
    </w:p>
    <w:bookmarkStart w:id="3" w:name="page4"/>
    <w:bookmarkEnd w:id="3"/>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80" w:type="dxa"/>
            <w:vAlign w:val="bottom"/>
            <w:gridSpan w:val="5"/>
          </w:tcPr>
          <w:p>
            <w:pPr>
              <w:jc w:val="center"/>
              <w:ind w:right="1840"/>
              <w:spacing w:after="0"/>
              <w:rPr>
                <w:sz w:val="20"/>
                <w:szCs w:val="20"/>
                <w:color w:val="auto"/>
              </w:rPr>
            </w:pPr>
            <w:r>
              <w:rPr>
                <w:rFonts w:ascii="Arial" w:cs="Arial" w:eastAsia="Arial" w:hAnsi="Arial"/>
                <w:sz w:val="16"/>
                <w:szCs w:val="16"/>
                <w:b w:val="1"/>
                <w:bCs w:val="1"/>
                <w:color w:val="auto"/>
              </w:rPr>
              <w:t>TABLE OF CONTENTS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6"/>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40" w:type="dxa"/>
            <w:vAlign w:val="bottom"/>
            <w:gridSpan w:val="4"/>
          </w:tcPr>
          <w:p>
            <w:pPr>
              <w:jc w:val="center"/>
              <w:ind w:right="3480"/>
              <w:spacing w:after="0"/>
              <w:rPr>
                <w:sz w:val="20"/>
                <w:szCs w:val="20"/>
                <w:color w:val="auto"/>
              </w:rPr>
            </w:pPr>
            <w:r>
              <w:rPr>
                <w:rFonts w:ascii="Arial" w:cs="Arial" w:eastAsia="Arial" w:hAnsi="Arial"/>
                <w:sz w:val="16"/>
                <w:szCs w:val="16"/>
                <w:b w:val="1"/>
                <w:bCs w:val="1"/>
                <w:color w:val="auto"/>
                <w:w w:val="87"/>
              </w:rPr>
              <w:t>Prospectus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8"/>
        </w:trPr>
        <w:tc>
          <w:tcPr>
            <w:tcW w:w="2880" w:type="dxa"/>
            <w:vAlign w:val="bottom"/>
            <w:tcBorders>
              <w:bottom w:val="single" w:sz="8" w:color="0000FF"/>
            </w:tcBorders>
            <w:gridSpan w:val="17"/>
          </w:tcPr>
          <w:p>
            <w:pPr>
              <w:spacing w:after="0"/>
              <w:rPr>
                <w:rFonts w:ascii="Arial" w:cs="Arial" w:eastAsia="Arial" w:hAnsi="Arial"/>
                <w:sz w:val="16"/>
                <w:szCs w:val="16"/>
                <w:color w:val="0000FF"/>
                <w:w w:val="98"/>
              </w:rPr>
            </w:pPr>
            <w:hyperlink w:anchor="page4">
              <w:r>
                <w:rPr>
                  <w:rFonts w:ascii="Arial" w:cs="Arial" w:eastAsia="Arial" w:hAnsi="Arial"/>
                  <w:sz w:val="16"/>
                  <w:szCs w:val="16"/>
                  <w:color w:val="0000FF"/>
                  <w:w w:val="98"/>
                </w:rPr>
                <w:t>LETTER FROM CLOVER’S FOUNDERS</w:t>
              </w:r>
            </w:hyperlink>
          </w:p>
        </w:tc>
        <w:tc>
          <w:tcPr>
            <w:tcW w:w="6680" w:type="dxa"/>
            <w:vAlign w:val="bottom"/>
            <w:gridSpan w:val="7"/>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ii</w:t>
              </w:r>
            </w:hyperlink>
          </w:p>
        </w:tc>
      </w:tr>
      <w:tr>
        <w:trPr>
          <w:trHeight w:val="190"/>
        </w:trPr>
        <w:tc>
          <w:tcPr>
            <w:tcW w:w="9560" w:type="dxa"/>
            <w:vAlign w:val="bottom"/>
            <w:gridSpan w:val="2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PROSPECTUS SUMMARY</w:t>
              </w:r>
            </w:hyperlink>
          </w:p>
        </w:tc>
        <w:tc>
          <w:tcPr>
            <w:tcW w:w="1660" w:type="dxa"/>
            <w:vAlign w:val="bottom"/>
            <w:gridSpan w:val="2"/>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1</w:t>
              </w:r>
            </w:hyperlink>
          </w:p>
        </w:tc>
      </w:tr>
      <w:tr>
        <w:trPr>
          <w:trHeight w:val="20"/>
        </w:trPr>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5300" w:type="dxa"/>
            <w:vAlign w:val="bottom"/>
            <w:tcBorders>
              <w:bottom w:val="single" w:sz="8" w:color="0000FF"/>
            </w:tcBorders>
            <w:gridSpan w:val="22"/>
          </w:tcPr>
          <w:p>
            <w:pPr>
              <w:spacing w:after="0"/>
              <w:rPr>
                <w:rFonts w:ascii="Arial" w:cs="Arial" w:eastAsia="Arial" w:hAnsi="Arial"/>
                <w:sz w:val="16"/>
                <w:szCs w:val="16"/>
                <w:color w:val="0000FF"/>
                <w:w w:val="99"/>
              </w:rPr>
            </w:pPr>
            <w:hyperlink w:anchor="page16">
              <w:r>
                <w:rPr>
                  <w:rFonts w:ascii="Arial" w:cs="Arial" w:eastAsia="Arial" w:hAnsi="Arial"/>
                  <w:sz w:val="16"/>
                  <w:szCs w:val="16"/>
                  <w:color w:val="0000FF"/>
                  <w:w w:val="99"/>
                </w:rPr>
                <w:t>CAUTIONARY NOTE REGARDING FORWARD-LOOKING STATEMENTS</w:t>
              </w:r>
            </w:hyperlink>
          </w:p>
        </w:tc>
        <w:tc>
          <w:tcPr>
            <w:tcW w:w="4260" w:type="dxa"/>
            <w:vAlign w:val="bottom"/>
            <w:gridSpan w:val="2"/>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6">
              <w:r>
                <w:rPr>
                  <w:rFonts w:ascii="Arial" w:cs="Arial" w:eastAsia="Arial" w:hAnsi="Arial"/>
                  <w:sz w:val="16"/>
                  <w:szCs w:val="16"/>
                  <w:color w:val="auto"/>
                </w:rPr>
                <w:t>12</w:t>
              </w:r>
            </w:hyperlink>
          </w:p>
        </w:tc>
      </w:tr>
      <w:tr>
        <w:trPr>
          <w:trHeight w:val="190"/>
        </w:trPr>
        <w:tc>
          <w:tcPr>
            <w:tcW w:w="1140" w:type="dxa"/>
            <w:vAlign w:val="bottom"/>
            <w:tcBorders>
              <w:bottom w:val="single" w:sz="8" w:color="0000FF"/>
            </w:tcBorders>
            <w:gridSpan w:val="4"/>
          </w:tcPr>
          <w:p>
            <w:pPr>
              <w:spacing w:after="0"/>
              <w:rPr>
                <w:rFonts w:ascii="Arial" w:cs="Arial" w:eastAsia="Arial" w:hAnsi="Arial"/>
                <w:sz w:val="16"/>
                <w:szCs w:val="16"/>
                <w:color w:val="0000FF"/>
                <w:w w:val="94"/>
              </w:rPr>
            </w:pPr>
            <w:hyperlink w:anchor="page18">
              <w:r>
                <w:rPr>
                  <w:rFonts w:ascii="Arial" w:cs="Arial" w:eastAsia="Arial" w:hAnsi="Arial"/>
                  <w:sz w:val="16"/>
                  <w:szCs w:val="16"/>
                  <w:color w:val="0000FF"/>
                  <w:w w:val="94"/>
                </w:rPr>
                <w:t>RISK FACTORS</w:t>
              </w:r>
            </w:hyperlink>
          </w:p>
        </w:tc>
        <w:tc>
          <w:tcPr>
            <w:tcW w:w="8420" w:type="dxa"/>
            <w:vAlign w:val="bottom"/>
            <w:gridSpan w:val="20"/>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14</w:t>
              </w:r>
            </w:hyperlink>
          </w:p>
        </w:tc>
      </w:tr>
      <w:tr>
        <w:trPr>
          <w:trHeight w:val="190"/>
        </w:trPr>
        <w:tc>
          <w:tcPr>
            <w:tcW w:w="9560" w:type="dxa"/>
            <w:vAlign w:val="bottom"/>
            <w:gridSpan w:val="24"/>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MARKET AND INDUSTRY DATA</w:t>
              </w:r>
            </w:hyperlink>
          </w:p>
        </w:tc>
        <w:tc>
          <w:tcPr>
            <w:tcW w:w="1660" w:type="dxa"/>
            <w:vAlign w:val="bottom"/>
            <w:gridSpan w:val="2"/>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61</w:t>
              </w:r>
            </w:hyperlink>
          </w:p>
        </w:tc>
      </w:tr>
      <w:tr>
        <w:trPr>
          <w:trHeight w:val="190"/>
        </w:trPr>
        <w:tc>
          <w:tcPr>
            <w:tcW w:w="146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3"/>
              </w:rPr>
            </w:pPr>
            <w:hyperlink w:anchor="page66">
              <w:r>
                <w:rPr>
                  <w:rFonts w:ascii="Arial" w:cs="Arial" w:eastAsia="Arial" w:hAnsi="Arial"/>
                  <w:sz w:val="16"/>
                  <w:szCs w:val="16"/>
                  <w:color w:val="0000FF"/>
                  <w:w w:val="93"/>
                </w:rPr>
                <w:t>USE OF PROCEEDS</w:t>
              </w:r>
            </w:hyperlink>
          </w:p>
        </w:tc>
        <w:tc>
          <w:tcPr>
            <w:tcW w:w="960" w:type="dxa"/>
            <w:vAlign w:val="bottom"/>
            <w:tcBorders>
              <w:top w:val="single" w:sz="8" w:color="0000FF"/>
            </w:tcBorders>
            <w:gridSpan w:val="5"/>
          </w:tcPr>
          <w:p>
            <w:pPr>
              <w:spacing w:after="0"/>
              <w:rPr>
                <w:sz w:val="16"/>
                <w:szCs w:val="16"/>
                <w:color w:val="auto"/>
              </w:rPr>
            </w:pPr>
          </w:p>
        </w:tc>
        <w:tc>
          <w:tcPr>
            <w:tcW w:w="7140" w:type="dxa"/>
            <w:vAlign w:val="bottom"/>
            <w:gridSpan w:val="9"/>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62</w:t>
              </w:r>
            </w:hyperlink>
          </w:p>
        </w:tc>
      </w:tr>
      <w:tr>
        <w:trPr>
          <w:trHeight w:val="190"/>
        </w:trPr>
        <w:tc>
          <w:tcPr>
            <w:tcW w:w="1340" w:type="dxa"/>
            <w:vAlign w:val="bottom"/>
            <w:tcBorders>
              <w:bottom w:val="single" w:sz="8" w:color="0000FF"/>
            </w:tcBorders>
            <w:gridSpan w:val="8"/>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CAPITALIZATION</w:t>
              </w:r>
            </w:hyperlink>
          </w:p>
        </w:tc>
        <w:tc>
          <w:tcPr>
            <w:tcW w:w="8220" w:type="dxa"/>
            <w:vAlign w:val="bottom"/>
            <w:gridSpan w:val="16"/>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63</w:t>
              </w:r>
            </w:hyperlink>
          </w:p>
        </w:tc>
      </w:tr>
      <w:tr>
        <w:trPr>
          <w:trHeight w:val="190"/>
        </w:trPr>
        <w:tc>
          <w:tcPr>
            <w:tcW w:w="800" w:type="dxa"/>
            <w:vAlign w:val="bottom"/>
            <w:tcBorders>
              <w:bottom w:val="single" w:sz="8" w:color="0000FF"/>
            </w:tcBorders>
            <w:gridSpan w:val="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DILUTION</w:t>
              </w:r>
            </w:hyperlink>
          </w:p>
        </w:tc>
        <w:tc>
          <w:tcPr>
            <w:tcW w:w="8760" w:type="dxa"/>
            <w:vAlign w:val="bottom"/>
            <w:gridSpan w:val="21"/>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69">
              <w:r>
                <w:rPr>
                  <w:rFonts w:ascii="Arial" w:cs="Arial" w:eastAsia="Arial" w:hAnsi="Arial"/>
                  <w:sz w:val="16"/>
                  <w:szCs w:val="16"/>
                  <w:color w:val="auto"/>
                </w:rPr>
                <w:t>65</w:t>
              </w:r>
            </w:hyperlink>
          </w:p>
        </w:tc>
      </w:tr>
      <w:tr>
        <w:trPr>
          <w:trHeight w:val="190"/>
        </w:trPr>
        <w:tc>
          <w:tcPr>
            <w:tcW w:w="1440" w:type="dxa"/>
            <w:vAlign w:val="bottom"/>
            <w:tcBorders>
              <w:bottom w:val="single" w:sz="8" w:color="0000FF"/>
            </w:tcBorders>
            <w:gridSpan w:val="9"/>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DIVIDEND POLICY</w:t>
              </w:r>
            </w:hyperlink>
          </w:p>
        </w:tc>
        <w:tc>
          <w:tcPr>
            <w:tcW w:w="8120" w:type="dxa"/>
            <w:vAlign w:val="bottom"/>
            <w:gridSpan w:val="15"/>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67</w:t>
              </w:r>
            </w:hyperlink>
          </w:p>
        </w:tc>
      </w:tr>
      <w:tr>
        <w:trPr>
          <w:trHeight w:val="190"/>
        </w:trPr>
        <w:tc>
          <w:tcPr>
            <w:tcW w:w="8160" w:type="dxa"/>
            <w:vAlign w:val="bottom"/>
            <w:tcBorders>
              <w:bottom w:val="single" w:sz="8" w:color="0000FF"/>
            </w:tcBorders>
            <w:gridSpan w:val="23"/>
          </w:tcPr>
          <w:p>
            <w:pPr>
              <w:spacing w:after="0"/>
              <w:rPr>
                <w:rFonts w:ascii="Arial" w:cs="Arial" w:eastAsia="Arial" w:hAnsi="Arial"/>
                <w:sz w:val="16"/>
                <w:szCs w:val="16"/>
                <w:color w:val="0000FF"/>
                <w:w w:val="99"/>
              </w:rPr>
            </w:pPr>
            <w:hyperlink w:anchor="page72">
              <w:r>
                <w:rPr>
                  <w:rFonts w:ascii="Arial" w:cs="Arial" w:eastAsia="Arial" w:hAnsi="Arial"/>
                  <w:sz w:val="16"/>
                  <w:szCs w:val="16"/>
                  <w:color w:val="0000FF"/>
                  <w:w w:val="99"/>
                </w:rPr>
                <w:t>MANAGEMENT’S DISCUSSION AND ANALYSIS OF FINANCIAL CONDITION AND RESULTS OF OPERATIONS</w:t>
              </w:r>
            </w:hyperlink>
          </w:p>
        </w:tc>
        <w:tc>
          <w:tcPr>
            <w:tcW w:w="1400" w:type="dxa"/>
            <w:vAlign w:val="bottom"/>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72">
              <w:r>
                <w:rPr>
                  <w:rFonts w:ascii="Arial" w:cs="Arial" w:eastAsia="Arial" w:hAnsi="Arial"/>
                  <w:sz w:val="16"/>
                  <w:szCs w:val="16"/>
                  <w:color w:val="auto"/>
                </w:rPr>
                <w:t>68</w:t>
              </w:r>
            </w:hyperlink>
          </w:p>
        </w:tc>
      </w:tr>
      <w:tr>
        <w:trPr>
          <w:trHeight w:val="190"/>
        </w:trPr>
        <w:tc>
          <w:tcPr>
            <w:tcW w:w="78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101">
              <w:r>
                <w:rPr>
                  <w:rFonts w:ascii="Arial" w:cs="Arial" w:eastAsia="Arial" w:hAnsi="Arial"/>
                  <w:sz w:val="16"/>
                  <w:szCs w:val="16"/>
                  <w:color w:val="0000FF"/>
                  <w:w w:val="93"/>
                </w:rPr>
                <w:t>BUSINESS</w:t>
              </w:r>
            </w:hyperlink>
          </w:p>
        </w:tc>
        <w:tc>
          <w:tcPr>
            <w:tcW w:w="8780" w:type="dxa"/>
            <w:vAlign w:val="bottom"/>
            <w:gridSpan w:val="22"/>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01">
              <w:r>
                <w:rPr>
                  <w:rFonts w:ascii="Arial" w:cs="Arial" w:eastAsia="Arial" w:hAnsi="Arial"/>
                  <w:sz w:val="16"/>
                  <w:szCs w:val="16"/>
                  <w:color w:val="auto"/>
                </w:rPr>
                <w:t>97</w:t>
              </w:r>
            </w:hyperlink>
          </w:p>
        </w:tc>
      </w:tr>
      <w:tr>
        <w:trPr>
          <w:trHeight w:val="190"/>
        </w:trPr>
        <w:tc>
          <w:tcPr>
            <w:tcW w:w="9560" w:type="dxa"/>
            <w:vAlign w:val="bottom"/>
            <w:gridSpan w:val="24"/>
          </w:tcPr>
          <w:p>
            <w:pPr>
              <w:spacing w:after="0"/>
              <w:rPr>
                <w:rFonts w:ascii="Arial" w:cs="Arial" w:eastAsia="Arial" w:hAnsi="Arial"/>
                <w:sz w:val="16"/>
                <w:szCs w:val="16"/>
                <w:color w:val="0000FF"/>
              </w:rPr>
            </w:pPr>
            <w:hyperlink w:anchor="page121">
              <w:r>
                <w:rPr>
                  <w:rFonts w:ascii="Arial" w:cs="Arial" w:eastAsia="Arial" w:hAnsi="Arial"/>
                  <w:sz w:val="16"/>
                  <w:szCs w:val="16"/>
                  <w:color w:val="0000FF"/>
                </w:rPr>
                <w:t>MANAGEMENT</w:t>
              </w:r>
            </w:hyperlink>
          </w:p>
        </w:tc>
        <w:tc>
          <w:tcPr>
            <w:tcW w:w="1660" w:type="dxa"/>
            <w:vAlign w:val="bottom"/>
            <w:gridSpan w:val="2"/>
          </w:tcPr>
          <w:p>
            <w:pPr>
              <w:jc w:val="right"/>
              <w:spacing w:after="0"/>
              <w:rPr>
                <w:rFonts w:ascii="Arial" w:cs="Arial" w:eastAsia="Arial" w:hAnsi="Arial"/>
                <w:sz w:val="16"/>
                <w:szCs w:val="16"/>
                <w:color w:val="auto"/>
              </w:rPr>
            </w:pPr>
            <w:hyperlink w:anchor="page121">
              <w:r>
                <w:rPr>
                  <w:rFonts w:ascii="Arial" w:cs="Arial" w:eastAsia="Arial" w:hAnsi="Arial"/>
                  <w:sz w:val="16"/>
                  <w:szCs w:val="16"/>
                  <w:color w:val="auto"/>
                </w:rPr>
                <w:t>117</w:t>
              </w:r>
            </w:hyperlink>
          </w:p>
        </w:tc>
      </w:tr>
      <w:tr>
        <w:trPr>
          <w:trHeight w:val="20"/>
        </w:trPr>
        <w:tc>
          <w:tcPr>
            <w:tcW w:w="70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2240" w:type="dxa"/>
            <w:vAlign w:val="bottom"/>
            <w:tcBorders>
              <w:bottom w:val="single" w:sz="8" w:color="0000FF"/>
            </w:tcBorders>
            <w:gridSpan w:val="13"/>
          </w:tcPr>
          <w:p>
            <w:pPr>
              <w:spacing w:after="0"/>
              <w:rPr>
                <w:rFonts w:ascii="Arial" w:cs="Arial" w:eastAsia="Arial" w:hAnsi="Arial"/>
                <w:sz w:val="16"/>
                <w:szCs w:val="16"/>
                <w:color w:val="0000FF"/>
                <w:w w:val="98"/>
              </w:rPr>
            </w:pPr>
            <w:hyperlink w:anchor="page130">
              <w:r>
                <w:rPr>
                  <w:rFonts w:ascii="Arial" w:cs="Arial" w:eastAsia="Arial" w:hAnsi="Arial"/>
                  <w:sz w:val="16"/>
                  <w:szCs w:val="16"/>
                  <w:color w:val="0000FF"/>
                  <w:w w:val="98"/>
                </w:rPr>
                <w:t>EXECUTIVE COMPENSATION</w:t>
              </w:r>
            </w:hyperlink>
          </w:p>
        </w:tc>
        <w:tc>
          <w:tcPr>
            <w:tcW w:w="7320" w:type="dxa"/>
            <w:vAlign w:val="bottom"/>
            <w:gridSpan w:val="11"/>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30">
              <w:r>
                <w:rPr>
                  <w:rFonts w:ascii="Arial" w:cs="Arial" w:eastAsia="Arial" w:hAnsi="Arial"/>
                  <w:sz w:val="16"/>
                  <w:szCs w:val="16"/>
                  <w:color w:val="auto"/>
                </w:rPr>
                <w:t>126</w:t>
              </w:r>
            </w:hyperlink>
          </w:p>
        </w:tc>
      </w:tr>
      <w:tr>
        <w:trPr>
          <w:trHeight w:val="190"/>
        </w:trPr>
        <w:tc>
          <w:tcPr>
            <w:tcW w:w="9560" w:type="dxa"/>
            <w:vAlign w:val="bottom"/>
            <w:gridSpan w:val="24"/>
          </w:tcPr>
          <w:p>
            <w:pPr>
              <w:spacing w:after="0"/>
              <w:rPr>
                <w:rFonts w:ascii="Arial" w:cs="Arial" w:eastAsia="Arial" w:hAnsi="Arial"/>
                <w:sz w:val="16"/>
                <w:szCs w:val="16"/>
                <w:color w:val="0000FF"/>
              </w:rPr>
            </w:pPr>
            <w:hyperlink w:anchor="page152">
              <w:r>
                <w:rPr>
                  <w:rFonts w:ascii="Arial" w:cs="Arial" w:eastAsia="Arial" w:hAnsi="Arial"/>
                  <w:sz w:val="16"/>
                  <w:szCs w:val="16"/>
                  <w:color w:val="0000FF"/>
                </w:rPr>
                <w:t>CERTAIN RELATIONSHIPS AND RELATED PERSON TRANSACTIONS</w:t>
              </w:r>
            </w:hyperlink>
          </w:p>
        </w:tc>
        <w:tc>
          <w:tcPr>
            <w:tcW w:w="1660" w:type="dxa"/>
            <w:vAlign w:val="bottom"/>
            <w:gridSpan w:val="2"/>
          </w:tcPr>
          <w:p>
            <w:pPr>
              <w:jc w:val="right"/>
              <w:spacing w:after="0"/>
              <w:rPr>
                <w:rFonts w:ascii="Arial" w:cs="Arial" w:eastAsia="Arial" w:hAnsi="Arial"/>
                <w:sz w:val="16"/>
                <w:szCs w:val="16"/>
                <w:color w:val="auto"/>
              </w:rPr>
            </w:pPr>
            <w:hyperlink w:anchor="page152">
              <w:r>
                <w:rPr>
                  <w:rFonts w:ascii="Arial" w:cs="Arial" w:eastAsia="Arial" w:hAnsi="Arial"/>
                  <w:sz w:val="16"/>
                  <w:szCs w:val="16"/>
                  <w:color w:val="auto"/>
                </w:rPr>
                <w:t>148</w:t>
              </w:r>
            </w:hyperlink>
          </w:p>
        </w:tc>
      </w:tr>
      <w:tr>
        <w:trPr>
          <w:trHeight w:val="190"/>
        </w:trPr>
        <w:tc>
          <w:tcPr>
            <w:tcW w:w="5120" w:type="dxa"/>
            <w:vAlign w:val="bottom"/>
            <w:tcBorders>
              <w:top w:val="single" w:sz="8" w:color="0000FF"/>
            </w:tcBorders>
            <w:gridSpan w:val="20"/>
          </w:tcPr>
          <w:p>
            <w:pPr>
              <w:spacing w:after="0"/>
              <w:rPr>
                <w:rFonts w:ascii="Arial" w:cs="Arial" w:eastAsia="Arial" w:hAnsi="Arial"/>
                <w:sz w:val="16"/>
                <w:szCs w:val="16"/>
                <w:color w:val="0000FF"/>
              </w:rPr>
            </w:pPr>
            <w:hyperlink w:anchor="page158">
              <w:r>
                <w:rPr>
                  <w:rFonts w:ascii="Arial" w:cs="Arial" w:eastAsia="Arial" w:hAnsi="Arial"/>
                  <w:sz w:val="16"/>
                  <w:szCs w:val="16"/>
                  <w:color w:val="0000FF"/>
                </w:rPr>
                <w:t>PRINCIPAL STOCKHOLDERS</w:t>
              </w:r>
            </w:hyperlink>
          </w:p>
        </w:tc>
        <w:tc>
          <w:tcPr>
            <w:tcW w:w="4440" w:type="dxa"/>
            <w:vAlign w:val="bottom"/>
            <w:gridSpan w:val="4"/>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58">
              <w:r>
                <w:rPr>
                  <w:rFonts w:ascii="Arial" w:cs="Arial" w:eastAsia="Arial" w:hAnsi="Arial"/>
                  <w:sz w:val="16"/>
                  <w:szCs w:val="16"/>
                  <w:color w:val="auto"/>
                </w:rPr>
                <w:t>154</w:t>
              </w:r>
            </w:hyperlink>
          </w:p>
        </w:tc>
      </w:tr>
      <w:tr>
        <w:trPr>
          <w:trHeight w:val="20"/>
        </w:trPr>
        <w:tc>
          <w:tcPr>
            <w:tcW w:w="700" w:type="dxa"/>
            <w:vAlign w:val="bottom"/>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2300" w:type="dxa"/>
            <w:vAlign w:val="bottom"/>
            <w:tcBorders>
              <w:bottom w:val="single" w:sz="8" w:color="0000FF"/>
            </w:tcBorders>
            <w:gridSpan w:val="14"/>
          </w:tcPr>
          <w:p>
            <w:pPr>
              <w:spacing w:after="0"/>
              <w:rPr>
                <w:rFonts w:ascii="Arial" w:cs="Arial" w:eastAsia="Arial" w:hAnsi="Arial"/>
                <w:sz w:val="16"/>
                <w:szCs w:val="16"/>
                <w:color w:val="0000FF"/>
                <w:w w:val="96"/>
              </w:rPr>
            </w:pPr>
            <w:hyperlink w:anchor="page160">
              <w:r>
                <w:rPr>
                  <w:rFonts w:ascii="Arial" w:cs="Arial" w:eastAsia="Arial" w:hAnsi="Arial"/>
                  <w:sz w:val="16"/>
                  <w:szCs w:val="16"/>
                  <w:color w:val="0000FF"/>
                  <w:w w:val="96"/>
                </w:rPr>
                <w:t>DESCRIPTION OF SECURITIES</w:t>
              </w:r>
            </w:hyperlink>
          </w:p>
        </w:tc>
        <w:tc>
          <w:tcPr>
            <w:tcW w:w="7260" w:type="dxa"/>
            <w:vAlign w:val="bottom"/>
            <w:gridSpan w:val="10"/>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60">
              <w:r>
                <w:rPr>
                  <w:rFonts w:ascii="Arial" w:cs="Arial" w:eastAsia="Arial" w:hAnsi="Arial"/>
                  <w:sz w:val="16"/>
                  <w:szCs w:val="16"/>
                  <w:color w:val="auto"/>
                </w:rPr>
                <w:t>156</w:t>
              </w:r>
            </w:hyperlink>
          </w:p>
        </w:tc>
      </w:tr>
      <w:tr>
        <w:trPr>
          <w:trHeight w:val="190"/>
        </w:trPr>
        <w:tc>
          <w:tcPr>
            <w:tcW w:w="9560" w:type="dxa"/>
            <w:vAlign w:val="bottom"/>
            <w:gridSpan w:val="24"/>
          </w:tcPr>
          <w:p>
            <w:pPr>
              <w:spacing w:after="0"/>
              <w:rPr>
                <w:rFonts w:ascii="Arial" w:cs="Arial" w:eastAsia="Arial" w:hAnsi="Arial"/>
                <w:sz w:val="16"/>
                <w:szCs w:val="16"/>
                <w:color w:val="0000FF"/>
              </w:rPr>
            </w:pPr>
            <w:hyperlink w:anchor="page165">
              <w:r>
                <w:rPr>
                  <w:rFonts w:ascii="Arial" w:cs="Arial" w:eastAsia="Arial" w:hAnsi="Arial"/>
                  <w:sz w:val="16"/>
                  <w:szCs w:val="16"/>
                  <w:color w:val="0000FF"/>
                </w:rPr>
                <w:t>SHARES ELIGIBLE FOR FUTURE SALE</w:t>
              </w:r>
            </w:hyperlink>
          </w:p>
        </w:tc>
        <w:tc>
          <w:tcPr>
            <w:tcW w:w="1660" w:type="dxa"/>
            <w:vAlign w:val="bottom"/>
            <w:gridSpan w:val="2"/>
          </w:tcPr>
          <w:p>
            <w:pPr>
              <w:jc w:val="right"/>
              <w:spacing w:after="0"/>
              <w:rPr>
                <w:rFonts w:ascii="Arial" w:cs="Arial" w:eastAsia="Arial" w:hAnsi="Arial"/>
                <w:sz w:val="16"/>
                <w:szCs w:val="16"/>
                <w:color w:val="auto"/>
              </w:rPr>
            </w:pPr>
            <w:hyperlink w:anchor="page165">
              <w:r>
                <w:rPr>
                  <w:rFonts w:ascii="Arial" w:cs="Arial" w:eastAsia="Arial" w:hAnsi="Arial"/>
                  <w:sz w:val="16"/>
                  <w:szCs w:val="16"/>
                  <w:color w:val="auto"/>
                </w:rPr>
                <w:t>161</w:t>
              </w:r>
            </w:hyperlink>
          </w:p>
        </w:tc>
      </w:tr>
      <w:tr>
        <w:trPr>
          <w:trHeight w:val="20"/>
        </w:trPr>
        <w:tc>
          <w:tcPr>
            <w:tcW w:w="700" w:type="dxa"/>
            <w:vAlign w:val="bottom"/>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9"/>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9560" w:type="dxa"/>
            <w:vAlign w:val="bottom"/>
            <w:gridSpan w:val="24"/>
          </w:tcPr>
          <w:p>
            <w:pPr>
              <w:spacing w:after="0"/>
              <w:rPr>
                <w:rFonts w:ascii="Arial" w:cs="Arial" w:eastAsia="Arial" w:hAnsi="Arial"/>
                <w:sz w:val="16"/>
                <w:szCs w:val="16"/>
                <w:color w:val="0000FF"/>
              </w:rPr>
            </w:pPr>
            <w:hyperlink w:anchor="page167">
              <w:r>
                <w:rPr>
                  <w:rFonts w:ascii="Arial" w:cs="Arial" w:eastAsia="Arial" w:hAnsi="Arial"/>
                  <w:sz w:val="16"/>
                  <w:szCs w:val="16"/>
                  <w:color w:val="0000FF"/>
                </w:rPr>
                <w:t>CERTAIN UNITED STATES FEDERAL INCOME TAX CONSIDERATIONS</w:t>
              </w:r>
            </w:hyperlink>
          </w:p>
        </w:tc>
        <w:tc>
          <w:tcPr>
            <w:tcW w:w="1660" w:type="dxa"/>
            <w:vAlign w:val="bottom"/>
            <w:gridSpan w:val="2"/>
          </w:tcPr>
          <w:p>
            <w:pPr>
              <w:jc w:val="right"/>
              <w:spacing w:after="0"/>
              <w:rPr>
                <w:rFonts w:ascii="Arial" w:cs="Arial" w:eastAsia="Arial" w:hAnsi="Arial"/>
                <w:sz w:val="16"/>
                <w:szCs w:val="16"/>
                <w:color w:val="auto"/>
              </w:rPr>
            </w:pPr>
            <w:hyperlink w:anchor="page167">
              <w:r>
                <w:rPr>
                  <w:rFonts w:ascii="Arial" w:cs="Arial" w:eastAsia="Arial" w:hAnsi="Arial"/>
                  <w:sz w:val="16"/>
                  <w:szCs w:val="16"/>
                  <w:color w:val="auto"/>
                </w:rPr>
                <w:t>163</w:t>
              </w:r>
            </w:hyperlink>
          </w:p>
        </w:tc>
      </w:tr>
      <w:tr>
        <w:trPr>
          <w:trHeight w:val="190"/>
        </w:trPr>
        <w:tc>
          <w:tcPr>
            <w:tcW w:w="5240" w:type="dxa"/>
            <w:vAlign w:val="bottom"/>
            <w:tcBorders>
              <w:top w:val="single" w:sz="8" w:color="0000FF"/>
            </w:tcBorders>
            <w:gridSpan w:val="21"/>
          </w:tcPr>
          <w:p>
            <w:pPr>
              <w:spacing w:after="0"/>
              <w:rPr>
                <w:rFonts w:ascii="Arial" w:cs="Arial" w:eastAsia="Arial" w:hAnsi="Arial"/>
                <w:sz w:val="16"/>
                <w:szCs w:val="16"/>
                <w:color w:val="0000FF"/>
              </w:rPr>
            </w:pPr>
            <w:hyperlink w:anchor="page171">
              <w:r>
                <w:rPr>
                  <w:rFonts w:ascii="Arial" w:cs="Arial" w:eastAsia="Arial" w:hAnsi="Arial"/>
                  <w:sz w:val="16"/>
                  <w:szCs w:val="16"/>
                  <w:color w:val="0000FF"/>
                </w:rPr>
                <w:t>UNDERWRITING</w:t>
              </w:r>
            </w:hyperlink>
          </w:p>
        </w:tc>
        <w:tc>
          <w:tcPr>
            <w:tcW w:w="4320" w:type="dxa"/>
            <w:vAlign w:val="bottom"/>
            <w:gridSpan w:val="3"/>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71">
              <w:r>
                <w:rPr>
                  <w:rFonts w:ascii="Arial" w:cs="Arial" w:eastAsia="Arial" w:hAnsi="Arial"/>
                  <w:sz w:val="16"/>
                  <w:szCs w:val="16"/>
                  <w:color w:val="auto"/>
                </w:rPr>
                <w:t>167</w:t>
              </w:r>
            </w:hyperlink>
          </w:p>
        </w:tc>
      </w:tr>
      <w:tr>
        <w:trPr>
          <w:trHeight w:val="20"/>
        </w:trPr>
        <w:tc>
          <w:tcPr>
            <w:tcW w:w="700" w:type="dxa"/>
            <w:vAlign w:val="bottom"/>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9560" w:type="dxa"/>
            <w:vAlign w:val="bottom"/>
            <w:gridSpan w:val="24"/>
          </w:tcPr>
          <w:p>
            <w:pPr>
              <w:spacing w:after="0"/>
              <w:rPr>
                <w:rFonts w:ascii="Arial" w:cs="Arial" w:eastAsia="Arial" w:hAnsi="Arial"/>
                <w:sz w:val="16"/>
                <w:szCs w:val="16"/>
                <w:color w:val="0000FF"/>
              </w:rPr>
            </w:pPr>
            <w:hyperlink w:anchor="page177">
              <w:r>
                <w:rPr>
                  <w:rFonts w:ascii="Arial" w:cs="Arial" w:eastAsia="Arial" w:hAnsi="Arial"/>
                  <w:sz w:val="16"/>
                  <w:szCs w:val="16"/>
                  <w:color w:val="0000FF"/>
                </w:rPr>
                <w:t>LEGAL MATTERS</w:t>
              </w:r>
            </w:hyperlink>
          </w:p>
        </w:tc>
        <w:tc>
          <w:tcPr>
            <w:tcW w:w="1660" w:type="dxa"/>
            <w:vAlign w:val="bottom"/>
            <w:gridSpan w:val="2"/>
          </w:tcPr>
          <w:p>
            <w:pPr>
              <w:jc w:val="right"/>
              <w:spacing w:after="0"/>
              <w:rPr>
                <w:rFonts w:ascii="Arial" w:cs="Arial" w:eastAsia="Arial" w:hAnsi="Arial"/>
                <w:sz w:val="16"/>
                <w:szCs w:val="16"/>
                <w:color w:val="auto"/>
              </w:rPr>
            </w:pPr>
            <w:hyperlink w:anchor="page177">
              <w:r>
                <w:rPr>
                  <w:rFonts w:ascii="Arial" w:cs="Arial" w:eastAsia="Arial" w:hAnsi="Arial"/>
                  <w:sz w:val="16"/>
                  <w:szCs w:val="16"/>
                  <w:color w:val="auto"/>
                </w:rPr>
                <w:t>173</w:t>
              </w:r>
            </w:hyperlink>
          </w:p>
        </w:tc>
      </w:tr>
      <w:tr>
        <w:trPr>
          <w:trHeight w:val="190"/>
        </w:trPr>
        <w:tc>
          <w:tcPr>
            <w:tcW w:w="700" w:type="dxa"/>
            <w:vAlign w:val="bottom"/>
            <w:tcBorders>
              <w:top w:val="single" w:sz="8" w:color="0000FF"/>
              <w:bottom w:val="single" w:sz="8" w:color="0000FF"/>
            </w:tcBorders>
          </w:tcPr>
          <w:p>
            <w:pPr>
              <w:spacing w:after="0"/>
              <w:rPr>
                <w:rFonts w:ascii="Arial" w:cs="Arial" w:eastAsia="Arial" w:hAnsi="Arial"/>
                <w:sz w:val="16"/>
                <w:szCs w:val="16"/>
                <w:color w:val="0000FF"/>
                <w:w w:val="90"/>
              </w:rPr>
            </w:pPr>
            <w:hyperlink w:anchor="page178">
              <w:r>
                <w:rPr>
                  <w:rFonts w:ascii="Arial" w:cs="Arial" w:eastAsia="Arial" w:hAnsi="Arial"/>
                  <w:sz w:val="16"/>
                  <w:szCs w:val="16"/>
                  <w:color w:val="0000FF"/>
                  <w:w w:val="90"/>
                </w:rPr>
                <w:t>EXPERTS</w:t>
              </w:r>
            </w:hyperlink>
          </w:p>
        </w:tc>
        <w:tc>
          <w:tcPr>
            <w:tcW w:w="620" w:type="dxa"/>
            <w:vAlign w:val="bottom"/>
            <w:tcBorders>
              <w:top w:val="single" w:sz="8" w:color="0000FF"/>
            </w:tcBorders>
            <w:gridSpan w:val="6"/>
          </w:tcPr>
          <w:p>
            <w:pPr>
              <w:spacing w:after="0"/>
              <w:rPr>
                <w:sz w:val="16"/>
                <w:szCs w:val="16"/>
                <w:color w:val="auto"/>
              </w:rPr>
            </w:pPr>
          </w:p>
        </w:tc>
        <w:tc>
          <w:tcPr>
            <w:tcW w:w="8240" w:type="dxa"/>
            <w:vAlign w:val="bottom"/>
            <w:gridSpan w:val="17"/>
          </w:tcPr>
          <w:p>
            <w:pPr>
              <w:spacing w:after="0"/>
              <w:rPr>
                <w:sz w:val="16"/>
                <w:szCs w:val="16"/>
                <w:color w:val="auto"/>
              </w:rPr>
            </w:pPr>
          </w:p>
        </w:tc>
        <w:tc>
          <w:tcPr>
            <w:tcW w:w="1660" w:type="dxa"/>
            <w:vAlign w:val="bottom"/>
            <w:gridSpan w:val="2"/>
          </w:tcPr>
          <w:p>
            <w:pPr>
              <w:jc w:val="right"/>
              <w:spacing w:after="0"/>
              <w:rPr>
                <w:rFonts w:ascii="Arial" w:cs="Arial" w:eastAsia="Arial" w:hAnsi="Arial"/>
                <w:sz w:val="16"/>
                <w:szCs w:val="16"/>
                <w:color w:val="auto"/>
              </w:rPr>
            </w:pPr>
            <w:hyperlink w:anchor="page178">
              <w:r>
                <w:rPr>
                  <w:rFonts w:ascii="Arial" w:cs="Arial" w:eastAsia="Arial" w:hAnsi="Arial"/>
                  <w:sz w:val="16"/>
                  <w:szCs w:val="16"/>
                  <w:color w:val="auto"/>
                </w:rPr>
                <w:t>173</w:t>
              </w:r>
            </w:hyperlink>
          </w:p>
        </w:tc>
      </w:tr>
      <w:tr>
        <w:trPr>
          <w:trHeight w:val="190"/>
        </w:trPr>
        <w:tc>
          <w:tcPr>
            <w:tcW w:w="9560" w:type="dxa"/>
            <w:vAlign w:val="bottom"/>
            <w:gridSpan w:val="24"/>
          </w:tcPr>
          <w:p>
            <w:pPr>
              <w:spacing w:after="0"/>
              <w:rPr>
                <w:rFonts w:ascii="Arial" w:cs="Arial" w:eastAsia="Arial" w:hAnsi="Arial"/>
                <w:sz w:val="16"/>
                <w:szCs w:val="16"/>
                <w:color w:val="0000FF"/>
              </w:rPr>
            </w:pPr>
            <w:hyperlink w:anchor="page178">
              <w:r>
                <w:rPr>
                  <w:rFonts w:ascii="Arial" w:cs="Arial" w:eastAsia="Arial" w:hAnsi="Arial"/>
                  <w:sz w:val="16"/>
                  <w:szCs w:val="16"/>
                  <w:color w:val="0000FF"/>
                </w:rPr>
                <w:t>WHERE YOU CAN FIND MORE INFORMATION</w:t>
              </w:r>
            </w:hyperlink>
          </w:p>
        </w:tc>
        <w:tc>
          <w:tcPr>
            <w:tcW w:w="1660" w:type="dxa"/>
            <w:vAlign w:val="bottom"/>
            <w:gridSpan w:val="2"/>
          </w:tcPr>
          <w:p>
            <w:pPr>
              <w:jc w:val="right"/>
              <w:spacing w:after="0"/>
              <w:rPr>
                <w:rFonts w:ascii="Arial" w:cs="Arial" w:eastAsia="Arial" w:hAnsi="Arial"/>
                <w:sz w:val="16"/>
                <w:szCs w:val="16"/>
                <w:color w:val="auto"/>
              </w:rPr>
            </w:pPr>
            <w:hyperlink w:anchor="page178">
              <w:r>
                <w:rPr>
                  <w:rFonts w:ascii="Arial" w:cs="Arial" w:eastAsia="Arial" w:hAnsi="Arial"/>
                  <w:sz w:val="16"/>
                  <w:szCs w:val="16"/>
                  <w:color w:val="auto"/>
                </w:rPr>
                <w:t>173</w:t>
              </w:r>
            </w:hyperlink>
          </w:p>
        </w:tc>
      </w:tr>
      <w:tr>
        <w:trPr>
          <w:trHeight w:val="190"/>
        </w:trPr>
        <w:tc>
          <w:tcPr>
            <w:tcW w:w="2780" w:type="dxa"/>
            <w:vAlign w:val="bottom"/>
            <w:tcBorders>
              <w:top w:val="single" w:sz="8" w:color="0000FF"/>
              <w:bottom w:val="single" w:sz="8" w:color="0000FF"/>
            </w:tcBorders>
            <w:gridSpan w:val="16"/>
          </w:tcPr>
          <w:p>
            <w:pPr>
              <w:spacing w:after="0"/>
              <w:rPr>
                <w:rFonts w:ascii="Arial" w:cs="Arial" w:eastAsia="Arial" w:hAnsi="Arial"/>
                <w:sz w:val="16"/>
                <w:szCs w:val="16"/>
                <w:color w:val="0000FF"/>
              </w:rPr>
            </w:pPr>
            <w:hyperlink w:anchor="page178">
              <w:r>
                <w:rPr>
                  <w:rFonts w:ascii="Arial" w:cs="Arial" w:eastAsia="Arial" w:hAnsi="Arial"/>
                  <w:sz w:val="16"/>
                  <w:szCs w:val="16"/>
                  <w:color w:val="0000FF"/>
                </w:rPr>
                <w:t>INDEX TO FINANCIAL STATEMENTS</w:t>
              </w:r>
            </w:hyperlink>
          </w:p>
        </w:tc>
        <w:tc>
          <w:tcPr>
            <w:tcW w:w="700" w:type="dxa"/>
            <w:vAlign w:val="bottom"/>
            <w:tcBorders>
              <w:top w:val="single" w:sz="8" w:color="0000FF"/>
            </w:tcBorders>
            <w:gridSpan w:val="3"/>
          </w:tcPr>
          <w:p>
            <w:pPr>
              <w:spacing w:after="0"/>
              <w:rPr>
                <w:sz w:val="16"/>
                <w:szCs w:val="16"/>
                <w:color w:val="auto"/>
              </w:rPr>
            </w:pPr>
          </w:p>
        </w:tc>
        <w:tc>
          <w:tcPr>
            <w:tcW w:w="6080" w:type="dxa"/>
            <w:vAlign w:val="bottom"/>
            <w:gridSpan w:val="5"/>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rFonts w:ascii="Arial" w:cs="Arial" w:eastAsia="Arial" w:hAnsi="Arial"/>
                <w:sz w:val="16"/>
                <w:szCs w:val="16"/>
                <w:color w:val="auto"/>
                <w:w w:val="91"/>
              </w:rPr>
            </w:pPr>
            <w:hyperlink w:anchor="page178">
              <w:r>
                <w:rPr>
                  <w:rFonts w:ascii="Arial" w:cs="Arial" w:eastAsia="Arial" w:hAnsi="Arial"/>
                  <w:sz w:val="16"/>
                  <w:szCs w:val="16"/>
                  <w:color w:val="auto"/>
                  <w:w w:val="91"/>
                </w:rPr>
                <w:t>F-1</w:t>
              </w:r>
            </w:hyperlink>
          </w:p>
        </w:tc>
      </w:tr>
    </w:tbl>
    <w:p>
      <w:pPr>
        <w:spacing w:after="0" w:line="243" w:lineRule="exact"/>
        <w:rPr>
          <w:sz w:val="20"/>
          <w:szCs w:val="20"/>
          <w:color w:val="auto"/>
        </w:rPr>
      </w:pPr>
    </w:p>
    <w:p>
      <w:pPr>
        <w:ind w:right="200" w:firstLine="297"/>
        <w:spacing w:after="0" w:line="267" w:lineRule="auto"/>
        <w:rPr>
          <w:sz w:val="20"/>
          <w:szCs w:val="20"/>
          <w:color w:val="auto"/>
        </w:rPr>
      </w:pPr>
      <w:r>
        <w:rPr>
          <w:rFonts w:ascii="Arial" w:cs="Arial" w:eastAsia="Arial" w:hAnsi="Arial"/>
          <w:sz w:val="16"/>
          <w:szCs w:val="16"/>
          <w:b w:val="1"/>
          <w:bCs w:val="1"/>
          <w:color w:val="auto"/>
        </w:rPr>
        <w:t>We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Letter from Clover’s Founders</w:t>
      </w:r>
    </w:p>
    <w:p>
      <w:pPr>
        <w:spacing w:after="0" w:line="166"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 xml:space="preserve">We founded Clover to </w:t>
      </w:r>
      <w:r>
        <w:rPr>
          <w:rFonts w:ascii="Arial" w:cs="Arial" w:eastAsia="Arial" w:hAnsi="Arial"/>
          <w:sz w:val="16"/>
          <w:szCs w:val="16"/>
          <w:i w:val="1"/>
          <w:iCs w:val="1"/>
          <w:color w:val="auto"/>
        </w:rPr>
        <w:t>Improve Every Life</w:t>
      </w:r>
      <w:r>
        <w:rPr>
          <w:rFonts w:ascii="Arial" w:cs="Arial" w:eastAsia="Arial" w:hAnsi="Arial"/>
          <w:sz w:val="16"/>
          <w:szCs w:val="16"/>
          <w:color w:val="auto"/>
        </w:rPr>
        <w:t xml:space="preserve"> – that’s our mission and we’re just as committed to it now as ever. Though we both came from different backgrounds, we’ve always believed that the biggest changes in the world come through aligned incentives. While other insurers pursue narrow networks and target privileged markets and demographics, our goal to transform healthcare is so ambitious that it can be achieved only by fundamentally changing the status quo. We believe we need to align incentives so that patients, physicians and society all come out ahead. And we believe that by doing that, we can build an amazing, transformative business for our employees and investors.</w:t>
      </w:r>
    </w:p>
    <w:p>
      <w:pPr>
        <w:spacing w:after="0" w:line="118"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What we didn’t foresee when we founded Clover are the challenges of navigating through a once-in-a-century global pandemic. During this period, while our overall mission and goals have not changed, our priority has been to ensure that we deliver needed care for our membership.</w:t>
      </w:r>
    </w:p>
    <w:p>
      <w:pPr>
        <w:spacing w:after="0" w:line="99"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Insurance, fundamentally, is the smoothing of risks over a period of time, and we believe that now is when our membership most urgently needs us to provide access to care. Though the federal government has not increased payments in Medicare Advantage in response to COVID, we at Clover have spent significant dollars to pay for extra, unforeseen care due to the pandemic. While this was partially offset by reduced utilization in the 2020 service year – resulting in historically low Medical Care Ratios (MCRs) – we saw this deferred care return in 2021, resulting in historically high MCRs. Overall, we see in the data that the blended average of non-COVID care over both 2020-2021 is what we would expect – meaning it is neither high nor low. However, during this same period we have rightly allocated significant funding for COVID-related care.</w:t>
      </w:r>
    </w:p>
    <w:p>
      <w:pPr>
        <w:spacing w:after="0" w:line="121"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When we became a public company at the start of 2021, with vaccines coming out, we hoped that COVID would soon be in the rearview mirror, but unfortunately that world has not materialized and there is still considerable uncertainty around the pandemic. Given this uncertainty, some might say we should batten down the hatches, slow growth of the plan, and weather out the storm. After all, why continue the rapid growth of our Medicare Advantage plans and Direct Contracting entity (DCE) while under the cloud of COVID uncertainty?</w:t>
      </w:r>
    </w:p>
    <w:p>
      <w:pPr>
        <w:spacing w:after="0" w:line="118"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However, that's not how we think. Our mission – and opportunity – is to help the most people possible, and we believe our model of data-driven personalized primary care – driven by our software platform, the Clover Assistant – is the key to truly accelerating transformation in healthcare. We intend to keep investing in growth and rapid expansion, and we will continue to pay for the needed care for our membership while we do so. We acknowledge the cloud of uncertainty from the pandemic – something that affects each and every one of us – but we see this as a one-time event to be navigated through, not a systemic change to our assumptions or approach.</w:t>
      </w:r>
    </w:p>
    <w:p>
      <w:pPr>
        <w:spacing w:after="0" w:line="100"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auto"/>
        </w:rPr>
        <w:t>That is why we are now announcing the raise of an additional tranche of capital for Clover that will help us continue to push forward our mission and take advantage of the clear growth opportunity in front of us. We recently announced a major expansion of our Medicare Advantage plan – entering 101 new counties in 2022 – and we are excited about the opportunity to bring our great plans to even more people through the ongoing Annual Enrollment Period. We recently added Direct Contracting to our business – resulting in an almost doubling of medical expenses managed by the Clover Assistant – and we are looking forward to expanding our market-leading DCE even further. And the recent upgrade of our Medicare Advantage PPO plan to 3.5 stars on the Centers for Medicare &amp; Medicaid Services Star Ratings shows our continued momentum in improving quality of care, even on a wide network.</w:t>
      </w:r>
    </w:p>
    <w:p>
      <w:pPr>
        <w:spacing w:after="0" w:line="121"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We’re incredibly proud of what we’ve achieved at Clover, and we think we’re onto a truly differentiated model. We believe our moat is wide, not only in terms of our raw technology pedigree but also, honestly, due to the failure of incumbents to see how the world could be different. In the short term, while we do anticipate continued uncertainties, we believe the fundamentals of the business are strong. We have always invested and raised capital to keep driving relentlessly to a transformative moment for healthcare, and we intend to keep doing that.</w:t>
      </w:r>
    </w:p>
    <w:p>
      <w:pPr>
        <w:spacing w:after="0" w:line="118"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Finally, to all our investors, whether you bought shares in our Series A or your first share yesterday, we thank you for your support. We believe you’ll one day look back and be proud that you were part of this journey.</w:t>
      </w:r>
    </w:p>
    <w:p>
      <w:pPr>
        <w:spacing w:after="0" w:line="3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Vivek Garipalli, Chief Executive Officer</w:t>
      </w:r>
      <w:r>
        <w:rPr>
          <w:sz w:val="20"/>
          <w:szCs w:val="20"/>
          <w:color w:val="auto"/>
        </w:rPr>
        <w:tab/>
      </w:r>
      <w:r>
        <w:rPr>
          <w:rFonts w:ascii="Arial" w:cs="Arial" w:eastAsia="Arial" w:hAnsi="Arial"/>
          <w:sz w:val="15"/>
          <w:szCs w:val="15"/>
          <w:color w:val="auto"/>
        </w:rPr>
        <w:t>Andrew Toy, President &amp; Chief Technology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560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656018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166"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i w:val="1"/>
          <w:iCs w:val="1"/>
          <w:color w:val="auto"/>
        </w:rPr>
        <w:t xml:space="preserve">The following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related notes and the sections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included elsewhere in this prospectus.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w:t>
      </w:r>
    </w:p>
    <w:p>
      <w:pPr>
        <w:spacing w:after="0" w:line="166" w:lineRule="exact"/>
        <w:rPr>
          <w:sz w:val="20"/>
          <w:szCs w:val="20"/>
          <w:color w:val="auto"/>
        </w:rPr>
      </w:pPr>
    </w:p>
    <w:p>
      <w:pPr>
        <w:ind w:right="80" w:firstLine="297"/>
        <w:spacing w:after="0" w:line="261" w:lineRule="auto"/>
        <w:rPr>
          <w:sz w:val="20"/>
          <w:szCs w:val="20"/>
          <w:color w:val="auto"/>
        </w:rPr>
      </w:pPr>
      <w:r>
        <w:rPr>
          <w:rFonts w:ascii="Arial" w:cs="Arial" w:eastAsia="Arial" w:hAnsi="Arial"/>
          <w:sz w:val="16"/>
          <w:szCs w:val="16"/>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(MA) insurer, we leverage our flagship software platform, the Clover Assistant, to provide America’s seniors with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provider (PCP) co-pays, specialist co-pays, drug deductibles and drug costs in their markets—and provide wide network access and the same cost-sharing (co-pays and deductibles) for primary care providers who are in- and out-of-network. By empowering providers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w:t>
      </w:r>
    </w:p>
    <w:p>
      <w:pPr>
        <w:spacing w:after="0" w:line="126"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The Clover Assistant was designed to enable healthcare providers to improve the care for all patients, especially at-risk populations, and this allows us to focus on driving Clover Assistant adoption as a means of growing our number of lives under management. We recently expanded into the new Global and Professional Direct Contracting Model, or the DC Model, of the Centers for Medicare &amp; Medicaid Services (CMS), enabling us to further empower healthcare providers to use the Clover Assistant when they are treating not only our MA members, whom we refer to as members, but also their patients who are enrolled in Original Medicare, which is the largest segment of Medicare. In connection with this expansion, we are continuing to form relationships with a greater number of providers, while deepening our relationships with existing Clover Assistant onboarded providers, who now can leverage the Clover Assistant across a broader panel of Medicare patients, thus enabling further Clover Assistant engagement. Expanding into Original Medicare is not only a strategic milestone for Clover but also demonstrates the scalability of the Clover Assistant. While other companies may be constrained by antiquated technologies, geographic limitations or asset-heavy approaches, we believe our tech-centric strategy enables us to quickly and cost effectively deploy software to providers nationwide, including in historically underserved markets.</w:t>
      </w:r>
    </w:p>
    <w:p>
      <w:pPr>
        <w:spacing w:after="0" w:line="114" w:lineRule="exact"/>
        <w:rPr>
          <w:sz w:val="20"/>
          <w:szCs w:val="20"/>
          <w:color w:val="auto"/>
        </w:rPr>
      </w:pPr>
    </w:p>
    <w:p>
      <w:pPr>
        <w:ind w:right="20" w:firstLine="297"/>
        <w:spacing w:after="0" w:line="261" w:lineRule="auto"/>
        <w:rPr>
          <w:sz w:val="20"/>
          <w:szCs w:val="20"/>
          <w:color w:val="auto"/>
        </w:rPr>
      </w:pPr>
      <w:r>
        <w:rPr>
          <w:rFonts w:ascii="Arial" w:cs="Arial" w:eastAsia="Arial" w:hAnsi="Arial"/>
          <w:sz w:val="16"/>
          <w:szCs w:val="16"/>
          <w:color w:val="auto"/>
        </w:rPr>
        <w:t>Our revenues have grown at a 37% compound annual growth rate from 2018 to 2020. Additionally, we are launching our MA plans in 101 new counties in 2022, which together with our current counties, represent 5.2 million available Medicare lives as of August 2021. We first launched in New Jersey, and prior to 2019, we concentrated on growing our market presence in that state. From December 1, 2014, to September 30, 2021, the individual, non-special needs Medical Advantage population in New Jersey grew from 151,555 to 298,949, and our share of the New Jersey market grew from approximately 2,900 to 60,500 over that period. Additionally, as of September 30, 2021, we had 20,900 Original Medicare beneficiaries in New Jersey aligned to our Direct Contracting Entity (DCE) under the DC Model, which launched on April 1, 2021. According to CMS data, during this period, our rate of growth for lives under management was 1.6 times that of our largest competitor in New Jersey. By leveraging our “Obvious” plan designs, we believe we can replicate this rate of growth in the state of Georgia, which has an individual, non-special needs Medical Advantage population of approximately 460,000, as of September 30, 2021, based on the over 4,000 lives under management yielded from our focused efforts in Georgia over the last two years.</w:t>
      </w:r>
    </w:p>
    <w:p>
      <w:pPr>
        <w:spacing w:after="0" w:line="126" w:lineRule="exact"/>
        <w:rPr>
          <w:sz w:val="20"/>
          <w:szCs w:val="20"/>
          <w:color w:val="auto"/>
        </w:rPr>
      </w:pPr>
    </w:p>
    <w:p>
      <w:pPr>
        <w:jc w:val="both"/>
        <w:ind w:right="160" w:firstLine="297"/>
        <w:spacing w:after="0" w:line="274" w:lineRule="auto"/>
        <w:rPr>
          <w:sz w:val="20"/>
          <w:szCs w:val="20"/>
          <w:color w:val="auto"/>
        </w:rPr>
      </w:pPr>
      <w:r>
        <w:rPr>
          <w:rFonts w:ascii="Arial" w:cs="Arial" w:eastAsia="Arial" w:hAnsi="Arial"/>
          <w:sz w:val="16"/>
          <w:szCs w:val="16"/>
          <w:color w:val="auto"/>
        </w:rPr>
        <w:t xml:space="preserve">We drive adoption and use of the Clover Assistant across our contracted providers by focusing on continuously improving its user-centric design, highly actionable and real-time clinical content, enhanced and rapid payment for Clover Assistant visits and simple onboarding. As of September 30, 2021, </w:t>
      </w:r>
      <w:r>
        <w:rPr>
          <w:rFonts w:ascii="Arial" w:cs="Arial" w:eastAsia="Arial" w:hAnsi="Arial"/>
          <w:sz w:val="16"/>
          <w:szCs w:val="16"/>
          <w:color w:val="auto"/>
          <w:highlight w:val="white"/>
        </w:rPr>
        <w:t>we had approximately</w:t>
      </w:r>
      <w:r>
        <w:rPr>
          <w:rFonts w:ascii="Arial" w:cs="Arial" w:eastAsia="Arial" w:hAnsi="Arial"/>
          <w:sz w:val="16"/>
          <w:szCs w:val="16"/>
          <w:color w:val="auto"/>
        </w:rPr>
        <w:t xml:space="preserve"> 850 </w:t>
      </w:r>
      <w:r>
        <w:rPr>
          <w:rFonts w:ascii="Arial" w:cs="Arial" w:eastAsia="Arial" w:hAnsi="Arial"/>
          <w:sz w:val="16"/>
          <w:szCs w:val="16"/>
          <w:color w:val="auto"/>
          <w:highlight w:val="white"/>
        </w:rPr>
        <w:t>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40"/>
          </w:cols>
          <w:pgMar w:left="920" w:top="1440" w:right="9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37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830" cy="637921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auto"/>
          <w:highlight w:val="white"/>
        </w:rPr>
        <w:t xml:space="preserve">participating providers who manage primary care for Original Medicare beneficiaries aligned to our DCE, whom we refer to as our DCE Beneficiaries and, together with our members, we refer to as the beneficiaries or Lives under Clover Management. Additionally, as of </w:t>
      </w:r>
      <w:r>
        <w:rPr>
          <w:rFonts w:ascii="Arial" w:cs="Arial" w:eastAsia="Arial" w:hAnsi="Arial"/>
          <w:sz w:val="15"/>
          <w:szCs w:val="15"/>
          <w:color w:val="auto"/>
        </w:rPr>
        <w:t>September 30, 2021,</w:t>
      </w:r>
      <w:r>
        <w:rPr>
          <w:rFonts w:ascii="Arial" w:cs="Arial" w:eastAsia="Arial" w:hAnsi="Arial"/>
          <w:sz w:val="15"/>
          <w:szCs w:val="15"/>
          <w:color w:val="auto"/>
          <w:highlight w:val="white"/>
        </w:rPr>
        <w:t xml:space="preserve"> we have generated $439 million in DCE revenue since we launched our DCE business, and we had approximately </w:t>
      </w:r>
      <w:r>
        <w:rPr>
          <w:rFonts w:ascii="Arial" w:cs="Arial" w:eastAsia="Arial" w:hAnsi="Arial"/>
          <w:sz w:val="15"/>
          <w:szCs w:val="15"/>
          <w:color w:val="auto"/>
        </w:rPr>
        <w:t>865</w:t>
      </w:r>
      <w:r>
        <w:rPr>
          <w:rFonts w:ascii="Arial" w:cs="Arial" w:eastAsia="Arial" w:hAnsi="Arial"/>
          <w:sz w:val="15"/>
          <w:szCs w:val="15"/>
          <w:color w:val="auto"/>
          <w:highlight w:val="white"/>
        </w:rPr>
        <w:t xml:space="preserve"> preferred providers and preferred facilities in our DCE network and over 2,000 preferred providers contracted for 2022, with about 50% of our aligned beneficiaries having received a visit from a provider contracted on the Clover Assistant platform. </w:t>
      </w:r>
      <w:r>
        <w:rPr>
          <w:rFonts w:ascii="Arial" w:cs="Arial" w:eastAsia="Arial" w:hAnsi="Arial"/>
          <w:sz w:val="15"/>
          <w:szCs w:val="15"/>
          <w:color w:val="auto"/>
        </w:rPr>
        <w:t>Healthcare providers deploy our technology platform in their office setting, via</w:t>
      </w:r>
      <w:r>
        <w:rPr>
          <w:rFonts w:ascii="Arial" w:cs="Arial" w:eastAsia="Arial" w:hAnsi="Arial"/>
          <w:sz w:val="15"/>
          <w:szCs w:val="15"/>
          <w:color w:val="auto"/>
          <w:highlight w:val="white"/>
        </w:rPr>
        <w:t xml:space="preserve"> </w:t>
      </w:r>
      <w:r>
        <w:rPr>
          <w:rFonts w:ascii="Arial" w:cs="Arial" w:eastAsia="Arial" w:hAnsi="Arial"/>
          <w:sz w:val="15"/>
          <w:szCs w:val="15"/>
          <w:color w:val="auto"/>
        </w:rPr>
        <w:t>telemedicine and in the home through our Clover Home Care program, allowing them to meet the patient at their preferred care setting.</w:t>
      </w:r>
    </w:p>
    <w:p>
      <w:pPr>
        <w:spacing w:after="0" w:line="106"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High provider engagement with the Clover Assistant enables real-time, data-driven decision-making for our lives under management at the point of care and drives rapid software iteration: the more that providers use the Clover Assistant, the more it learns and furthers the precision of personalized data-driven recommendations. We combine our beneficiary data with provider-generated data and use this powerful closed feedback loop to continuously tune our clinical rules and machine learning models, as well as to select and prioritize future software capabilities. We believe the use and continuous improvement of the Clover Assistant has resulted in not only improved clinical decision-making but also enhanced MA plan performance. For example, as of September 30, 2021, approximately 48% of our MA members had seen a physician who was contracted on the Clover Assistant platform, and members assigned to PCPs who are contracted on the Clover Assistant platform had MCRs that were more than 1,000 basis points lower than members who were not assigned to such PCPs. The platform facilitates identifying and engaging with our most at-risk patients for our clinical programs designed to provide additional targeted care support, which is designed to further drive better plan performance. In 2020, physicians used Clover Assistant data to identify an average of 0.85 conditions per member. Taken together, we believe these enhancements will allow us to return a material portion of our savings to our members through our “Obvious” MA plans and to continuously lower our members’ out-of- pocket costs, while providing them with market-leading benefits. We also believe this framework, through our participation in the DC Model, will allow us to bring improvements to care and costs across a larger patient population, especially as it empowers our providers to drive improved clinical outcomes. The table below shows the growth of physicians contracted on the Clover Assistant platform over the three years ended September 30, 2021, and the corresponding growth in visits to a physician contracted on the Clover Assistant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firstLine="297"/>
        <w:spacing w:after="0" w:line="264" w:lineRule="auto"/>
        <w:rPr>
          <w:sz w:val="20"/>
          <w:szCs w:val="20"/>
          <w:color w:val="auto"/>
        </w:rPr>
      </w:pPr>
      <w:r>
        <w:rPr>
          <w:rFonts w:ascii="Arial" w:cs="Arial" w:eastAsia="Arial" w:hAnsi="Arial"/>
          <w:sz w:val="16"/>
          <w:szCs w:val="16"/>
          <w:color w:val="auto"/>
        </w:rPr>
        <w:t>We complement our healthcare providers and their patients with our in-home primary care program, Clover Home Care, which covers the sickest, most medically complex patients often with advanced comorbidities. We believe the Clover Assistant makes home care for high-risk individuals more scalable than fixed-site-based care and permits technology deployment to enhance care and outcomes directly where patients live because our value proposition is centered around software. Compared to the at-risk provider group models that may seek to take away patients from their existing PCPs, Clover Home Care seeks to preserve the PCP to patient relationship through collaboration, which improves health outcomes and reduces medical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40"/>
          </w:cols>
          <w:pgMar w:left="920" w:top="1440" w:right="9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591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659130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Geographic Expansion</w:t>
      </w:r>
    </w:p>
    <w:p>
      <w:pPr>
        <w:spacing w:after="0" w:line="162" w:lineRule="exact"/>
        <w:rPr>
          <w:sz w:val="20"/>
          <w:szCs w:val="20"/>
          <w:color w:val="auto"/>
        </w:rPr>
      </w:pPr>
    </w:p>
    <w:p>
      <w:pPr>
        <w:jc w:val="both"/>
        <w:ind w:right="120" w:firstLine="297"/>
        <w:spacing w:after="0" w:line="274" w:lineRule="auto"/>
        <w:rPr>
          <w:sz w:val="20"/>
          <w:szCs w:val="20"/>
          <w:color w:val="auto"/>
        </w:rPr>
      </w:pPr>
      <w:r>
        <w:rPr>
          <w:rFonts w:ascii="Arial" w:cs="Arial" w:eastAsia="Arial" w:hAnsi="Arial"/>
          <w:sz w:val="16"/>
          <w:szCs w:val="16"/>
          <w:color w:val="auto"/>
        </w:rPr>
        <w:t>We are making our MA plans available in an additional 101 counties and an additional state beginning in 2022. The expansion will make our MA plans available in a total of 209 counties across nine states. Together, these markets represent approximately 5.2 million available Medicare lives as of August 2021.</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CMS Stars</w:t>
      </w:r>
    </w:p>
    <w:p>
      <w:pPr>
        <w:spacing w:after="0" w:line="162"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auto"/>
        </w:rPr>
        <w:t>On October 8, 2021, we announced that CMS assigned Clover’s PPO plan 3.5 stars on the Medicare Star Ratings for its MA plans for the 2020 measurement year. Over 90% of our MA membership is served through our PPO plan. We believe the higher rating will positively impact the reimbursement rate for our PPO plan beginning in 2023 as well as potentially positively impact the plan’s image in the market. Higher-rated plans may offer enhanced benefits and additional enrollment opportunities compared to lower-rated plans. CMS assigns plans ratings each year, and the Star Ratings system is subject to change annually by CMS, and there is no guarantee that we will be able to improve or maintain our plans’ current Star Ratings. We believe we have the potential to achieve industry-leading growth levels through these and potential future Star Ratings improvements. We estimate that the impact of the 3.5 Star Rating for our PPO plans would have benefited our non-GAAP normalized Medicare Advantage MCR by 300 to 500 basis points in the third quarter of 2021, and we estimate that an increase to a 4.0 Star Rating would have provided a benefit of an incremental 500-700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66" w:lineRule="exact"/>
        <w:rPr>
          <w:sz w:val="20"/>
          <w:szCs w:val="20"/>
          <w:color w:val="auto"/>
        </w:rPr>
      </w:pPr>
    </w:p>
    <w:p>
      <w:pPr>
        <w:ind w:right="180" w:firstLine="297"/>
        <w:spacing w:after="0" w:line="300" w:lineRule="auto"/>
        <w:rPr>
          <w:sz w:val="20"/>
          <w:szCs w:val="20"/>
          <w:color w:val="auto"/>
        </w:rPr>
      </w:pPr>
      <w:r>
        <w:rPr>
          <w:rFonts w:ascii="Arial" w:cs="Arial" w:eastAsia="Arial" w:hAnsi="Arial"/>
          <w:sz w:val="15"/>
          <w:szCs w:val="15"/>
          <w:color w:val="auto"/>
        </w:rPr>
        <w:t>We were incorporated on October 18, 2019, as a special purpose acquisition company and a Cayman Islands exempted company under the name Social Capital Hedosophia Holdings Corp. III (SCH). On April 24, 2020, SCH completed its initial public offering. On January 7, 2021, SCH consummated a business combination with Clover Health Investments, Corp. and changed its name to Clover Health Investments, Corp.</w:t>
      </w:r>
    </w:p>
    <w:p>
      <w:pPr>
        <w:spacing w:after="0" w:line="9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principal executive offices are located at 3401 Mallory Lane, Suite 210, Franklin, Tennessee 37067. Our telephone number is (201) 432-2133. Our website address is www.cloverhealth.com. Information contained on our website or connected thereto does not constitute part of, and is not incorporated by reference into, this prospectus or the registration statement of which it forms a part.</w:t>
      </w:r>
    </w:p>
    <w:p>
      <w:pPr>
        <w:spacing w:after="0" w:line="112" w:lineRule="exact"/>
        <w:rPr>
          <w:sz w:val="20"/>
          <w:szCs w:val="20"/>
          <w:color w:val="auto"/>
        </w:rPr>
      </w:pPr>
    </w:p>
    <w:p>
      <w:pPr>
        <w:ind w:firstLine="297"/>
        <w:spacing w:after="0" w:line="246" w:lineRule="auto"/>
        <w:rPr>
          <w:sz w:val="20"/>
          <w:szCs w:val="20"/>
          <w:color w:val="auto"/>
        </w:rPr>
      </w:pPr>
      <w:r>
        <w:rPr>
          <w:rFonts w:ascii="Arial" w:cs="Arial" w:eastAsia="Arial" w:hAnsi="Arial"/>
          <w:sz w:val="16"/>
          <w:szCs w:val="16"/>
          <w:color w:val="auto"/>
        </w:rPr>
        <w:t xml:space="preserve">Clover Health, the Clover Health logo, the Clover Assistant and our other registered or common law trademarks, tradenames and service marks appearing in this prospectus are our property. Solely for convenience, our trademarks, tradenames and service marks referred to in this prospectus appear without the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SM symbols, but those references are not intended to indicate, in any way, that we will not assert, to the fullest extent under applicable law, our rights to these trademarks and tradenames. This prospectus contains additional trademarks, tradenames and service marks of other companies that are the property of their respective owners.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Channels for Disclosure of Information</w:t>
      </w:r>
    </w:p>
    <w:p>
      <w:pPr>
        <w:spacing w:after="0" w:line="166" w:lineRule="exact"/>
        <w:rPr>
          <w:sz w:val="20"/>
          <w:szCs w:val="20"/>
          <w:color w:val="auto"/>
        </w:rPr>
      </w:pPr>
    </w:p>
    <w:p>
      <w:pPr>
        <w:ind w:right="40" w:firstLine="297"/>
        <w:spacing w:after="0" w:line="261" w:lineRule="auto"/>
        <w:rPr>
          <w:sz w:val="20"/>
          <w:szCs w:val="20"/>
          <w:color w:val="auto"/>
        </w:rPr>
      </w:pPr>
      <w:r>
        <w:rPr>
          <w:rFonts w:ascii="Arial" w:cs="Arial" w:eastAsia="Arial" w:hAnsi="Arial"/>
          <w:sz w:val="16"/>
          <w:szCs w:val="16"/>
          <w:color w:val="auto"/>
        </w:rPr>
        <w:t>Investors and others should note that we routinely announce material information to investors and the marketplace using filings with the Securities and Exchange Commission (SEC), press releases, public conference calls, presentations, webcasts and our investor relations website. We also intend to use certain social media channels as a means of disclosing information about the Company and our products to our customers, investors and the public, including @Clover_Health and #CloverHealth on Twitter, and the LinkedIn account of our President and Chief Technology Officer, Andrew Toy. The information posted on social media channels is not incorporated by reference in this prospectus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our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our company when enrolling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20"/>
          </w:cols>
          <w:pgMar w:left="920" w:top="1440" w:right="9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4267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42678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email address by visiting Email Alerts in the Investor Resources section of our website at https://investors.cloverhealth.com/investor-relations.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66" w:lineRule="exact"/>
        <w:rPr>
          <w:sz w:val="20"/>
          <w:szCs w:val="20"/>
          <w:color w:val="auto"/>
        </w:rPr>
      </w:pPr>
    </w:p>
    <w:p>
      <w:pPr>
        <w:ind w:right="100" w:firstLine="297"/>
        <w:spacing w:after="0" w:line="300" w:lineRule="auto"/>
        <w:rPr>
          <w:sz w:val="20"/>
          <w:szCs w:val="20"/>
          <w:color w:val="auto"/>
        </w:rPr>
      </w:pPr>
      <w:r>
        <w:rPr>
          <w:rFonts w:ascii="Arial" w:cs="Arial" w:eastAsia="Arial" w:hAnsi="Arial"/>
          <w:sz w:val="15"/>
          <w:szCs w:val="15"/>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95" w:lineRule="exact"/>
        <w:rPr>
          <w:sz w:val="20"/>
          <w:szCs w:val="20"/>
          <w:color w:val="auto"/>
        </w:rPr>
      </w:pPr>
    </w:p>
    <w:p>
      <w:pPr>
        <w:ind w:left="600" w:hanging="295"/>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exemption from compliance with the auditor attestation requirement on the effectiveness of our internal control over financial reporting;</w:t>
      </w:r>
    </w:p>
    <w:p>
      <w:pPr>
        <w:spacing w:after="0" w:line="173" w:lineRule="exact"/>
        <w:rPr>
          <w:rFonts w:ascii="Arial" w:cs="Arial" w:eastAsia="Arial" w:hAnsi="Arial"/>
          <w:sz w:val="15"/>
          <w:szCs w:val="15"/>
          <w:color w:val="auto"/>
        </w:rPr>
      </w:pPr>
    </w:p>
    <w:p>
      <w:pPr>
        <w:ind w:left="600" w:right="780" w:hanging="295"/>
        <w:spacing w:after="0" w:line="325" w:lineRule="auto"/>
        <w:tabs>
          <w:tab w:leader="none" w:pos="596"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exemption from compliance with any requirement that the Public Company Accounting Oversight Board may adopt regarding a supplement to the auditor’s report providing additional information about the audit and the financial statements;</w:t>
      </w:r>
    </w:p>
    <w:p>
      <w:pPr>
        <w:spacing w:after="0" w:line="76" w:lineRule="exact"/>
        <w:rPr>
          <w:rFonts w:ascii="Arial" w:cs="Arial" w:eastAsia="Arial" w:hAnsi="Arial"/>
          <w:sz w:val="15"/>
          <w:szCs w:val="15"/>
          <w:color w:val="auto"/>
        </w:rPr>
      </w:pPr>
    </w:p>
    <w:p>
      <w:pPr>
        <w:ind w:left="600" w:hanging="295"/>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and</w:t>
      </w:r>
    </w:p>
    <w:p>
      <w:pPr>
        <w:spacing w:after="0" w:line="162" w:lineRule="exact"/>
        <w:rPr>
          <w:rFonts w:ascii="Arial" w:cs="Arial" w:eastAsia="Arial" w:hAnsi="Arial"/>
          <w:sz w:val="16"/>
          <w:szCs w:val="16"/>
          <w:color w:val="auto"/>
        </w:rPr>
      </w:pPr>
    </w:p>
    <w:p>
      <w:pPr>
        <w:ind w:left="600" w:hanging="295"/>
        <w:spacing w:after="0" w:line="290" w:lineRule="auto"/>
        <w:tabs>
          <w:tab w:leader="none" w:pos="596"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exemption from the requirements to obtain a non-binding advisory vote on executive compensation or a stockholder approval of any golden parachute arrangements.</w:t>
      </w:r>
    </w:p>
    <w:p>
      <w:pPr>
        <w:spacing w:after="0" w:line="99"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We may choose to take advantage of some, but not all, of the available benefits under the JOBS Act. Accordingly, the information contained herein may be different from the information you receive from other public companies in which you hold stock. Further,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10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20"/>
          </w:cols>
          <w:pgMar w:left="920" w:top="1440" w:right="9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693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830" cy="66935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920"/>
          </w:cols>
          <w:pgMar w:left="940" w:top="1440" w:right="10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Shares of Class B common stock to be outstanding after this offering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Total common stock outstanding after this offering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Indications of Interest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60"/>
        <w:spacing w:after="0" w:line="290" w:lineRule="auto"/>
        <w:rPr>
          <w:sz w:val="20"/>
          <w:szCs w:val="20"/>
          <w:color w:val="auto"/>
        </w:rPr>
      </w:pPr>
      <w:r>
        <w:rPr>
          <w:rFonts w:ascii="Arial" w:cs="Arial" w:eastAsia="Arial" w:hAnsi="Arial"/>
          <w:sz w:val="16"/>
          <w:szCs w:val="16"/>
          <w:color w:val="auto"/>
        </w:rPr>
        <w:t>35,000,000 shares (or 40,250,000 shares if the option to purchase additional shares is exercised in full).</w:t>
      </w:r>
    </w:p>
    <w:p>
      <w:pPr>
        <w:spacing w:after="0" w:line="384"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color w:val="auto"/>
        </w:rPr>
        <w:t>313,308,964 shares (or 318,558,964 shares if the option to purchase additional shares is exercised in full</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142,318,711 shares.</w:t>
      </w:r>
    </w:p>
    <w:p>
      <w:pPr>
        <w:spacing w:after="0" w:line="200" w:lineRule="exact"/>
        <w:rPr>
          <w:sz w:val="20"/>
          <w:szCs w:val="20"/>
          <w:color w:val="auto"/>
        </w:rPr>
      </w:pPr>
    </w:p>
    <w:p>
      <w:pPr>
        <w:spacing w:after="0" w:line="247"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color w:val="auto"/>
        </w:rPr>
        <w:t>455,627,675 shares (or 460,877,675 shares if the option to purchase additional shares is exercised in full).</w:t>
      </w:r>
    </w:p>
    <w:p>
      <w:pPr>
        <w:spacing w:after="0" w:line="23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estimate that the net proceeds from the sale of shares of our Class A common stock in this offering will be approximately $236.7 million (or approximately $272.4 million if the underwriters’ option to purchase additional shares of our common stock from us is exercised in full), based on an assumed public offering price of $7.16 per share, the last reported sale price of our Class A common stock on Nasdaq on November 12, 2021, and after deducting underwriting discounts and commissions and estimated offering expenses payable by us.</w:t>
      </w:r>
    </w:p>
    <w:p>
      <w:pPr>
        <w:spacing w:after="0" w:line="245" w:lineRule="exact"/>
        <w:rPr>
          <w:sz w:val="20"/>
          <w:szCs w:val="20"/>
          <w:color w:val="auto"/>
        </w:rPr>
      </w:pPr>
    </w:p>
    <w:p>
      <w:pPr>
        <w:jc w:val="both"/>
        <w:ind w:right="100"/>
        <w:spacing w:after="0" w:line="274" w:lineRule="auto"/>
        <w:rPr>
          <w:sz w:val="20"/>
          <w:szCs w:val="20"/>
          <w:color w:val="auto"/>
        </w:rPr>
      </w:pPr>
      <w:r>
        <w:rPr>
          <w:rFonts w:ascii="Arial" w:cs="Arial" w:eastAsia="Arial" w:hAnsi="Arial"/>
          <w:sz w:val="16"/>
          <w:szCs w:val="16"/>
          <w:color w:val="auto"/>
        </w:rPr>
        <w:t>We intend to use the net proceeds from this offering for working capital and general corporate purposes. See the section titled “Use of Proceeds” for additional information.</w:t>
      </w:r>
    </w:p>
    <w:p>
      <w:pPr>
        <w:spacing w:after="0" w:line="248"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color w:val="auto"/>
        </w:rPr>
        <w:t>One or more entities affiliated with Social Capital, an affiliate of our predecessor legal entity’s sponsor and of controlling persons of a beneficial owner of more than 10% of our Class A common stock (the “Prospective Investors”), have indicated an interest in purchasing up to $10.0 million of our Class A common stock offered in this offering at the public offering price. Because this indication of interest is not a binding agreement or commitment to purchase, the Prospective Investors may determine to purchase more, fewer or no shares in this offering, or the underwriters may determine to sell more, fewer or no shares to the Prospective Investors. The underwriters would receive the same discount from any of our shares of Class A common stock purchased by the Prospective Investors as they would from any other shares of Class A common stock sold to the public in this offering.</w:t>
      </w:r>
    </w:p>
    <w:p>
      <w:pPr>
        <w:spacing w:after="0" w:line="200" w:lineRule="exact"/>
        <w:rPr>
          <w:sz w:val="20"/>
          <w:szCs w:val="20"/>
          <w:color w:val="auto"/>
        </w:rPr>
      </w:pPr>
    </w:p>
    <w:p>
      <w:pPr>
        <w:sectPr>
          <w:pgSz w:w="11900" w:h="16838" w:orient="portrait"/>
          <w:cols w:equalWidth="0" w:num="2">
            <w:col w:w="4540" w:space="500"/>
            <w:col w:w="4880"/>
          </w:cols>
          <w:pgMar w:left="94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175895</wp:posOffset>
            </wp:positionV>
            <wp:extent cx="716915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9920"/>
          </w:cols>
          <w:pgMar w:left="940" w:top="1440" w:right="10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Investing in our Class A common stock involves a high degree of risk. See “Risk Factors”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-637540</wp:posOffset>
            </wp:positionV>
            <wp:extent cx="7148830" cy="4408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830" cy="4408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4980"/>
          </w:cols>
          <w:pgMar w:left="920" w:top="1440" w:right="9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Nasdaq Stock Market Symbol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“CLOV.”</w:t>
      </w:r>
    </w:p>
    <w:p>
      <w:pPr>
        <w:spacing w:after="0" w:line="200" w:lineRule="exact"/>
        <w:rPr>
          <w:sz w:val="20"/>
          <w:szCs w:val="20"/>
          <w:color w:val="auto"/>
        </w:rPr>
      </w:pPr>
    </w:p>
    <w:p>
      <w:pPr>
        <w:sectPr>
          <w:pgSz w:w="11900" w:h="16838" w:orient="portrait"/>
          <w:cols w:equalWidth="0" w:num="2">
            <w:col w:w="4340" w:space="720"/>
            <w:col w:w="4980"/>
          </w:cols>
          <w:pgMar w:left="920" w:top="1440" w:right="939" w:bottom="1440" w:gutter="0" w:footer="0" w:header="0"/>
          <w:type w:val="continuous"/>
        </w:sectPr>
      </w:pPr>
    </w:p>
    <w:p>
      <w:pPr>
        <w:spacing w:after="0" w:line="49" w:lineRule="exact"/>
        <w:rPr>
          <w:sz w:val="20"/>
          <w:szCs w:val="20"/>
          <w:color w:val="auto"/>
        </w:rPr>
      </w:pPr>
    </w:p>
    <w:p>
      <w:pPr>
        <w:ind w:right="260" w:firstLine="297"/>
        <w:spacing w:after="0" w:line="274" w:lineRule="auto"/>
        <w:rPr>
          <w:sz w:val="20"/>
          <w:szCs w:val="20"/>
          <w:color w:val="auto"/>
        </w:rPr>
      </w:pPr>
      <w:r>
        <w:rPr>
          <w:rFonts w:ascii="Arial" w:cs="Arial" w:eastAsia="Arial" w:hAnsi="Arial"/>
          <w:sz w:val="16"/>
          <w:szCs w:val="16"/>
          <w:color w:val="auto"/>
        </w:rPr>
        <w:t>The number of shares of our Class A common stock and Class B common stock to be outstanding immediately after this offering is based on (i) 278,308,964 shares of Class A common stock and (ii) 142,318,711 shares of Class B common stock outstanding as of September 30, 2021, and excludes:</w:t>
      </w:r>
    </w:p>
    <w:p>
      <w:pPr>
        <w:spacing w:after="0" w:line="112" w:lineRule="exact"/>
        <w:rPr>
          <w:sz w:val="20"/>
          <w:szCs w:val="20"/>
          <w:color w:val="auto"/>
        </w:rPr>
      </w:pPr>
    </w:p>
    <w:p>
      <w:pPr>
        <w:ind w:left="600" w:right="640" w:hanging="295"/>
        <w:spacing w:after="0" w:line="290" w:lineRule="auto"/>
        <w:tabs>
          <w:tab w:leader="none" w:pos="596" w:val="left"/>
        </w:tabs>
        <w:numPr>
          <w:ilvl w:val="0"/>
          <w:numId w:val="4"/>
        </w:numPr>
        <w:rPr>
          <w:rFonts w:ascii="Arial" w:cs="Arial" w:eastAsia="Arial" w:hAnsi="Arial"/>
          <w:sz w:val="16"/>
          <w:szCs w:val="16"/>
          <w:color w:val="auto"/>
        </w:rPr>
      </w:pPr>
      <w:r>
        <w:rPr>
          <w:rFonts w:ascii="Arial" w:cs="Arial" w:eastAsia="Arial" w:hAnsi="Arial"/>
          <w:sz w:val="16"/>
          <w:szCs w:val="16"/>
          <w:color w:val="auto"/>
        </w:rPr>
        <w:t>31,694,847 shares of Class B common stock issuable upon the exercise of stock options outstanding as of September 30, 2021, with a weighted-average exercise price of $2.29 per share.</w:t>
      </w:r>
    </w:p>
    <w:p>
      <w:pPr>
        <w:spacing w:after="0" w:line="99" w:lineRule="exact"/>
        <w:rPr>
          <w:rFonts w:ascii="Arial" w:cs="Arial" w:eastAsia="Arial" w:hAnsi="Arial"/>
          <w:sz w:val="16"/>
          <w:szCs w:val="16"/>
          <w:color w:val="auto"/>
        </w:rPr>
      </w:pPr>
    </w:p>
    <w:p>
      <w:pPr>
        <w:ind w:left="600" w:hanging="295"/>
        <w:spacing w:after="0" w:line="290" w:lineRule="auto"/>
        <w:tabs>
          <w:tab w:leader="none" w:pos="596" w:val="left"/>
        </w:tabs>
        <w:numPr>
          <w:ilvl w:val="0"/>
          <w:numId w:val="4"/>
        </w:numPr>
        <w:rPr>
          <w:rFonts w:ascii="Arial" w:cs="Arial" w:eastAsia="Arial" w:hAnsi="Arial"/>
          <w:sz w:val="16"/>
          <w:szCs w:val="16"/>
          <w:color w:val="auto"/>
        </w:rPr>
      </w:pPr>
      <w:r>
        <w:rPr>
          <w:rFonts w:ascii="Arial" w:cs="Arial" w:eastAsia="Arial" w:hAnsi="Arial"/>
          <w:sz w:val="16"/>
          <w:szCs w:val="16"/>
          <w:color w:val="auto"/>
        </w:rPr>
        <w:t>1,782,986 shares of Class A common stock issuable upon the exercise of stock options outstanding as of September 30, 2021, with a weighted-average exercise price of $8.88 per share.</w:t>
      </w:r>
    </w:p>
    <w:p>
      <w:pPr>
        <w:spacing w:after="0" w:line="99" w:lineRule="exact"/>
        <w:rPr>
          <w:rFonts w:ascii="Arial" w:cs="Arial" w:eastAsia="Arial" w:hAnsi="Arial"/>
          <w:sz w:val="16"/>
          <w:szCs w:val="16"/>
          <w:color w:val="auto"/>
        </w:rPr>
      </w:pPr>
    </w:p>
    <w:p>
      <w:pPr>
        <w:ind w:left="600" w:hanging="295"/>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44,173,855 shares of Class B common stock issuable upon the settlement of restricted stock units outstanding as of September 30, 2021.</w:t>
      </w:r>
    </w:p>
    <w:p>
      <w:pPr>
        <w:spacing w:after="0" w:line="173" w:lineRule="exact"/>
        <w:rPr>
          <w:rFonts w:ascii="Arial" w:cs="Arial" w:eastAsia="Arial" w:hAnsi="Arial"/>
          <w:sz w:val="15"/>
          <w:szCs w:val="15"/>
          <w:color w:val="auto"/>
        </w:rPr>
      </w:pPr>
    </w:p>
    <w:p>
      <w:pPr>
        <w:ind w:left="600" w:hanging="295"/>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31,643,997 shares of our Class A common stock reserved for future issuance under our equity compensation plans, consisting of:</w:t>
      </w:r>
    </w:p>
    <w:p>
      <w:pPr>
        <w:spacing w:after="0" w:line="162" w:lineRule="exact"/>
        <w:rPr>
          <w:rFonts w:ascii="Arial" w:cs="Arial" w:eastAsia="Arial" w:hAnsi="Arial"/>
          <w:sz w:val="16"/>
          <w:szCs w:val="16"/>
          <w:color w:val="auto"/>
        </w:rPr>
      </w:pPr>
    </w:p>
    <w:p>
      <w:pPr>
        <w:ind w:left="1340" w:right="720" w:hanging="293"/>
        <w:spacing w:after="0" w:line="290" w:lineRule="auto"/>
        <w:tabs>
          <w:tab w:leader="none" w:pos="1336" w:val="left"/>
        </w:tabs>
        <w:numPr>
          <w:ilvl w:val="1"/>
          <w:numId w:val="4"/>
        </w:numPr>
        <w:rPr>
          <w:rFonts w:ascii="Arial" w:cs="Arial" w:eastAsia="Arial" w:hAnsi="Arial"/>
          <w:sz w:val="16"/>
          <w:szCs w:val="16"/>
          <w:color w:val="auto"/>
        </w:rPr>
      </w:pPr>
      <w:r>
        <w:rPr>
          <w:rFonts w:ascii="Arial" w:cs="Arial" w:eastAsia="Arial" w:hAnsi="Arial"/>
          <w:sz w:val="16"/>
          <w:szCs w:val="16"/>
          <w:color w:val="auto"/>
        </w:rPr>
        <w:t>28,858,415 shares of our Class A common stock reserved for future issuance under our 2020 Equity Incentive Plan, as of September 30, 2021; and</w:t>
      </w:r>
    </w:p>
    <w:p>
      <w:pPr>
        <w:spacing w:after="0" w:line="99" w:lineRule="exact"/>
        <w:rPr>
          <w:rFonts w:ascii="Arial" w:cs="Arial" w:eastAsia="Arial" w:hAnsi="Arial"/>
          <w:sz w:val="16"/>
          <w:szCs w:val="16"/>
          <w:color w:val="auto"/>
        </w:rPr>
      </w:pPr>
    </w:p>
    <w:p>
      <w:pPr>
        <w:ind w:left="1340" w:right="180" w:hanging="293"/>
        <w:spacing w:after="0" w:line="290" w:lineRule="auto"/>
        <w:tabs>
          <w:tab w:leader="none" w:pos="1336" w:val="left"/>
        </w:tabs>
        <w:numPr>
          <w:ilvl w:val="1"/>
          <w:numId w:val="4"/>
        </w:numPr>
        <w:rPr>
          <w:rFonts w:ascii="Arial" w:cs="Arial" w:eastAsia="Arial" w:hAnsi="Arial"/>
          <w:sz w:val="16"/>
          <w:szCs w:val="16"/>
          <w:color w:val="auto"/>
        </w:rPr>
      </w:pPr>
      <w:r>
        <w:rPr>
          <w:rFonts w:ascii="Arial" w:cs="Arial" w:eastAsia="Arial" w:hAnsi="Arial"/>
          <w:sz w:val="16"/>
          <w:szCs w:val="16"/>
          <w:color w:val="auto"/>
        </w:rPr>
        <w:t>2,785,582 shares of our Class A common stock reserved for future issuance under our 2020 Employee Stock Purchase Plan, as of September 30, 2021.</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Except as otherwise indicated, all information in this prospectus assumes:</w:t>
      </w:r>
    </w:p>
    <w:p>
      <w:pPr>
        <w:spacing w:after="0" w:line="162" w:lineRule="exact"/>
        <w:rPr>
          <w:sz w:val="20"/>
          <w:szCs w:val="20"/>
          <w:color w:val="auto"/>
        </w:rPr>
      </w:pPr>
    </w:p>
    <w:p>
      <w:pPr>
        <w:ind w:left="600" w:hanging="2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exercise or cancellation of outstanding options and no settlement of outstanding restricted stock units; and</w:t>
      </w:r>
    </w:p>
    <w:p>
      <w:pPr>
        <w:spacing w:after="0" w:line="162" w:lineRule="exact"/>
        <w:rPr>
          <w:rFonts w:ascii="Arial" w:cs="Arial" w:eastAsia="Arial" w:hAnsi="Arial"/>
          <w:sz w:val="16"/>
          <w:szCs w:val="16"/>
          <w:color w:val="auto"/>
        </w:rPr>
      </w:pPr>
    </w:p>
    <w:p>
      <w:pPr>
        <w:ind w:left="600" w:hanging="2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additional shares of our common stock from us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40"/>
          </w:cols>
          <w:pgMar w:left="920" w:top="1440" w:right="9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47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647382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CONSOLIDATED FINANCIAL DATA AND OTHER DATA</w:t>
      </w:r>
    </w:p>
    <w:p>
      <w:pPr>
        <w:spacing w:after="0" w:line="166" w:lineRule="exact"/>
        <w:rPr>
          <w:sz w:val="20"/>
          <w:szCs w:val="20"/>
          <w:color w:val="auto"/>
        </w:rPr>
      </w:pPr>
    </w:p>
    <w:p>
      <w:pPr>
        <w:ind w:right="20" w:firstLine="297"/>
        <w:spacing w:after="0" w:line="280" w:lineRule="auto"/>
        <w:rPr>
          <w:sz w:val="20"/>
          <w:szCs w:val="20"/>
          <w:color w:val="auto"/>
        </w:rPr>
      </w:pPr>
      <w:r>
        <w:rPr>
          <w:rFonts w:ascii="Arial" w:cs="Arial" w:eastAsia="Arial" w:hAnsi="Arial"/>
          <w:sz w:val="15"/>
          <w:szCs w:val="15"/>
          <w:color w:val="auto"/>
        </w:rPr>
        <w:t>The following tables summarize our consolidated financial data. The consolidated statements of operations data for the nine months ended September 30, 2021 and 2020 and the consolidated balance sheet data as of September 30, 2021,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The summary consolidated statements of operations data for the years ended December 31, 2020 and 2019 and consolidated balance sheet data as of December 31, 2020 and 2019 have been derived from our audited consolidated financial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and related notes included elsewhere in this prospectus.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5"/>
          </w:tcPr>
          <w:p>
            <w:pPr>
              <w:ind w:left="180"/>
              <w:spacing w:after="0"/>
              <w:rPr>
                <w:sz w:val="20"/>
                <w:szCs w:val="20"/>
                <w:color w:val="auto"/>
              </w:rPr>
            </w:pPr>
            <w:r>
              <w:rPr>
                <w:rFonts w:ascii="Arial" w:cs="Arial" w:eastAsia="Arial" w:hAnsi="Arial"/>
                <w:sz w:val="13"/>
                <w:szCs w:val="13"/>
                <w:b w:val="1"/>
                <w:bCs w:val="1"/>
                <w:color w:val="auto"/>
              </w:rPr>
              <w:t>Nine Months Ended September 30,</w:t>
            </w:r>
          </w:p>
        </w:tc>
        <w:tc>
          <w:tcPr>
            <w:tcW w:w="320" w:type="dxa"/>
            <w:vAlign w:val="bottom"/>
          </w:tcPr>
          <w:p>
            <w:pPr>
              <w:spacing w:after="0"/>
              <w:rPr>
                <w:sz w:val="15"/>
                <w:szCs w:val="15"/>
                <w:color w:val="auto"/>
              </w:rPr>
            </w:pPr>
          </w:p>
        </w:tc>
        <w:tc>
          <w:tcPr>
            <w:tcW w:w="2560" w:type="dxa"/>
            <w:vAlign w:val="bottom"/>
            <w:gridSpan w:val="4"/>
          </w:tcPr>
          <w:p>
            <w:pPr>
              <w:jc w:val="right"/>
              <w:ind w:right="606"/>
              <w:spacing w:after="0"/>
              <w:rPr>
                <w:sz w:val="20"/>
                <w:szCs w:val="20"/>
                <w:color w:val="auto"/>
              </w:rPr>
            </w:pPr>
            <w:r>
              <w:rPr>
                <w:rFonts w:ascii="Arial" w:cs="Arial" w:eastAsia="Arial" w:hAnsi="Arial"/>
                <w:sz w:val="13"/>
                <w:szCs w:val="13"/>
                <w:b w:val="1"/>
                <w:bCs w:val="1"/>
                <w:color w:val="auto"/>
              </w:rPr>
              <w:t>Years Ended December 31,</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5"/>
          </w:tcPr>
          <w:p>
            <w:pPr>
              <w:ind w:left="160"/>
              <w:spacing w:after="0"/>
              <w:rPr>
                <w:sz w:val="20"/>
                <w:szCs w:val="20"/>
                <w:color w:val="auto"/>
              </w:rPr>
            </w:pPr>
            <w:r>
              <w:rPr>
                <w:rFonts w:ascii="Arial" w:cs="Arial" w:eastAsia="Arial" w:hAnsi="Arial"/>
                <w:sz w:val="13"/>
                <w:szCs w:val="13"/>
                <w:b w:val="1"/>
                <w:bCs w:val="1"/>
                <w:color w:val="auto"/>
              </w:rPr>
              <w:t>(in thousands, except per share data)</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Statement of Operations Data:</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5"/>
                <w:szCs w:val="15"/>
                <w:color w:val="auto"/>
              </w:rPr>
              <w:t>Revenues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w w:val="90"/>
              </w:rPr>
              <w:t>Premiums earned, net (Net of ceded premiums: nine months ended</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Arial" w:cs="Arial" w:eastAsia="Arial" w:hAnsi="Arial"/>
                <w:sz w:val="15"/>
                <w:szCs w:val="15"/>
                <w:color w:val="auto"/>
                <w:w w:val="93"/>
              </w:rPr>
              <w:t>2021: $370; nine months ended 2020: $383; year ended 2020:</w:t>
            </w:r>
          </w:p>
        </w:tc>
        <w:tc>
          <w:tcPr>
            <w:tcW w:w="2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598,390</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501,100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665,698</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456,926</w:t>
            </w:r>
          </w:p>
        </w:tc>
        <w:tc>
          <w:tcPr>
            <w:tcW w:w="0" w:type="dxa"/>
            <w:vAlign w:val="bottom"/>
          </w:tcPr>
          <w:p>
            <w:pPr>
              <w:spacing w:after="0"/>
              <w:rPr>
                <w:sz w:val="1"/>
                <w:szCs w:val="1"/>
                <w:color w:val="auto"/>
              </w:rPr>
            </w:pPr>
          </w:p>
        </w:tc>
      </w:tr>
      <w:tr>
        <w:trPr>
          <w:trHeight w:val="194"/>
        </w:trPr>
        <w:tc>
          <w:tcPr>
            <w:tcW w:w="4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$599; year ended 2019: $832</w:t>
            </w:r>
          </w:p>
        </w:tc>
        <w:tc>
          <w:tcPr>
            <w:tcW w:w="28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Direct Contracting revenue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439,020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20"/>
              <w:spacing w:after="0" w:line="201" w:lineRule="exact"/>
              <w:rPr>
                <w:sz w:val="20"/>
                <w:szCs w:val="20"/>
                <w:color w:val="auto"/>
              </w:rPr>
            </w:pPr>
            <w:r>
              <w:rPr>
                <w:rFonts w:ascii="Arial" w:cs="Arial" w:eastAsia="Arial" w:hAnsi="Arial"/>
                <w:sz w:val="15"/>
                <w:szCs w:val="15"/>
                <w:color w:val="auto"/>
              </w:rPr>
              <w:t xml:space="preserve">Other income </w:t>
            </w:r>
            <w:r>
              <w:rPr>
                <w:rFonts w:ascii="Arial" w:cs="Arial" w:eastAsia="Arial" w:hAnsi="Arial"/>
                <w:sz w:val="19"/>
                <w:szCs w:val="19"/>
                <w:color w:val="auto"/>
                <w:vertAlign w:val="superscript"/>
              </w:rPr>
              <w:t>(1)</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5,340</w:t>
            </w:r>
          </w:p>
        </w:tc>
        <w:tc>
          <w:tcPr>
            <w:tcW w:w="0" w:type="dxa"/>
            <w:vAlign w:val="bottom"/>
          </w:tcPr>
          <w:p>
            <w:pPr>
              <w:spacing w:after="0"/>
              <w:rPr>
                <w:sz w:val="1"/>
                <w:szCs w:val="1"/>
                <w:color w:val="auto"/>
              </w:rPr>
            </w:pPr>
          </w:p>
        </w:tc>
      </w:tr>
      <w:tr>
        <w:trPr>
          <w:trHeight w:val="187"/>
        </w:trPr>
        <w:tc>
          <w:tcPr>
            <w:tcW w:w="41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revenues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1,039,960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506,655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672,888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462,266</w:t>
            </w:r>
          </w:p>
        </w:tc>
        <w:tc>
          <w:tcPr>
            <w:tcW w:w="0" w:type="dxa"/>
            <w:vAlign w:val="bottom"/>
          </w:tcPr>
          <w:p>
            <w:pPr>
              <w:spacing w:after="0"/>
              <w:rPr>
                <w:sz w:val="1"/>
                <w:szCs w:val="1"/>
                <w:color w:val="auto"/>
              </w:rPr>
            </w:pPr>
          </w:p>
        </w:tc>
      </w:tr>
      <w:tr>
        <w:trPr>
          <w:trHeight w:val="181"/>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Net medical claims incurred</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1,109,375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410,540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590,468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450,645</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Salaries and benefits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201,555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91,626</w:t>
            </w:r>
          </w:p>
        </w:tc>
        <w:tc>
          <w:tcPr>
            <w:tcW w:w="0" w:type="dxa"/>
            <w:vAlign w:val="bottom"/>
          </w:tcPr>
          <w:p>
            <w:pPr>
              <w:spacing w:after="0"/>
              <w:rPr>
                <w:sz w:val="1"/>
                <w:szCs w:val="1"/>
                <w:color w:val="auto"/>
              </w:rPr>
            </w:pP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General and administrative expense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129,983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79,798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120,444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94,757</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Premium deficiency reserve expense (benefit)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7,523</w:t>
            </w:r>
          </w:p>
        </w:tc>
        <w:tc>
          <w:tcPr>
            <w:tcW w:w="0" w:type="dxa"/>
            <w:vAlign w:val="bottom"/>
          </w:tcPr>
          <w:p>
            <w:pPr>
              <w:spacing w:after="0"/>
              <w:rPr>
                <w:sz w:val="1"/>
                <w:szCs w:val="1"/>
                <w:color w:val="auto"/>
              </w:rPr>
            </w:pP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551</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87"/>
        </w:trPr>
        <w:tc>
          <w:tcPr>
            <w:tcW w:w="41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1,490,163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531,733</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765,595</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645,465</w:t>
            </w: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(450,203)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(25,078)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(92,707)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(183,199)</w:t>
            </w:r>
          </w:p>
        </w:tc>
        <w:tc>
          <w:tcPr>
            <w:tcW w:w="0" w:type="dxa"/>
            <w:vAlign w:val="bottom"/>
          </w:tcPr>
          <w:p>
            <w:pPr>
              <w:spacing w:after="0"/>
              <w:rPr>
                <w:sz w:val="1"/>
                <w:szCs w:val="1"/>
                <w:color w:val="auto"/>
              </w:rPr>
            </w:pPr>
          </w:p>
        </w:tc>
      </w:tr>
      <w:tr>
        <w:trPr>
          <w:trHeight w:val="187"/>
        </w:trPr>
        <w:tc>
          <w:tcPr>
            <w:tcW w:w="4180" w:type="dxa"/>
            <w:vAlign w:val="bottom"/>
          </w:tcPr>
          <w:p>
            <w:pPr>
              <w:ind w:left="220"/>
              <w:spacing w:after="0"/>
              <w:rPr>
                <w:sz w:val="20"/>
                <w:szCs w:val="20"/>
                <w:color w:val="auto"/>
              </w:rPr>
            </w:pPr>
            <w:r>
              <w:rPr>
                <w:rFonts w:ascii="Arial" w:cs="Arial" w:eastAsia="Arial" w:hAnsi="Arial"/>
                <w:sz w:val="15"/>
                <w:szCs w:val="15"/>
                <w:color w:val="auto"/>
              </w:rPr>
              <w:t>Change in fair value of warrants payable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(66,146)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31,903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80,328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2,909</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23,155</w:t>
            </w:r>
          </w:p>
        </w:tc>
        <w:tc>
          <w:tcPr>
            <w:tcW w:w="0" w:type="dxa"/>
            <w:vAlign w:val="bottom"/>
          </w:tcPr>
          <w:p>
            <w:pPr>
              <w:spacing w:after="0"/>
              <w:rPr>
                <w:sz w:val="1"/>
                <w:szCs w:val="1"/>
                <w:color w:val="auto"/>
              </w:rPr>
            </w:pPr>
          </w:p>
        </w:tc>
      </w:tr>
      <w:tr>
        <w:trPr>
          <w:trHeight w:val="195"/>
        </w:trPr>
        <w:tc>
          <w:tcPr>
            <w:tcW w:w="4180" w:type="dxa"/>
            <w:vAlign w:val="bottom"/>
          </w:tcPr>
          <w:p>
            <w:pPr>
              <w:ind w:left="220"/>
              <w:spacing w:after="0"/>
              <w:rPr>
                <w:sz w:val="20"/>
                <w:szCs w:val="20"/>
                <w:color w:val="auto"/>
              </w:rPr>
            </w:pPr>
            <w:r>
              <w:rPr>
                <w:rFonts w:ascii="Arial" w:cs="Arial" w:eastAsia="Arial" w:hAnsi="Arial"/>
                <w:sz w:val="15"/>
                <w:szCs w:val="15"/>
                <w:color w:val="auto"/>
              </w:rPr>
              <w:t>Amortization of notes and securities discount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13,681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15,913</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loss on derivative</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138,561</w:t>
            </w:r>
          </w:p>
        </w:tc>
        <w:tc>
          <w:tcPr>
            <w:tcW w:w="0" w:type="dxa"/>
            <w:vAlign w:val="bottom"/>
          </w:tcPr>
          <w:p>
            <w:pPr>
              <w:spacing w:after="0"/>
              <w:rPr>
                <w:sz w:val="1"/>
                <w:szCs w:val="1"/>
                <w:color w:val="auto"/>
              </w:rPr>
            </w:pPr>
          </w:p>
        </w:tc>
      </w:tr>
      <w:tr>
        <w:trPr>
          <w:trHeight w:val="193"/>
        </w:trPr>
        <w:tc>
          <w:tcPr>
            <w:tcW w:w="4180" w:type="dxa"/>
            <w:vAlign w:val="bottom"/>
          </w:tcPr>
          <w:p>
            <w:pPr>
              <w:ind w:left="20"/>
              <w:spacing w:after="0"/>
              <w:rPr>
                <w:sz w:val="20"/>
                <w:szCs w:val="20"/>
                <w:color w:val="auto"/>
              </w:rPr>
            </w:pPr>
            <w:r>
              <w:rPr>
                <w:rFonts w:ascii="Arial" w:cs="Arial" w:eastAsia="Arial" w:hAnsi="Arial"/>
                <w:sz w:val="15"/>
                <w:szCs w:val="15"/>
                <w:color w:val="auto"/>
              </w:rPr>
              <w:t>Net loss</w:t>
            </w: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(400,555)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(10,001)</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(136,392)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(363,737)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18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Net loss per share attributable to common stockholders—basic and</w:t>
            </w:r>
          </w:p>
        </w:tc>
        <w:tc>
          <w:tcPr>
            <w:tcW w:w="28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(0.98)</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194"/>
        </w:trPr>
        <w:tc>
          <w:tcPr>
            <w:tcW w:w="4180" w:type="dxa"/>
            <w:vAlign w:val="bottom"/>
            <w:shd w:val="clear" w:color="auto" w:fill="CCEEFF"/>
          </w:tcPr>
          <w:p>
            <w:pPr>
              <w:ind w:left="180"/>
              <w:spacing w:after="0" w:line="193" w:lineRule="exact"/>
              <w:rPr>
                <w:sz w:val="20"/>
                <w:szCs w:val="20"/>
                <w:color w:val="auto"/>
              </w:rPr>
            </w:pPr>
            <w:r>
              <w:rPr>
                <w:rFonts w:ascii="Arial" w:cs="Arial" w:eastAsia="Arial" w:hAnsi="Arial"/>
                <w:sz w:val="15"/>
                <w:szCs w:val="15"/>
                <w:color w:val="auto"/>
              </w:rPr>
              <w:t xml:space="preserve">diluted, after reverse capitalization </w:t>
            </w:r>
            <w:r>
              <w:rPr>
                <w:rFonts w:ascii="Arial" w:cs="Arial" w:eastAsia="Arial" w:hAnsi="Arial"/>
                <w:sz w:val="19"/>
                <w:szCs w:val="19"/>
                <w:color w:val="auto"/>
                <w:vertAlign w:val="superscript"/>
              </w:rPr>
              <w:t>(2)</w:t>
            </w:r>
          </w:p>
        </w:tc>
        <w:tc>
          <w:tcPr>
            <w:tcW w:w="28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Arial" w:cs="Arial" w:eastAsia="Arial" w:hAnsi="Arial"/>
                <w:sz w:val="15"/>
                <w:szCs w:val="15"/>
                <w:color w:val="auto"/>
              </w:rPr>
              <w:t>Weighted average number of common shares outstanding:</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w w:val="92"/>
              </w:rPr>
              <w:t>Basic and diluted weighted average number of common shares and</w:t>
            </w: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410,417,493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88,616,116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88,691,582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87,829,419</w:t>
            </w:r>
          </w:p>
        </w:tc>
        <w:tc>
          <w:tcPr>
            <w:tcW w:w="0" w:type="dxa"/>
            <w:vAlign w:val="bottom"/>
          </w:tcPr>
          <w:p>
            <w:pPr>
              <w:spacing w:after="0"/>
              <w:rPr>
                <w:sz w:val="1"/>
                <w:szCs w:val="1"/>
                <w:color w:val="auto"/>
              </w:rPr>
            </w:pPr>
          </w:p>
        </w:tc>
      </w:tr>
      <w:tr>
        <w:trPr>
          <w:trHeight w:val="194"/>
        </w:trPr>
        <w:tc>
          <w:tcPr>
            <w:tcW w:w="41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88"/>
              </w:rPr>
              <w:t>common share equivalents outstanding , after reverse capitalization</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Unrealized (loss) gain on available-for-sale investments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loss</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(401,175)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(136,428)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(363,691)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40"/>
          </w:cols>
          <w:pgMar w:left="920" w:top="1440" w:right="9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693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830" cy="66935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0" w:right="380" w:hanging="291"/>
        <w:spacing w:after="0" w:line="238" w:lineRule="auto"/>
        <w:tabs>
          <w:tab w:leader="none" w:pos="293"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first quarter 2021, other income and investment income, net, were combined into a single line item for other income. Prior period balances have been revised to conform to the current period presentation.</w:t>
      </w:r>
    </w:p>
    <w:p>
      <w:pPr>
        <w:ind w:left="300" w:right="80" w:hanging="291"/>
        <w:spacing w:after="0" w:line="247" w:lineRule="auto"/>
        <w:tabs>
          <w:tab w:leader="none" w:pos="293"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our consolidated financial statements and related notes included elsewhere in this prospectus for an explanation of the calculations of our net loss per share attributable to common stockholders, basic and diluted, after reverse capitalization.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3"/>
                <w:szCs w:val="13"/>
                <w:b w:val="1"/>
                <w:bCs w:val="1"/>
                <w:color w:val="auto"/>
              </w:rPr>
              <w:t>Nine Months Ended September 30,</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8"/>
              </w:rPr>
              <w:t>Years Ended December 31,</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w w:val="89"/>
              </w:rPr>
              <w:t>2021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3"/>
                <w:szCs w:val="13"/>
                <w:b w:val="1"/>
                <w:bCs w:val="1"/>
                <w:color w:val="auto"/>
              </w:rPr>
              <w:t>2020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9"/>
              </w:rPr>
              <w:t>2020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9"/>
              </w:rPr>
              <w:t>2019</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PMPM</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PMPM</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PMPM</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PMPM</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63"/>
        </w:trPr>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gridSpan w:val="9"/>
          </w:tcPr>
          <w:p>
            <w:pPr>
              <w:ind w:left="60"/>
              <w:spacing w:after="0"/>
              <w:rPr>
                <w:sz w:val="20"/>
                <w:szCs w:val="20"/>
                <w:color w:val="auto"/>
              </w:rPr>
            </w:pPr>
            <w:r>
              <w:rPr>
                <w:rFonts w:ascii="Arial" w:cs="Arial" w:eastAsia="Arial" w:hAnsi="Arial"/>
                <w:sz w:val="13"/>
                <w:szCs w:val="13"/>
                <w:color w:val="auto"/>
                <w:w w:val="97"/>
              </w:rPr>
              <w:t>(Premium and expense amounts in thousands, except PMPM amounts)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8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5"/>
                <w:szCs w:val="15"/>
                <w:b w:val="1"/>
                <w:bCs w:val="1"/>
                <w:color w:val="auto"/>
              </w:rPr>
              <w:t>Medicare Advantage</w:t>
            </w: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Data:</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80" w:type="dxa"/>
            <w:vAlign w:val="bottom"/>
            <w:gridSpan w:val="2"/>
          </w:tcPr>
          <w:p>
            <w:pPr>
              <w:ind w:left="20"/>
              <w:spacing w:after="0" w:line="153" w:lineRule="exact"/>
              <w:rPr>
                <w:sz w:val="20"/>
                <w:szCs w:val="20"/>
                <w:color w:val="auto"/>
              </w:rPr>
            </w:pPr>
            <w:r>
              <w:rPr>
                <w:rFonts w:ascii="Arial" w:cs="Arial" w:eastAsia="Arial" w:hAnsi="Arial"/>
                <w:sz w:val="15"/>
                <w:szCs w:val="15"/>
                <w:color w:val="auto"/>
              </w:rPr>
              <w:t>Medicare Advantage</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80" w:type="dxa"/>
            <w:vAlign w:val="bottom"/>
            <w:gridSpan w:val="2"/>
          </w:tcPr>
          <w:p>
            <w:pPr>
              <w:ind w:left="180"/>
              <w:spacing w:after="0" w:line="149" w:lineRule="exact"/>
              <w:rPr>
                <w:sz w:val="20"/>
                <w:szCs w:val="20"/>
                <w:color w:val="auto"/>
              </w:rPr>
            </w:pPr>
            <w:r>
              <w:rPr>
                <w:rFonts w:ascii="Arial" w:cs="Arial" w:eastAsia="Arial" w:hAnsi="Arial"/>
                <w:sz w:val="15"/>
                <w:szCs w:val="15"/>
                <w:color w:val="auto"/>
              </w:rPr>
              <w:t>members as of period</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67,281</w:t>
            </w:r>
          </w:p>
        </w:tc>
        <w:tc>
          <w:tcPr>
            <w:tcW w:w="40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5"/>
                <w:szCs w:val="15"/>
                <w:color w:val="auto"/>
              </w:rPr>
              <w:t>57,503</w:t>
            </w:r>
          </w:p>
        </w:tc>
        <w:tc>
          <w:tcPr>
            <w:tcW w:w="20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58,056</w:t>
            </w:r>
          </w:p>
        </w:tc>
        <w:tc>
          <w:tcPr>
            <w:tcW w:w="400" w:type="dxa"/>
            <w:vAlign w:val="bottom"/>
          </w:tcPr>
          <w:p>
            <w:pPr>
              <w:spacing w:after="0"/>
              <w:rPr>
                <w:sz w:val="12"/>
                <w:szCs w:val="12"/>
                <w:color w:val="auto"/>
              </w:rPr>
            </w:pPr>
          </w:p>
        </w:tc>
        <w:tc>
          <w:tcPr>
            <w:tcW w:w="860" w:type="dxa"/>
            <w:vAlign w:val="bottom"/>
            <w:gridSpan w:val="2"/>
            <w:vMerge w:val="restart"/>
          </w:tcPr>
          <w:p>
            <w:pPr>
              <w:ind w:left="500"/>
              <w:spacing w:after="0"/>
              <w:rPr>
                <w:sz w:val="20"/>
                <w:szCs w:val="20"/>
                <w:color w:val="auto"/>
              </w:rPr>
            </w:pPr>
            <w:r>
              <w:rPr>
                <w:rFonts w:ascii="Arial" w:cs="Arial" w:eastAsia="Arial" w:hAnsi="Arial"/>
                <w:sz w:val="15"/>
                <w:szCs w:val="15"/>
                <w:color w:val="auto"/>
              </w:rPr>
              <w:t>N/A</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42,592</w:t>
            </w:r>
          </w:p>
        </w:tc>
        <w:tc>
          <w:tcPr>
            <w:tcW w:w="400" w:type="dxa"/>
            <w:vAlign w:val="bottom"/>
          </w:tcPr>
          <w:p>
            <w:pPr>
              <w:spacing w:after="0"/>
              <w:rPr>
                <w:sz w:val="12"/>
                <w:szCs w:val="12"/>
                <w:color w:val="auto"/>
              </w:rPr>
            </w:pPr>
          </w:p>
        </w:tc>
        <w:tc>
          <w:tcPr>
            <w:tcW w:w="780" w:type="dxa"/>
            <w:vAlign w:val="bottom"/>
            <w:vMerge w:val="restart"/>
          </w:tcPr>
          <w:p>
            <w:pPr>
              <w:ind w:left="5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1"/>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end (#)</w:t>
            </w:r>
          </w:p>
        </w:tc>
        <w:tc>
          <w:tcPr>
            <w:tcW w:w="6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9"/>
              </w:rPr>
              <w:t>Premiums earned, gross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598,760</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rPr>
              <w:t>501,483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986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666,297</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975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457,758</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95"/>
        </w:trPr>
        <w:tc>
          <w:tcPr>
            <w:tcW w:w="1880" w:type="dxa"/>
            <w:vAlign w:val="bottom"/>
            <w:gridSpan w:val="2"/>
          </w:tcPr>
          <w:p>
            <w:pPr>
              <w:ind w:left="20"/>
              <w:spacing w:after="0"/>
              <w:rPr>
                <w:sz w:val="20"/>
                <w:szCs w:val="20"/>
                <w:color w:val="auto"/>
              </w:rPr>
            </w:pPr>
            <w:r>
              <w:rPr>
                <w:rFonts w:ascii="Arial" w:cs="Arial" w:eastAsia="Arial" w:hAnsi="Arial"/>
                <w:sz w:val="15"/>
                <w:szCs w:val="15"/>
                <w:color w:val="auto"/>
              </w:rPr>
              <w:t>Premiums earned, net</w:t>
            </w:r>
          </w:p>
        </w:tc>
        <w:tc>
          <w:tcPr>
            <w:tcW w:w="640" w:type="dxa"/>
            <w:vAlign w:val="bottom"/>
          </w:tcPr>
          <w:p>
            <w:pPr>
              <w:jc w:val="right"/>
              <w:spacing w:after="0"/>
              <w:rPr>
                <w:sz w:val="20"/>
                <w:szCs w:val="20"/>
                <w:color w:val="auto"/>
              </w:rPr>
            </w:pPr>
            <w:r>
              <w:rPr>
                <w:rFonts w:ascii="Arial" w:cs="Arial" w:eastAsia="Arial" w:hAnsi="Arial"/>
                <w:sz w:val="15"/>
                <w:szCs w:val="15"/>
                <w:color w:val="auto"/>
              </w:rPr>
              <w:t>598,390</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Arial" w:cs="Arial" w:eastAsia="Arial" w:hAnsi="Arial"/>
                <w:sz w:val="15"/>
                <w:szCs w:val="15"/>
                <w:color w:val="auto"/>
              </w:rPr>
              <w:t>501,100</w:t>
            </w:r>
          </w:p>
        </w:tc>
        <w:tc>
          <w:tcPr>
            <w:tcW w:w="200" w:type="dxa"/>
            <w:vAlign w:val="bottom"/>
          </w:tcPr>
          <w:p>
            <w:pPr>
              <w:spacing w:after="0"/>
              <w:rPr>
                <w:sz w:val="16"/>
                <w:szCs w:val="16"/>
                <w:color w:val="auto"/>
              </w:rPr>
            </w:pPr>
          </w:p>
        </w:tc>
        <w:tc>
          <w:tcPr>
            <w:tcW w:w="760" w:type="dxa"/>
            <w:vAlign w:val="bottom"/>
          </w:tcPr>
          <w:p>
            <w:pPr>
              <w:ind w:left="480"/>
              <w:spacing w:after="0"/>
              <w:rPr>
                <w:sz w:val="20"/>
                <w:szCs w:val="20"/>
                <w:color w:val="auto"/>
              </w:rPr>
            </w:pPr>
            <w:r>
              <w:rPr>
                <w:rFonts w:ascii="Arial" w:cs="Arial" w:eastAsia="Arial" w:hAnsi="Arial"/>
                <w:sz w:val="15"/>
                <w:szCs w:val="15"/>
                <w:color w:val="auto"/>
              </w:rPr>
              <w:t>985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665,698</w:t>
            </w:r>
          </w:p>
        </w:tc>
        <w:tc>
          <w:tcPr>
            <w:tcW w:w="400" w:type="dxa"/>
            <w:vAlign w:val="bottom"/>
          </w:tcPr>
          <w:p>
            <w:pPr>
              <w:spacing w:after="0"/>
              <w:rPr>
                <w:sz w:val="16"/>
                <w:szCs w:val="16"/>
                <w:color w:val="auto"/>
              </w:rPr>
            </w:pPr>
          </w:p>
        </w:tc>
        <w:tc>
          <w:tcPr>
            <w:tcW w:w="760" w:type="dxa"/>
            <w:vAlign w:val="bottom"/>
          </w:tcPr>
          <w:p>
            <w:pPr>
              <w:ind w:left="480"/>
              <w:spacing w:after="0"/>
              <w:rPr>
                <w:sz w:val="20"/>
                <w:szCs w:val="20"/>
                <w:color w:val="auto"/>
              </w:rPr>
            </w:pPr>
            <w:r>
              <w:rPr>
                <w:rFonts w:ascii="Arial" w:cs="Arial" w:eastAsia="Arial" w:hAnsi="Arial"/>
                <w:sz w:val="15"/>
                <w:szCs w:val="15"/>
                <w:color w:val="auto"/>
              </w:rPr>
              <w:t>976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456,926</w:t>
            </w:r>
          </w:p>
        </w:tc>
        <w:tc>
          <w:tcPr>
            <w:tcW w:w="40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5"/>
                <w:szCs w:val="15"/>
                <w:color w:val="auto"/>
              </w:rPr>
              <w:t>925</w:t>
            </w:r>
          </w:p>
        </w:tc>
        <w:tc>
          <w:tcPr>
            <w:tcW w:w="0" w:type="dxa"/>
            <w:vAlign w:val="bottom"/>
          </w:tcPr>
          <w:p>
            <w:pPr>
              <w:spacing w:after="0"/>
              <w:rPr>
                <w:sz w:val="1"/>
                <w:szCs w:val="1"/>
                <w:color w:val="auto"/>
              </w:rPr>
            </w:pPr>
          </w:p>
        </w:tc>
      </w:tr>
      <w:tr>
        <w:trPr>
          <w:trHeight w:val="155"/>
        </w:trPr>
        <w:tc>
          <w:tcPr>
            <w:tcW w:w="18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Medical claim expense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641,300</w:t>
            </w:r>
          </w:p>
        </w:tc>
        <w:tc>
          <w:tcPr>
            <w:tcW w:w="4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48"/>
              <w:spacing w:after="0"/>
              <w:rPr>
                <w:sz w:val="20"/>
                <w:szCs w:val="20"/>
                <w:color w:val="auto"/>
              </w:rPr>
            </w:pPr>
            <w:r>
              <w:rPr>
                <w:rFonts w:ascii="Arial" w:cs="Arial" w:eastAsia="Arial" w:hAnsi="Arial"/>
                <w:sz w:val="15"/>
                <w:szCs w:val="15"/>
                <w:color w:val="auto"/>
              </w:rPr>
              <w:t>411,243</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808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590,951</w:t>
            </w:r>
          </w:p>
        </w:tc>
        <w:tc>
          <w:tcPr>
            <w:tcW w:w="4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480"/>
              <w:spacing w:after="0"/>
              <w:rPr>
                <w:sz w:val="20"/>
                <w:szCs w:val="20"/>
                <w:color w:val="auto"/>
              </w:rPr>
            </w:pPr>
            <w:r>
              <w:rPr>
                <w:rFonts w:ascii="Arial" w:cs="Arial" w:eastAsia="Arial" w:hAnsi="Arial"/>
                <w:sz w:val="15"/>
                <w:szCs w:val="15"/>
                <w:color w:val="auto"/>
              </w:rPr>
              <w:t>867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452,261</w:t>
            </w:r>
          </w:p>
        </w:tc>
        <w:tc>
          <w:tcPr>
            <w:tcW w:w="4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ind w:left="500"/>
              <w:spacing w:after="0"/>
              <w:rPr>
                <w:sz w:val="20"/>
                <w:szCs w:val="20"/>
                <w:color w:val="auto"/>
              </w:rPr>
            </w:pPr>
            <w:r>
              <w:rPr>
                <w:rFonts w:ascii="Arial" w:cs="Arial" w:eastAsia="Arial" w:hAnsi="Arial"/>
                <w:sz w:val="15"/>
                <w:szCs w:val="15"/>
                <w:color w:val="auto"/>
              </w:rPr>
              <w:t>916</w:t>
            </w:r>
          </w:p>
        </w:tc>
        <w:tc>
          <w:tcPr>
            <w:tcW w:w="0" w:type="dxa"/>
            <w:vAlign w:val="bottom"/>
          </w:tcPr>
          <w:p>
            <w:pPr>
              <w:spacing w:after="0"/>
              <w:rPr>
                <w:sz w:val="1"/>
                <w:szCs w:val="1"/>
                <w:color w:val="auto"/>
              </w:rPr>
            </w:pPr>
          </w:p>
        </w:tc>
      </w:tr>
      <w:tr>
        <w:trPr>
          <w:trHeight w:val="194"/>
        </w:trPr>
        <w:tc>
          <w:tcPr>
            <w:tcW w:w="18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incurred, gross</w:t>
            </w:r>
          </w:p>
        </w:tc>
        <w:tc>
          <w:tcPr>
            <w:tcW w:w="64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80" w:type="dxa"/>
            <w:vAlign w:val="bottom"/>
            <w:gridSpan w:val="2"/>
          </w:tcPr>
          <w:p>
            <w:pPr>
              <w:ind w:left="20"/>
              <w:spacing w:after="0" w:line="153" w:lineRule="exact"/>
              <w:rPr>
                <w:sz w:val="20"/>
                <w:szCs w:val="20"/>
                <w:color w:val="auto"/>
              </w:rPr>
            </w:pPr>
            <w:r>
              <w:rPr>
                <w:rFonts w:ascii="Arial" w:cs="Arial" w:eastAsia="Arial" w:hAnsi="Arial"/>
                <w:sz w:val="15"/>
                <w:szCs w:val="15"/>
                <w:color w:val="auto"/>
              </w:rPr>
              <w:t>Net medical claims</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640,624</w:t>
            </w:r>
          </w:p>
        </w:tc>
        <w:tc>
          <w:tcPr>
            <w:tcW w:w="4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1,069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5"/>
                <w:szCs w:val="15"/>
                <w:color w:val="auto"/>
              </w:rPr>
              <w:t>410,540</w:t>
            </w:r>
          </w:p>
        </w:tc>
        <w:tc>
          <w:tcPr>
            <w:tcW w:w="200" w:type="dxa"/>
            <w:vAlign w:val="bottom"/>
          </w:tcPr>
          <w:p>
            <w:pPr>
              <w:spacing w:after="0"/>
              <w:rPr>
                <w:sz w:val="13"/>
                <w:szCs w:val="13"/>
                <w:color w:val="auto"/>
              </w:rPr>
            </w:pPr>
          </w:p>
        </w:tc>
        <w:tc>
          <w:tcPr>
            <w:tcW w:w="760" w:type="dxa"/>
            <w:vAlign w:val="bottom"/>
            <w:vMerge w:val="restart"/>
          </w:tcPr>
          <w:p>
            <w:pPr>
              <w:ind w:left="480"/>
              <w:spacing w:after="0"/>
              <w:rPr>
                <w:sz w:val="20"/>
                <w:szCs w:val="20"/>
                <w:color w:val="auto"/>
              </w:rPr>
            </w:pPr>
            <w:r>
              <w:rPr>
                <w:rFonts w:ascii="Arial" w:cs="Arial" w:eastAsia="Arial" w:hAnsi="Arial"/>
                <w:sz w:val="15"/>
                <w:szCs w:val="15"/>
                <w:color w:val="auto"/>
              </w:rPr>
              <w:t>807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590,468</w:t>
            </w:r>
          </w:p>
        </w:tc>
        <w:tc>
          <w:tcPr>
            <w:tcW w:w="400" w:type="dxa"/>
            <w:vAlign w:val="bottom"/>
          </w:tcPr>
          <w:p>
            <w:pPr>
              <w:spacing w:after="0"/>
              <w:rPr>
                <w:sz w:val="13"/>
                <w:szCs w:val="13"/>
                <w:color w:val="auto"/>
              </w:rPr>
            </w:pPr>
          </w:p>
        </w:tc>
        <w:tc>
          <w:tcPr>
            <w:tcW w:w="760" w:type="dxa"/>
            <w:vAlign w:val="bottom"/>
            <w:vMerge w:val="restart"/>
          </w:tcPr>
          <w:p>
            <w:pPr>
              <w:ind w:left="480"/>
              <w:spacing w:after="0"/>
              <w:rPr>
                <w:sz w:val="20"/>
                <w:szCs w:val="20"/>
                <w:color w:val="auto"/>
              </w:rPr>
            </w:pPr>
            <w:r>
              <w:rPr>
                <w:rFonts w:ascii="Arial" w:cs="Arial" w:eastAsia="Arial" w:hAnsi="Arial"/>
                <w:sz w:val="15"/>
                <w:szCs w:val="15"/>
                <w:color w:val="auto"/>
              </w:rPr>
              <w:t>865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450,645</w:t>
            </w:r>
          </w:p>
        </w:tc>
        <w:tc>
          <w:tcPr>
            <w:tcW w:w="400" w:type="dxa"/>
            <w:vAlign w:val="bottom"/>
          </w:tcPr>
          <w:p>
            <w:pPr>
              <w:spacing w:after="0"/>
              <w:rPr>
                <w:sz w:val="13"/>
                <w:szCs w:val="13"/>
                <w:color w:val="auto"/>
              </w:rPr>
            </w:pPr>
          </w:p>
        </w:tc>
        <w:tc>
          <w:tcPr>
            <w:tcW w:w="780" w:type="dxa"/>
            <w:vAlign w:val="bottom"/>
            <w:vMerge w:val="restart"/>
          </w:tcPr>
          <w:p>
            <w:pPr>
              <w:ind w:left="500"/>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191"/>
        </w:trPr>
        <w:tc>
          <w:tcPr>
            <w:tcW w:w="1880" w:type="dxa"/>
            <w:vAlign w:val="bottom"/>
            <w:gridSpan w:val="2"/>
          </w:tcPr>
          <w:p>
            <w:pPr>
              <w:ind w:left="180"/>
              <w:spacing w:after="0"/>
              <w:rPr>
                <w:sz w:val="20"/>
                <w:szCs w:val="20"/>
                <w:color w:val="auto"/>
              </w:rPr>
            </w:pPr>
            <w:r>
              <w:rPr>
                <w:rFonts w:ascii="Arial" w:cs="Arial" w:eastAsia="Arial" w:hAnsi="Arial"/>
                <w:sz w:val="15"/>
                <w:szCs w:val="15"/>
                <w:color w:val="auto"/>
              </w:rPr>
              <w:t>incurred</w:t>
            </w:r>
          </w:p>
        </w:tc>
        <w:tc>
          <w:tcPr>
            <w:tcW w:w="6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5"/>
                <w:szCs w:val="15"/>
                <w:color w:val="auto"/>
              </w:rPr>
              <w:t>Medical care ratio, gross</w:t>
            </w:r>
            <w:r>
              <w:rPr>
                <w:rFonts w:ascii="Arial" w:cs="Arial" w:eastAsia="Arial" w:hAnsi="Arial"/>
                <w:sz w:val="19"/>
                <w:szCs w:val="19"/>
                <w:color w:val="auto"/>
                <w:vertAlign w:val="superscript"/>
              </w:rPr>
              <w:t>(2)</w:t>
            </w:r>
          </w:p>
        </w:tc>
        <w:tc>
          <w:tcPr>
            <w:tcW w:w="1040" w:type="dxa"/>
            <w:vAlign w:val="bottom"/>
            <w:gridSpan w:val="2"/>
            <w:shd w:val="clear" w:color="auto" w:fill="CCEEFF"/>
          </w:tcPr>
          <w:p>
            <w:pPr>
              <w:jc w:val="right"/>
              <w:ind w:right="171"/>
              <w:spacing w:after="0"/>
              <w:rPr>
                <w:sz w:val="20"/>
                <w:szCs w:val="20"/>
                <w:color w:val="auto"/>
              </w:rPr>
            </w:pPr>
            <w:r>
              <w:rPr>
                <w:rFonts w:ascii="Arial" w:cs="Arial" w:eastAsia="Arial" w:hAnsi="Arial"/>
                <w:sz w:val="15"/>
                <w:szCs w:val="15"/>
                <w:color w:val="auto"/>
              </w:rPr>
              <w:t>107.1 %</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82.0 %</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rPr>
              <w:t>88.7 %</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N/A</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rPr>
              <w:t>98.8 %</w:t>
            </w:r>
          </w:p>
        </w:tc>
        <w:tc>
          <w:tcPr>
            <w:tcW w:w="7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2"/>
        </w:trPr>
        <w:tc>
          <w:tcPr>
            <w:tcW w:w="1880" w:type="dxa"/>
            <w:vAlign w:val="bottom"/>
            <w:gridSpan w:val="2"/>
          </w:tcPr>
          <w:p>
            <w:pPr>
              <w:ind w:left="20"/>
              <w:spacing w:after="0"/>
              <w:rPr>
                <w:sz w:val="20"/>
                <w:szCs w:val="20"/>
                <w:color w:val="auto"/>
              </w:rPr>
            </w:pPr>
            <w:r>
              <w:rPr>
                <w:rFonts w:ascii="Arial" w:cs="Arial" w:eastAsia="Arial" w:hAnsi="Arial"/>
                <w:sz w:val="15"/>
                <w:szCs w:val="15"/>
                <w:color w:val="auto"/>
              </w:rPr>
              <w:t>Medical care ratio, net</w:t>
            </w:r>
          </w:p>
        </w:tc>
        <w:tc>
          <w:tcPr>
            <w:tcW w:w="640" w:type="dxa"/>
            <w:vAlign w:val="bottom"/>
          </w:tcPr>
          <w:p>
            <w:pPr>
              <w:jc w:val="right"/>
              <w:spacing w:after="0"/>
              <w:rPr>
                <w:sz w:val="20"/>
                <w:szCs w:val="20"/>
                <w:color w:val="auto"/>
              </w:rPr>
            </w:pPr>
            <w:r>
              <w:rPr>
                <w:rFonts w:ascii="Arial" w:cs="Arial" w:eastAsia="Arial" w:hAnsi="Arial"/>
                <w:sz w:val="15"/>
                <w:szCs w:val="15"/>
                <w:color w:val="auto"/>
              </w:rPr>
              <w:t>107.1</w:t>
            </w:r>
          </w:p>
        </w:tc>
        <w:tc>
          <w:tcPr>
            <w:tcW w:w="4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Arial" w:cs="Arial" w:eastAsia="Arial" w:hAnsi="Arial"/>
                <w:sz w:val="15"/>
                <w:szCs w:val="15"/>
                <w:color w:val="auto"/>
              </w:rPr>
              <w:t>81.9</w:t>
            </w:r>
          </w:p>
        </w:tc>
        <w:tc>
          <w:tcPr>
            <w:tcW w:w="20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5"/>
                <w:szCs w:val="15"/>
                <w:color w:val="auto"/>
              </w:rPr>
              <w:t>N/A</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88.7</w:t>
            </w:r>
          </w:p>
        </w:tc>
        <w:tc>
          <w:tcPr>
            <w:tcW w:w="40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5"/>
                <w:szCs w:val="15"/>
                <w:color w:val="auto"/>
              </w:rPr>
              <w:t>N/A</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98.6</w:t>
            </w:r>
          </w:p>
        </w:tc>
        <w:tc>
          <w:tcPr>
            <w:tcW w:w="40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8" w:lineRule="exact"/>
        <w:rPr>
          <w:sz w:val="20"/>
          <w:szCs w:val="20"/>
          <w:color w:val="auto"/>
        </w:rPr>
      </w:pPr>
    </w:p>
    <w:p>
      <w:pPr>
        <w:ind w:left="300" w:hanging="291"/>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Calculated per member per month figures (PMPM) are based on the applicable amount divided by member months in the given period.</w:t>
      </w:r>
    </w:p>
    <w:p>
      <w:pPr>
        <w:ind w:left="300" w:hanging="291"/>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Defined as our total gross medical claims incurred divided by premiums earned, gross.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Member months represents the number of months members are enrolled in a Clover plan in the period.</w:t>
      </w:r>
    </w:p>
    <w:p>
      <w:pPr>
        <w:spacing w:after="0" w:line="180" w:lineRule="exact"/>
        <w:rPr>
          <w:sz w:val="20"/>
          <w:szCs w:val="20"/>
          <w:color w:val="auto"/>
        </w:rPr>
      </w:pPr>
    </w:p>
    <w:p>
      <w:pPr>
        <w:ind w:left="7960"/>
        <w:spacing w:after="0"/>
        <w:rPr>
          <w:sz w:val="20"/>
          <w:szCs w:val="20"/>
          <w:color w:val="auto"/>
        </w:rPr>
      </w:pPr>
      <w:r>
        <w:rPr>
          <w:rFonts w:ascii="Arial" w:cs="Arial" w:eastAsia="Arial" w:hAnsi="Arial"/>
          <w:sz w:val="13"/>
          <w:szCs w:val="13"/>
          <w:b w:val="1"/>
          <w:bCs w:val="1"/>
          <w:color w:val="auto"/>
        </w:rPr>
        <w:t>Nine Months Ended</w:t>
      </w:r>
    </w:p>
    <w:p>
      <w:pPr>
        <w:ind w:left="7980"/>
        <w:spacing w:after="0"/>
        <w:rPr>
          <w:sz w:val="20"/>
          <w:szCs w:val="20"/>
          <w:color w:val="auto"/>
        </w:rPr>
      </w:pPr>
      <w:r>
        <w:rPr>
          <w:rFonts w:ascii="Arial" w:cs="Arial" w:eastAsia="Arial" w:hAnsi="Arial"/>
          <w:sz w:val="13"/>
          <w:szCs w:val="13"/>
          <w:b w:val="1"/>
          <w:bCs w:val="1"/>
          <w:color w:val="auto"/>
        </w:rPr>
        <w:t>September 30, 2021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20" w:type="dxa"/>
            <w:vAlign w:val="bottom"/>
          </w:tcPr>
          <w:p>
            <w:pPr>
              <w:ind w:left="20"/>
              <w:spacing w:after="0"/>
              <w:rPr>
                <w:sz w:val="20"/>
                <w:szCs w:val="20"/>
                <w:color w:val="auto"/>
              </w:rPr>
            </w:pPr>
            <w:r>
              <w:rPr>
                <w:rFonts w:ascii="Arial" w:cs="Arial" w:eastAsia="Arial" w:hAnsi="Arial"/>
                <w:sz w:val="13"/>
                <w:szCs w:val="13"/>
                <w:color w:val="auto"/>
              </w:rPr>
              <w:t>(Revenue and claims amounts in thousands, except per-beneficiary per-month (PBPM) amounts)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40"/>
              <w:spacing w:after="0"/>
              <w:rPr>
                <w:sz w:val="20"/>
                <w:szCs w:val="20"/>
                <w:color w:val="auto"/>
              </w:rPr>
            </w:pPr>
            <w:r>
              <w:rPr>
                <w:rFonts w:ascii="Arial" w:cs="Arial" w:eastAsia="Arial" w:hAnsi="Arial"/>
                <w:sz w:val="13"/>
                <w:szCs w:val="13"/>
                <w:b w:val="1"/>
                <w:bCs w:val="1"/>
                <w:color w:val="auto"/>
                <w:w w:val="95"/>
              </w:rPr>
              <w:t>PBPM</w:t>
            </w:r>
          </w:p>
        </w:tc>
      </w:tr>
      <w:tr>
        <w:trPr>
          <w:trHeight w:val="161"/>
        </w:trPr>
        <w:tc>
          <w:tcPr>
            <w:tcW w:w="5620" w:type="dxa"/>
            <w:vAlign w:val="bottom"/>
          </w:tcPr>
          <w:p>
            <w:pPr>
              <w:ind w:left="20"/>
              <w:spacing w:after="0" w:line="161" w:lineRule="exact"/>
              <w:rPr>
                <w:sz w:val="20"/>
                <w:szCs w:val="20"/>
                <w:color w:val="auto"/>
              </w:rPr>
            </w:pPr>
            <w:r>
              <w:rPr>
                <w:rFonts w:ascii="Arial" w:cs="Arial" w:eastAsia="Arial" w:hAnsi="Arial"/>
                <w:sz w:val="13"/>
                <w:szCs w:val="13"/>
                <w:b w:val="1"/>
                <w:bCs w:val="1"/>
                <w:color w:val="auto"/>
              </w:rPr>
              <w:t xml:space="preserve">Direct Contracting Data </w:t>
            </w:r>
            <w:r>
              <w:rPr>
                <w:rFonts w:ascii="Arial" w:cs="Arial" w:eastAsia="Arial" w:hAnsi="Arial"/>
                <w:sz w:val="17"/>
                <w:szCs w:val="17"/>
                <w:b w:val="1"/>
                <w:bCs w:val="1"/>
                <w:color w:val="auto"/>
                <w:vertAlign w:val="superscript"/>
              </w:rPr>
              <w:t>(1)</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210"/>
        </w:trPr>
        <w:tc>
          <w:tcPr>
            <w:tcW w:w="56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Beneficiaries as of period end </w:t>
            </w:r>
            <w:r>
              <w:rPr>
                <w:rFonts w:ascii="Arial" w:cs="Arial" w:eastAsia="Arial" w:hAnsi="Arial"/>
                <w:sz w:val="21"/>
                <w:szCs w:val="21"/>
                <w:color w:val="auto"/>
                <w:vertAlign w:val="superscript"/>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61,818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Direct Contracting revenue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439,020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medical claims incurred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469,972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78"/>
        </w:trPr>
        <w:tc>
          <w:tcPr>
            <w:tcW w:w="5620" w:type="dxa"/>
            <w:vAlign w:val="bottom"/>
          </w:tcPr>
          <w:p>
            <w:pPr>
              <w:ind w:left="20"/>
              <w:spacing w:after="0"/>
              <w:rPr>
                <w:sz w:val="20"/>
                <w:szCs w:val="20"/>
                <w:color w:val="auto"/>
              </w:rPr>
            </w:pPr>
            <w:r>
              <w:rPr>
                <w:rFonts w:ascii="Arial" w:cs="Arial" w:eastAsia="Arial" w:hAnsi="Arial"/>
                <w:sz w:val="16"/>
                <w:szCs w:val="16"/>
                <w:color w:val="auto"/>
              </w:rPr>
              <w:t>Direct Contracting margin</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107.1 %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50"/>
        </w:trPr>
        <w:tc>
          <w:tcPr>
            <w:tcW w:w="5620" w:type="dxa"/>
            <w:vAlign w:val="bottom"/>
          </w:tcPr>
          <w:p>
            <w:pPr>
              <w:spacing w:after="0"/>
              <w:rPr>
                <w:sz w:val="20"/>
                <w:szCs w:val="20"/>
                <w:color w:val="auto"/>
              </w:rPr>
            </w:pPr>
            <w:r>
              <w:rPr>
                <w:rFonts w:ascii="Arial" w:cs="Arial" w:eastAsia="Arial" w:hAnsi="Arial"/>
                <w:sz w:val="13"/>
                <w:szCs w:val="13"/>
                <w:color w:val="auto"/>
              </w:rPr>
              <w:t>_______________</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8"/>
        </w:trPr>
        <w:tc>
          <w:tcPr>
            <w:tcW w:w="5620" w:type="dxa"/>
            <w:vAlign w:val="bottom"/>
          </w:tcPr>
          <w:p>
            <w:pPr>
              <w:spacing w:after="0" w:line="149" w:lineRule="exact"/>
              <w:rPr>
                <w:sz w:val="20"/>
                <w:szCs w:val="20"/>
                <w:color w:val="auto"/>
              </w:rPr>
            </w:pPr>
            <w:r>
              <w:rPr>
                <w:rFonts w:ascii="Arial" w:cs="Arial" w:eastAsia="Arial" w:hAnsi="Arial"/>
                <w:sz w:val="13"/>
                <w:szCs w:val="13"/>
                <w:color w:val="auto"/>
              </w:rPr>
              <w:t>(1)  We began participating in Direct Contracting in April 2021.</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5"/>
        </w:trPr>
        <w:tc>
          <w:tcPr>
            <w:tcW w:w="5620" w:type="dxa"/>
            <w:vAlign w:val="bottom"/>
          </w:tcPr>
          <w:p>
            <w:pPr>
              <w:spacing w:after="0"/>
              <w:rPr>
                <w:sz w:val="20"/>
                <w:szCs w:val="20"/>
                <w:color w:val="auto"/>
              </w:rPr>
            </w:pPr>
            <w:r>
              <w:rPr>
                <w:rFonts w:ascii="Arial" w:cs="Arial" w:eastAsia="Arial" w:hAnsi="Arial"/>
                <w:sz w:val="13"/>
                <w:szCs w:val="13"/>
                <w:color w:val="auto"/>
              </w:rPr>
              <w:t>(2)  Defined as net medical claims incurred divided by Direct Contracting revenue.</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8"/>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202"/>
              <w:spacing w:after="0"/>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00" w:type="dxa"/>
            <w:vAlign w:val="bottom"/>
            <w:tcBorders>
              <w:bottom w:val="single" w:sz="8" w:color="auto"/>
            </w:tcBorders>
          </w:tcPr>
          <w:p>
            <w:pPr>
              <w:spacing w:after="0"/>
              <w:rPr>
                <w:sz w:val="24"/>
                <w:szCs w:val="24"/>
                <w:color w:val="auto"/>
              </w:rPr>
            </w:pPr>
          </w:p>
        </w:tc>
      </w:tr>
      <w:tr>
        <w:trPr>
          <w:trHeight w:val="171"/>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2019</w:t>
            </w:r>
          </w:p>
        </w:tc>
      </w:tr>
      <w:tr>
        <w:trPr>
          <w:trHeight w:val="165"/>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202,264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92,348</w:t>
            </w:r>
          </w:p>
        </w:tc>
        <w:tc>
          <w:tcPr>
            <w:tcW w:w="100" w:type="dxa"/>
            <w:vAlign w:val="bottom"/>
          </w:tcPr>
          <w:p>
            <w:pPr>
              <w:spacing w:after="0"/>
              <w:rPr>
                <w:sz w:val="18"/>
                <w:szCs w:val="18"/>
                <w:color w:val="auto"/>
              </w:rPr>
            </w:pPr>
          </w:p>
        </w:tc>
        <w:tc>
          <w:tcPr>
            <w:tcW w:w="500" w:type="dxa"/>
            <w:vAlign w:val="bottom"/>
          </w:tcPr>
          <w:p>
            <w:pPr>
              <w:jc w:val="right"/>
              <w:ind w:right="33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67,598</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111,068</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952,478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267,252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337,021</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and securities payable, net of discount and deferred issuance costs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57,917</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44,810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138,561</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payable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40"/>
          </w:cols>
          <w:pgMar w:left="920" w:top="1440" w:right="939" w:bottom="1440" w:gutter="0" w:footer="0" w:header="0"/>
        </w:sectPr>
      </w:pPr>
    </w:p>
    <w:bookmarkStart w:id="13" w:name="page14"/>
    <w:bookmarkEnd w:id="13"/>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844"/>
        </w:trPr>
        <w:tc>
          <w:tcPr>
            <w:tcW w:w="600" w:type="dxa"/>
            <w:vAlign w:val="bottom"/>
            <w:tcBorders>
              <w:top w:val="single" w:sz="8" w:color="auto"/>
              <w:left w:val="single" w:sz="8" w:color="auto"/>
            </w:tcBorders>
          </w:tcPr>
          <w:p>
            <w:pPr>
              <w:spacing w:after="0"/>
              <w:rPr>
                <w:sz w:val="24"/>
                <w:szCs w:val="24"/>
                <w:color w:val="auto"/>
              </w:rPr>
            </w:pPr>
          </w:p>
        </w:tc>
        <w:tc>
          <w:tcPr>
            <w:tcW w:w="4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Convertible preferred stock</w:t>
            </w:r>
          </w:p>
        </w:tc>
        <w:tc>
          <w:tcPr>
            <w:tcW w:w="304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378"/>
              <w:spacing w:after="0"/>
              <w:rPr>
                <w:sz w:val="20"/>
                <w:szCs w:val="20"/>
                <w:color w:val="auto"/>
              </w:rPr>
            </w:pPr>
            <w:r>
              <w:rPr>
                <w:rFonts w:ascii="Arial" w:cs="Arial" w:eastAsia="Arial" w:hAnsi="Arial"/>
                <w:sz w:val="16"/>
                <w:szCs w:val="16"/>
                <w:color w:val="auto"/>
              </w:rPr>
              <w:t>447,747</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447,747</w:t>
            </w:r>
          </w:p>
        </w:tc>
        <w:tc>
          <w:tcPr>
            <w:tcW w:w="620" w:type="dxa"/>
            <w:vAlign w:val="bottom"/>
            <w:tcBorders>
              <w:top w:val="single" w:sz="8" w:color="auto"/>
              <w:right w:val="single" w:sz="8" w:color="auto"/>
            </w:tcBorders>
          </w:tcPr>
          <w:p>
            <w:pPr>
              <w:spacing w:after="0"/>
              <w:rPr>
                <w:sz w:val="24"/>
                <w:szCs w:val="24"/>
                <w:color w:val="auto"/>
              </w:rPr>
            </w:pPr>
          </w:p>
        </w:tc>
      </w:tr>
      <w:tr>
        <w:trPr>
          <w:trHeight w:val="211"/>
        </w:trPr>
        <w:tc>
          <w:tcPr>
            <w:tcW w:w="600" w:type="dxa"/>
            <w:vAlign w:val="bottom"/>
            <w:tcBorders>
              <w:left w:val="single" w:sz="8" w:color="auto"/>
            </w:tcBorders>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304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412,290</w:t>
            </w:r>
          </w:p>
        </w:tc>
        <w:tc>
          <w:tcPr>
            <w:tcW w:w="15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(613,193)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(488,537)</w:t>
            </w:r>
          </w:p>
        </w:tc>
        <w:tc>
          <w:tcPr>
            <w:tcW w:w="620" w:type="dxa"/>
            <w:vAlign w:val="bottom"/>
            <w:tcBorders>
              <w:right w:val="single" w:sz="8" w:color="auto"/>
            </w:tcBorders>
          </w:tcPr>
          <w:p>
            <w:pPr>
              <w:spacing w:after="0"/>
              <w:rPr>
                <w:sz w:val="18"/>
                <w:szCs w:val="18"/>
                <w:color w:val="auto"/>
              </w:rPr>
            </w:pPr>
          </w:p>
        </w:tc>
      </w:tr>
      <w:tr>
        <w:trPr>
          <w:trHeight w:val="824"/>
        </w:trPr>
        <w:tc>
          <w:tcPr>
            <w:tcW w:w="600" w:type="dxa"/>
            <w:vAlign w:val="bottom"/>
            <w:tcBorders>
              <w:left w:val="single" w:sz="8" w:color="auto"/>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-802640</wp:posOffset>
            </wp:positionV>
            <wp:extent cx="6366510" cy="133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6651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6967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830" cy="69678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 Factor Summary</w:t>
      </w:r>
    </w:p>
    <w:p>
      <w:pPr>
        <w:spacing w:after="0" w:line="166"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represent challenges that we face in connection with the successful implementation of our strategy and growth of our business. The occurrence of one or more of the events or circumstances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alone or in combination with other events or circumstances, may adversely affect our ability to realize the anticipated benefits of the Business Combination, and may have an adverse effect on our business, financial condition, results of operations, and prospects. Such risks include, but are not limited to:</w:t>
      </w:r>
    </w:p>
    <w:p>
      <w:pPr>
        <w:spacing w:after="0" w:line="118" w:lineRule="exact"/>
        <w:rPr>
          <w:sz w:val="20"/>
          <w:szCs w:val="20"/>
          <w:color w:val="auto"/>
        </w:rPr>
      </w:pPr>
    </w:p>
    <w:p>
      <w:pPr>
        <w:ind w:left="600" w:right="62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incurred net losses in the past, we anticipate increased expenses in the future, and we may not be able to achieve or maintain profitability.</w:t>
      </w:r>
    </w:p>
    <w:p>
      <w:pPr>
        <w:spacing w:after="0" w:line="99" w:lineRule="exact"/>
        <w:rPr>
          <w:rFonts w:ascii="Arial" w:cs="Arial" w:eastAsia="Arial" w:hAnsi="Arial"/>
          <w:sz w:val="16"/>
          <w:szCs w:val="16"/>
          <w:color w:val="auto"/>
        </w:rPr>
      </w:pPr>
    </w:p>
    <w:p>
      <w:pPr>
        <w:ind w:left="600" w:hanging="29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relatively limited experience with the Clover Assistant, and initial results may not be indicative of future performance.</w:t>
      </w:r>
    </w:p>
    <w:p>
      <w:pPr>
        <w:spacing w:after="0" w:line="162" w:lineRule="exact"/>
        <w:rPr>
          <w:rFonts w:ascii="Arial" w:cs="Arial" w:eastAsia="Arial" w:hAnsi="Arial"/>
          <w:sz w:val="16"/>
          <w:szCs w:val="16"/>
          <w:color w:val="auto"/>
        </w:rPr>
      </w:pPr>
    </w:p>
    <w:p>
      <w:pPr>
        <w:ind w:left="600" w:hanging="29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expansion into Direct Contracting presents new risks to our business.</w:t>
      </w:r>
    </w:p>
    <w:p>
      <w:pPr>
        <w:spacing w:after="0" w:line="162" w:lineRule="exact"/>
        <w:rPr>
          <w:rFonts w:ascii="Arial" w:cs="Arial" w:eastAsia="Arial" w:hAnsi="Arial"/>
          <w:sz w:val="16"/>
          <w:szCs w:val="16"/>
          <w:color w:val="auto"/>
        </w:rPr>
      </w:pPr>
    </w:p>
    <w:p>
      <w:pPr>
        <w:ind w:left="600" w:right="100" w:hanging="295"/>
        <w:spacing w:after="0" w:line="325" w:lineRule="auto"/>
        <w:tabs>
          <w:tab w:leader="none" w:pos="596"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76" w:lineRule="exact"/>
        <w:rPr>
          <w:rFonts w:ascii="Arial" w:cs="Arial" w:eastAsia="Arial" w:hAnsi="Arial"/>
          <w:sz w:val="15"/>
          <w:szCs w:val="15"/>
          <w:color w:val="auto"/>
        </w:rPr>
      </w:pPr>
    </w:p>
    <w:p>
      <w:pPr>
        <w:ind w:left="600" w:right="180" w:hanging="295"/>
        <w:spacing w:after="0" w:line="274"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spacing w:after="0" w:line="111" w:lineRule="exact"/>
        <w:rPr>
          <w:rFonts w:ascii="Arial" w:cs="Arial" w:eastAsia="Arial" w:hAnsi="Arial"/>
          <w:sz w:val="16"/>
          <w:szCs w:val="16"/>
          <w:color w:val="auto"/>
        </w:rPr>
      </w:pPr>
    </w:p>
    <w:p>
      <w:pPr>
        <w:ind w:left="600" w:right="58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CMS’s risk adjustment payment system makes our revenue and profitability difficult to predict and could result in material retroactive adjustments to our results of operations.</w:t>
      </w:r>
    </w:p>
    <w:p>
      <w:pPr>
        <w:spacing w:after="0" w:line="99" w:lineRule="exact"/>
        <w:rPr>
          <w:rFonts w:ascii="Arial" w:cs="Arial" w:eastAsia="Arial" w:hAnsi="Arial"/>
          <w:sz w:val="16"/>
          <w:szCs w:val="16"/>
          <w:color w:val="auto"/>
        </w:rPr>
      </w:pPr>
    </w:p>
    <w:p>
      <w:pPr>
        <w:ind w:left="600" w:right="52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risks associated with the COVID-19 pandemic, which could have a material adverse effect on our business, results of operations, financial condition, and financial performance.</w:t>
      </w:r>
    </w:p>
    <w:p>
      <w:pPr>
        <w:spacing w:after="0" w:line="99" w:lineRule="exact"/>
        <w:rPr>
          <w:rFonts w:ascii="Arial" w:cs="Arial" w:eastAsia="Arial" w:hAnsi="Arial"/>
          <w:sz w:val="16"/>
          <w:szCs w:val="16"/>
          <w:color w:val="auto"/>
        </w:rPr>
      </w:pPr>
    </w:p>
    <w:p>
      <w:pPr>
        <w:ind w:left="600" w:right="2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adoption and use of the Clover Assistant is lower than we expect, our growth may slow or stall, or we may experience a decline in our Lives under Clover Management, and our operating results could be adversely affected.</w:t>
      </w:r>
    </w:p>
    <w:p>
      <w:pPr>
        <w:spacing w:after="0" w:line="99" w:lineRule="exact"/>
        <w:rPr>
          <w:rFonts w:ascii="Arial" w:cs="Arial" w:eastAsia="Arial" w:hAnsi="Arial"/>
          <w:sz w:val="16"/>
          <w:szCs w:val="16"/>
          <w:color w:val="auto"/>
        </w:rPr>
      </w:pPr>
    </w:p>
    <w:p>
      <w:pPr>
        <w:ind w:left="60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succeed in expanding our Lives under Clover Management, our future growth would be limited, and our business, financial condition, and results of operations would be harmed.</w:t>
      </w:r>
    </w:p>
    <w:p>
      <w:pPr>
        <w:spacing w:after="0" w:line="99" w:lineRule="exact"/>
        <w:rPr>
          <w:rFonts w:ascii="Arial" w:cs="Arial" w:eastAsia="Arial" w:hAnsi="Arial"/>
          <w:sz w:val="16"/>
          <w:szCs w:val="16"/>
          <w:color w:val="auto"/>
        </w:rPr>
      </w:pPr>
    </w:p>
    <w:p>
      <w:pPr>
        <w:ind w:left="600" w:right="44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members and DCE Beneficiaries remain concentrated in certain geographic areas and populations, which exposes us to unfavorable changes in local benefit costs, reimbursement rates, competition, and economic conditions.</w:t>
      </w:r>
    </w:p>
    <w:p>
      <w:pPr>
        <w:spacing w:after="0" w:line="99" w:lineRule="exact"/>
        <w:rPr>
          <w:rFonts w:ascii="Arial" w:cs="Arial" w:eastAsia="Arial" w:hAnsi="Arial"/>
          <w:sz w:val="16"/>
          <w:szCs w:val="16"/>
          <w:color w:val="auto"/>
        </w:rPr>
      </w:pPr>
    </w:p>
    <w:p>
      <w:pPr>
        <w:ind w:left="600" w:hanging="29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new markets, particularly rural markets, may not be as profitable to serve as our existing markets.</w:t>
      </w:r>
    </w:p>
    <w:p>
      <w:pPr>
        <w:spacing w:after="0" w:line="162" w:lineRule="exact"/>
        <w:rPr>
          <w:rFonts w:ascii="Arial" w:cs="Arial" w:eastAsia="Arial" w:hAnsi="Arial"/>
          <w:sz w:val="16"/>
          <w:szCs w:val="16"/>
          <w:color w:val="auto"/>
        </w:rPr>
      </w:pPr>
    </w:p>
    <w:p>
      <w:pPr>
        <w:ind w:left="600" w:right="12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operating results may be adversely affected if we are unable to grow our provider networks or contract with providers, medical facilities, and other entities on competitive terms.</w:t>
      </w:r>
    </w:p>
    <w:p>
      <w:pPr>
        <w:spacing w:after="0" w:line="99" w:lineRule="exact"/>
        <w:rPr>
          <w:rFonts w:ascii="Arial" w:cs="Arial" w:eastAsia="Arial" w:hAnsi="Arial"/>
          <w:sz w:val="16"/>
          <w:szCs w:val="16"/>
          <w:color w:val="auto"/>
        </w:rPr>
      </w:pPr>
    </w:p>
    <w:p>
      <w:pPr>
        <w:ind w:left="600" w:right="36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unable to effectively manage our growth, which could have a material adverse effect on our business, financial condition, and results of operations.</w:t>
      </w:r>
    </w:p>
    <w:p>
      <w:pPr>
        <w:spacing w:after="0" w:line="99" w:lineRule="exact"/>
        <w:rPr>
          <w:rFonts w:ascii="Arial" w:cs="Arial" w:eastAsia="Arial" w:hAnsi="Arial"/>
          <w:sz w:val="16"/>
          <w:szCs w:val="16"/>
          <w:color w:val="auto"/>
        </w:rPr>
      </w:pPr>
    </w:p>
    <w:p>
      <w:pPr>
        <w:ind w:left="600" w:hanging="295"/>
        <w:spacing w:after="0"/>
        <w:tabs>
          <w:tab w:leader="none" w:pos="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international operations pose certain risks to our business that may be different from risks associated with our domestic operations.</w:t>
      </w:r>
    </w:p>
    <w:p>
      <w:pPr>
        <w:spacing w:after="0" w:line="173" w:lineRule="exact"/>
        <w:rPr>
          <w:rFonts w:ascii="Arial" w:cs="Arial" w:eastAsia="Arial" w:hAnsi="Arial"/>
          <w:sz w:val="15"/>
          <w:szCs w:val="15"/>
          <w:color w:val="auto"/>
        </w:rPr>
      </w:pPr>
    </w:p>
    <w:p>
      <w:pPr>
        <w:ind w:left="600" w:right="16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currently, and may in the future be, subject to investigations and litigation, which could be costly and time-consuming to defend, and the outcomes of which cannot be predicted.</w:t>
      </w:r>
    </w:p>
    <w:p>
      <w:pPr>
        <w:spacing w:after="0" w:line="99" w:lineRule="exact"/>
        <w:rPr>
          <w:rFonts w:ascii="Arial" w:cs="Arial" w:eastAsia="Arial" w:hAnsi="Arial"/>
          <w:sz w:val="16"/>
          <w:szCs w:val="16"/>
          <w:color w:val="auto"/>
        </w:rPr>
      </w:pPr>
    </w:p>
    <w:p>
      <w:pPr>
        <w:ind w:left="600" w:right="160" w:hanging="295"/>
        <w:spacing w:after="0" w:line="29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derive substantially all of our total revenues from Medicare Advantage premiums and Direct Contracting revenue and expect to continue to derive a substantial portion of our total revenues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161290</wp:posOffset>
            </wp:positionV>
            <wp:extent cx="716915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020"/>
          </w:cols>
          <w:pgMar w:left="920" w:top="1440" w:right="9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934085</wp:posOffset>
            </wp:positionV>
            <wp:extent cx="7148830" cy="4048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404812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00" w:right="280"/>
        <w:spacing w:after="0" w:line="274" w:lineRule="auto"/>
        <w:rPr>
          <w:sz w:val="20"/>
          <w:szCs w:val="20"/>
          <w:color w:val="auto"/>
        </w:rPr>
      </w:pPr>
      <w:r>
        <w:rPr>
          <w:rFonts w:ascii="Arial" w:cs="Arial" w:eastAsia="Arial" w:hAnsi="Arial"/>
          <w:sz w:val="16"/>
          <w:szCs w:val="16"/>
          <w:color w:val="auto"/>
        </w:rPr>
        <w:t>from these lines of business.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112" w:lineRule="exact"/>
        <w:rPr>
          <w:sz w:val="20"/>
          <w:szCs w:val="20"/>
          <w:color w:val="auto"/>
        </w:rPr>
      </w:pPr>
    </w:p>
    <w:p>
      <w:pPr>
        <w:ind w:left="300" w:right="260" w:hanging="295"/>
        <w:spacing w:after="0" w:line="290" w:lineRule="auto"/>
        <w:tabs>
          <w:tab w:leader="none" w:pos="296"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protect or enforce our intellectual property rights could impair our ability to protect our internally-developed technology and our brand, and our business may be adversely affected.</w:t>
      </w:r>
    </w:p>
    <w:p>
      <w:pPr>
        <w:spacing w:after="0" w:line="99" w:lineRule="exact"/>
        <w:rPr>
          <w:rFonts w:ascii="Arial" w:cs="Arial" w:eastAsia="Arial" w:hAnsi="Arial"/>
          <w:sz w:val="16"/>
          <w:szCs w:val="16"/>
          <w:color w:val="auto"/>
        </w:rPr>
      </w:pPr>
    </w:p>
    <w:p>
      <w:pPr>
        <w:ind w:left="300" w:hanging="295"/>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to obtain or maintain the right to use certain of our intellectual property could negatively affect our business.</w:t>
      </w:r>
    </w:p>
    <w:p>
      <w:pPr>
        <w:spacing w:after="0" w:line="162" w:lineRule="exact"/>
        <w:rPr>
          <w:rFonts w:ascii="Arial" w:cs="Arial" w:eastAsia="Arial" w:hAnsi="Arial"/>
          <w:sz w:val="16"/>
          <w:szCs w:val="16"/>
          <w:color w:val="auto"/>
        </w:rPr>
      </w:pPr>
    </w:p>
    <w:p>
      <w:pPr>
        <w:ind w:left="300" w:right="60" w:hanging="295"/>
        <w:spacing w:after="0" w:line="366" w:lineRule="auto"/>
        <w:tabs>
          <w:tab w:leader="none" w:pos="2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market prices and trading volume of our shares of Class A common stock have experienced extreme volatility in recent periods, and such volatility could return, regardless of our operating performance, which could cause purchasers of our securities to incur substantial losses.</w:t>
      </w:r>
    </w:p>
    <w:p>
      <w:pPr>
        <w:spacing w:after="0" w:line="52" w:lineRule="exact"/>
        <w:rPr>
          <w:rFonts w:ascii="Arial" w:cs="Arial" w:eastAsia="Arial" w:hAnsi="Arial"/>
          <w:sz w:val="14"/>
          <w:szCs w:val="14"/>
          <w:color w:val="auto"/>
        </w:rPr>
      </w:pPr>
    </w:p>
    <w:p>
      <w:pPr>
        <w:ind w:left="300" w:hanging="295"/>
        <w:spacing w:after="0" w:line="274" w:lineRule="auto"/>
        <w:tabs>
          <w:tab w:leader="none" w:pos="296"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“short squeeze” due to a sudden increase in demand for shares of our Class A common stock that largely exceeds supply and/or focused investor trading in anticipation of a potential short squeeze has led to, and could again lead to, extreme price volatility in shares of our Class A common stock.</w:t>
      </w:r>
    </w:p>
    <w:p>
      <w:pPr>
        <w:spacing w:after="0" w:line="111" w:lineRule="exact"/>
        <w:rPr>
          <w:rFonts w:ascii="Arial" w:cs="Arial" w:eastAsia="Arial" w:hAnsi="Arial"/>
          <w:sz w:val="16"/>
          <w:szCs w:val="16"/>
          <w:color w:val="auto"/>
        </w:rPr>
      </w:pPr>
    </w:p>
    <w:p>
      <w:pPr>
        <w:ind w:left="300" w:right="220" w:hanging="295"/>
        <w:spacing w:after="0" w:line="290" w:lineRule="auto"/>
        <w:tabs>
          <w:tab w:leader="none" w:pos="296"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substantial amounts of our securities in the public markets, or the perception that they might occur, could cause the market price of our common stock to decline.</w:t>
      </w:r>
    </w:p>
    <w:p>
      <w:pPr>
        <w:spacing w:after="0" w:line="99" w:lineRule="exact"/>
        <w:rPr>
          <w:rFonts w:ascii="Arial" w:cs="Arial" w:eastAsia="Arial" w:hAnsi="Arial"/>
          <w:sz w:val="16"/>
          <w:szCs w:val="16"/>
          <w:color w:val="auto"/>
        </w:rPr>
      </w:pPr>
    </w:p>
    <w:p>
      <w:pPr>
        <w:ind w:left="300" w:right="40" w:hanging="295"/>
        <w:spacing w:after="0" w:line="266" w:lineRule="auto"/>
        <w:tabs>
          <w:tab w:leader="none" w:pos="29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power with certain stockholders, including our directors, executive officers, principal stockholders, and their respective affiliates, who held in the aggregate 88.5% of the voting power of our capital stock as of September 30,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17" w:lineRule="exact"/>
        <w:rPr>
          <w:rFonts w:ascii="Arial" w:cs="Arial" w:eastAsia="Arial" w:hAnsi="Arial"/>
          <w:sz w:val="16"/>
          <w:szCs w:val="16"/>
          <w:color w:val="auto"/>
        </w:rPr>
      </w:pPr>
    </w:p>
    <w:p>
      <w:pPr>
        <w:ind w:left="300" w:right="80" w:hanging="295"/>
        <w:spacing w:after="0" w:line="366" w:lineRule="auto"/>
        <w:tabs>
          <w:tab w:leader="none" w:pos="296"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161290</wp:posOffset>
            </wp:positionV>
            <wp:extent cx="716915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9700"/>
          </w:cols>
          <w:pgMar w:left="1220" w:top="1440" w:right="979" w:bottom="1440" w:gutter="0" w:footer="0" w:header="0"/>
        </w:sectPr>
      </w:pPr>
    </w:p>
    <w:bookmarkStart w:id="16" w:name="page17"/>
    <w:bookmarkEnd w:id="16"/>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66"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This prospectus contains forward-looking statements within the meaning of Section 27A of the Securities Act of 1933, as amended (the “Securities Act”), and Section 21E of the Securities Exchange Act of 1934, as amended (the “Exchange Act”).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involve a number of judgments, risks and uncertainties, including without limitation, risks related to:</w:t>
      </w:r>
    </w:p>
    <w:p>
      <w:pPr>
        <w:spacing w:after="0" w:line="110" w:lineRule="exact"/>
        <w:rPr>
          <w:sz w:val="20"/>
          <w:szCs w:val="20"/>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expectations regarding results of operations, financial condition and cash flows;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expectations regarding the development and expansion of our Medicare Advantage and Direct Contracting businesses;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enter new service markets and manage our operations;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anticipated trends and challenges in our business and in the markets in which we operate;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expand our beneficiary base and provider network;</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increase adoption and use of the Clover Assistant;</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anticipated benefits associated with the use of the Clover Assistant platform, including our ability to utilize the platform to manage our medicare care ratios;</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develop new features and functionality that meet market needs and achieve market acceptance;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retain and hire necessary employees and staff our operations appropriately;</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and amount of certain investments in growth;</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uncertainties related to the global COVID-19 pandemic on our business, results of operations, and financial condition;</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outcome of any known and unknown litigation and regulatory proceedings;</w:t>
      </w:r>
    </w:p>
    <w:p>
      <w:pPr>
        <w:spacing w:after="0" w:line="162" w:lineRule="exact"/>
        <w:rPr>
          <w:rFonts w:ascii="Arial" w:cs="Arial" w:eastAsia="Arial" w:hAnsi="Arial"/>
          <w:sz w:val="16"/>
          <w:szCs w:val="16"/>
          <w:color w:val="auto"/>
        </w:rPr>
      </w:pPr>
    </w:p>
    <w:p>
      <w:pPr>
        <w:ind w:left="600" w:right="20" w:hanging="304"/>
        <w:spacing w:after="0" w:line="290" w:lineRule="auto"/>
        <w:tabs>
          <w:tab w:leader="none" w:pos="5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current, pending or future legislation, regulations or policies that could have a negative effect on our revenue and businesses, including rules, regulations and policies relating to healthcare and Medicare;</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maintain or improve our Star Ratings or otherwise continue to improve the financial performance of our business;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3" w:lineRule="exact"/>
        <w:rPr>
          <w:sz w:val="20"/>
          <w:szCs w:val="20"/>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 including the societal and economic impact of the COVID-19 pandemic, and geopolitical uncertainty and instability.</w:t>
      </w:r>
    </w:p>
    <w:p>
      <w:pPr>
        <w:spacing w:after="0" w:line="162" w:lineRule="exact"/>
        <w:rPr>
          <w:sz w:val="20"/>
          <w:szCs w:val="20"/>
          <w:color w:val="auto"/>
        </w:rPr>
      </w:pPr>
    </w:p>
    <w:p>
      <w:pPr>
        <w:ind w:right="340" w:firstLine="297"/>
        <w:spacing w:after="0" w:line="287" w:lineRule="auto"/>
        <w:rPr>
          <w:sz w:val="20"/>
          <w:szCs w:val="20"/>
          <w:color w:val="auto"/>
        </w:rPr>
      </w:pPr>
      <w:r>
        <w:rPr>
          <w:rFonts w:ascii="Arial" w:cs="Arial" w:eastAsia="Arial" w:hAnsi="Arial"/>
          <w:sz w:val="15"/>
          <w:szCs w:val="15"/>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06"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166" w:lineRule="exact"/>
        <w:rPr>
          <w:sz w:val="20"/>
          <w:szCs w:val="20"/>
          <w:color w:val="auto"/>
        </w:rPr>
      </w:pPr>
    </w:p>
    <w:p>
      <w:pPr>
        <w:ind w:right="60" w:firstLine="297"/>
        <w:spacing w:after="0" w:line="263" w:lineRule="auto"/>
        <w:rPr>
          <w:sz w:val="20"/>
          <w:szCs w:val="20"/>
          <w:color w:val="auto"/>
        </w:rPr>
      </w:pPr>
      <w:r>
        <w:rPr>
          <w:rFonts w:ascii="Arial" w:cs="Arial" w:eastAsia="Arial" w:hAnsi="Arial"/>
          <w:sz w:val="16"/>
          <w:szCs w:val="16"/>
          <w:i w:val="1"/>
          <w:iCs w:val="1"/>
          <w:color w:val="auto"/>
        </w:rPr>
        <w:t xml:space="preserve">Investing in our securities involves risks. You should consider carefully the risks and uncertainties described below, together with all of the other information in this prospectus, including the section titled </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w:t>
      </w:r>
      <w:r>
        <w:rPr>
          <w:rFonts w:ascii="Arial" w:cs="Arial" w:eastAsia="Arial" w:hAnsi="Arial"/>
          <w:sz w:val="16"/>
          <w:szCs w:val="16"/>
          <w:color w:val="auto"/>
        </w:rPr>
        <w:t>”</w:t>
      </w:r>
      <w:r>
        <w:rPr>
          <w:rFonts w:ascii="Arial" w:cs="Arial" w:eastAsia="Arial" w:hAnsi="Arial"/>
          <w:sz w:val="16"/>
          <w:szCs w:val="16"/>
          <w:i w:val="1"/>
          <w:iCs w:val="1"/>
          <w:color w:val="auto"/>
        </w:rPr>
        <w:t xml:space="preserve">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in the past, we anticipate increased expenses in the future, and we may not be able to achieve or maintain profitability.</w:t>
      </w:r>
    </w:p>
    <w:p>
      <w:pPr>
        <w:spacing w:after="0" w:line="162"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We have incurred net losses of $400.6 million and $10.0 million for the nine month periods ended September 30, 2021 and 2020, respectively, and $136.4 million and $363.7 million for the years ended December 31, 2020 and 2019, respectively. Our accumulated deficit was approximately $1,429.5 million as of September 30, 2021. We expect our operating costs will increase substantially in the foreseeable future and that our losses will continue as we expect to invest significant additional funds towards growing our business and operating as a public company. In particular, we expect to continue to invest in improving the Clover Assistant and our technology infrastructure, developing our clinical care programs, increasing adoption of the Clover Assistant platform, expanding our marketing and outreach efforts, growing our provider networks, expanding our operations geographically, increasing headcount to support our growth, and developing future offerings that improve care and supplement our revenue streams. These efforts may prove more expensive than we currently anticipate, and we may not succeed in increasing our revenue sufficiently to offset these higher expenses.</w:t>
      </w:r>
    </w:p>
    <w:p>
      <w:pPr>
        <w:spacing w:after="0" w:line="124" w:lineRule="exact"/>
        <w:rPr>
          <w:sz w:val="20"/>
          <w:szCs w:val="20"/>
          <w:color w:val="auto"/>
        </w:rPr>
      </w:pPr>
    </w:p>
    <w:p>
      <w:pPr>
        <w:ind w:right="100" w:firstLine="297"/>
        <w:spacing w:after="0" w:line="283" w:lineRule="auto"/>
        <w:rPr>
          <w:sz w:val="20"/>
          <w:szCs w:val="20"/>
          <w:color w:val="auto"/>
        </w:rPr>
      </w:pPr>
      <w:r>
        <w:rPr>
          <w:rFonts w:ascii="Arial" w:cs="Arial" w:eastAsia="Arial" w:hAnsi="Arial"/>
          <w:sz w:val="15"/>
          <w:szCs w:val="15"/>
          <w:color w:val="auto"/>
        </w:rPr>
        <w:t>We currently generate revenue from (i) premiums earned (“MA premiums earned”) in connection with the members under our Medicare Advantage (MA) plans (the “members”), and (ii) capitation payments from the Centers for Medicare &amp; Medicaid Services (CMS) (“Direct Contracting Revenue” and, collectively with MA premiums earned, “total revenues”) for medical services provided on behalf of the Original Medicare beneficiaries aligned to the Company’s Direct Contracting Entity (DCE) in connection with CMS’s Global and Professional Direct Contracting Model (the “DCE Beneficiaries” and, collectively with the members, “Lives under Clover Management” or the “beneficiaries”). Even if we are successful in increasing our Lives under Clover Management and consequently increasing our total revenues from MA premiums earned and Direct Contracting Revenue, we may not successfully and effectively predict, price and manage the medical costs relating to our Lives under Clover Management. As a result, our expenses from net medical claims incurred could exceed any increase in total revenues.</w:t>
      </w:r>
    </w:p>
    <w:p>
      <w:pPr>
        <w:spacing w:after="0" w:line="109"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Furthermore, even if we achieve profitability in the future, we may not be able to sustain profitability in subsequent periods. To date, we have financed our operations principally from the sale of our equity securities, MA premiums earned, Direct Contracting Revenue, and the incurrence of indebtedness. Our cash flow from operations was negative for the nine months ended September 30, 2021 and 2020, and the years ended December 31, 2020 and 2019, and we may not generate positive cash flow from operations in any given period. If we are not able to achieve or maintain profitability or positive cash flow, we will require additional financing, which may not be available on favorable terms, or at all, or which could be dilutive to our stockholders. If we are unable to successfully address these risks and challenges as we encounter them, our business may be harmed, which could negatively affect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relatively limited experience with the Clover Assistant, and initial results may not be indicative of future performance.</w:t>
      </w:r>
    </w:p>
    <w:p>
      <w:pPr>
        <w:spacing w:after="0" w:line="162"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Since launching the Clover Assistant in 2018, we have continued to develop its features and capabilities, adapt our go-to-market strategy and adjust its integration with our Medicare Advantage (MA) plans, our Direct Contracting business, and third-party systems. As a result we may not fully understand the impact of the Clover Assistant on our business and long-term prospects. While the medical care ratio, a measure defined as our total net medical claims expenses incurred divided by premiums earned (MCR), for returning Medicare Advantage members with a PCP who used the Clover Assistant, tends to be lower than the MCR for returning Medicare Advantage members with a PCP who did not use the Clover Assistant, our long-term success depends on maintaining and continuing to improve these effects over time in the markets we serve. There can be no assurance that these effects will improve or persist over time in our current markets or that we can replicate these results as we expand into new markets or into Direct Contracting. We also cannot be certain about the extent to which this differential resulted from use of the Clover Assistant by providers or by other factors. If we are unable to drive and maintain significant reductions in MCR for our members or net medical claims incurred as a percentage of Direct Contracting Revenue (Direct Contracting Margin) for our DCE Beneficiaries to support our business model, it would have a material and adverse effect on our business, financial condition, and results of operation.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expansion into Direct Contracting presents new risks to our business.</w:t>
      </w:r>
    </w:p>
    <w:p>
      <w:pPr>
        <w:spacing w:after="0" w:line="162" w:lineRule="exact"/>
        <w:rPr>
          <w:sz w:val="20"/>
          <w:szCs w:val="20"/>
          <w:color w:val="auto"/>
        </w:rPr>
      </w:pPr>
    </w:p>
    <w:p>
      <w:pPr>
        <w:ind w:right="40" w:firstLine="297"/>
        <w:spacing w:after="0" w:line="260" w:lineRule="auto"/>
        <w:rPr>
          <w:sz w:val="20"/>
          <w:szCs w:val="20"/>
          <w:color w:val="auto"/>
        </w:rPr>
      </w:pPr>
      <w:r>
        <w:rPr>
          <w:rFonts w:ascii="Arial" w:cs="Arial" w:eastAsia="Arial" w:hAnsi="Arial"/>
          <w:sz w:val="16"/>
          <w:szCs w:val="16"/>
          <w:color w:val="auto"/>
        </w:rPr>
        <w:t>We expanded our business into CMS’ new Direct Contracting Model (DC Model) in April 2021, enabling us to target a larger market opportunity, the Medicare fee-for-service (FFS) market, which is the largest segment of Medicare. As such, our Direct Contracting business is in the early stages of development, and we are subject to the risks inherent to the launch of any new business, including the risks that we may not generate sufficient returns to justify our investment and that it may take longer or be more costly to achieve the expected benefits from this new program. In connection with our expansion into Direct Contracting, we are enhancing and iterating the functionality of Clover Assistant as well as forming relationships with a greater number of providers, and we may face new risks and difficulties, many of which we may not be able to predict or foresee. Also, because the DC Model is a new model designed by CMS’s Center for Medicare &amp; Medicaid Innovation (CMMI), CMMI is constantly evaluating the program and may revise the applicable rules and design at any time, and such changes may have a significant impact on our ability to carry out our business. For example, certain CMMI model methodologies, including but not limited to, allowed provider classes, beneficiary alignment, benchmark establishment, and risk score modeling, are subject to continued evaluation and could materially impact profitability. Similarly, while the DC Model is expected to run through December 31, 2026, CMMI can determine to terminate the program at any time, and in some cases may be required to do so, and if the program is terminated, we will no longer be able to target the FFS market, which in turn could reduce the return on our investments and negatively impact our business, financial condition, results of operations and future prospects.</w:t>
      </w:r>
    </w:p>
    <w:p>
      <w:pPr>
        <w:spacing w:after="0" w:line="130"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b w:val="1"/>
          <w:bCs w:val="1"/>
          <w:i w:val="1"/>
          <w:iCs w:val="1"/>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99"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Our future performance is primarily dependent on our ability to utilize the Clover Assistant to drive down the lifetime cost of care for our beneficiaries and utilize our clinical care capabilities to improve the quality of care for our beneficiaries. By doing so, we aim to drive per member per month (PMPM) medical expense savings and generate more accurate risk adjustment data over time. If we fail to achieve such decreases in cost of care, our business, results of operations and financial condition will be adversely affected. See the section entitled “</w:t>
      </w:r>
      <w:r>
        <w:rPr>
          <w:rFonts w:ascii="Arial" w:cs="Arial" w:eastAsia="Arial" w:hAnsi="Arial"/>
          <w:sz w:val="15"/>
          <w:szCs w:val="15"/>
          <w:i w:val="1"/>
          <w:iCs w:val="1"/>
          <w:color w:val="auto"/>
        </w:rPr>
        <w:t>—If we fail to estimate, price for and manage medical expenses in an effective manner, the profitability of our Medicare</w:t>
      </w:r>
      <w:r>
        <w:rPr>
          <w:rFonts w:ascii="Arial" w:cs="Arial" w:eastAsia="Arial" w:hAnsi="Arial"/>
          <w:sz w:val="15"/>
          <w:szCs w:val="15"/>
          <w:color w:val="auto"/>
        </w:rPr>
        <w:t xml:space="preserve"> </w:t>
      </w:r>
      <w:r>
        <w:rPr>
          <w:rFonts w:ascii="Arial" w:cs="Arial" w:eastAsia="Arial" w:hAnsi="Arial"/>
          <w:sz w:val="15"/>
          <w:szCs w:val="15"/>
          <w:i w:val="1"/>
          <w:iCs w:val="1"/>
          <w:color w:val="auto"/>
        </w:rPr>
        <w:t>Advantage plans and Direct Contracting business could decline, which could materially and adversely affect our results of operations, financial position and cash flows.</w:t>
      </w:r>
      <w:r>
        <w:rPr>
          <w:rFonts w:ascii="Arial" w:cs="Arial" w:eastAsia="Arial" w:hAnsi="Arial"/>
          <w:sz w:val="15"/>
          <w:szCs w:val="15"/>
          <w:color w:val="auto"/>
        </w:rPr>
        <w:t>”</w:t>
      </w:r>
    </w:p>
    <w:p>
      <w:pPr>
        <w:spacing w:after="0" w:line="106" w:lineRule="exact"/>
        <w:rPr>
          <w:sz w:val="20"/>
          <w:szCs w:val="20"/>
          <w:color w:val="auto"/>
        </w:rPr>
      </w:pPr>
    </w:p>
    <w:p>
      <w:pPr>
        <w:ind w:right="220" w:firstLine="297"/>
        <w:spacing w:after="0" w:line="274" w:lineRule="auto"/>
        <w:rPr>
          <w:sz w:val="20"/>
          <w:szCs w:val="20"/>
          <w:color w:val="auto"/>
        </w:rPr>
      </w:pPr>
      <w:r>
        <w:rPr>
          <w:rFonts w:ascii="Arial" w:cs="Arial" w:eastAsia="Arial" w:hAnsi="Arial"/>
          <w:sz w:val="16"/>
          <w:szCs w:val="16"/>
          <w:color w:val="auto"/>
        </w:rPr>
        <w:t>Furthermore, if we are unable to retain our members and DCE Beneficiaries,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a member remains enrolled in our plan or a DCE Beneficiary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aligned to our DCE. For example, since returning MA members tend to have lower MCR than do new MA members, rapid membership growth or other shifts in the mix of new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w:t>
      </w:r>
    </w:p>
    <w:p>
      <w:pPr>
        <w:spacing w:after="0" w:line="124" w:lineRule="exact"/>
        <w:rPr>
          <w:sz w:val="20"/>
          <w:szCs w:val="20"/>
          <w:color w:val="auto"/>
        </w:rPr>
      </w:pPr>
    </w:p>
    <w:p>
      <w:pPr>
        <w:ind w:right="260" w:firstLine="297"/>
        <w:spacing w:after="0" w:line="268" w:lineRule="auto"/>
        <w:rPr>
          <w:sz w:val="20"/>
          <w:szCs w:val="20"/>
          <w:color w:val="auto"/>
        </w:rPr>
      </w:pPr>
      <w:r>
        <w:rPr>
          <w:rFonts w:ascii="Arial" w:cs="Arial" w:eastAsia="Arial" w:hAnsi="Arial"/>
          <w:sz w:val="16"/>
          <w:szCs w:val="16"/>
          <w:color w:val="auto"/>
        </w:rPr>
        <w:t>While we are only in our first performance year under the DC Model, we believe that similar to our MA members, returning DCE Beneficiaries could also tend to have a lower Direct Contracting Margin than do the average DCE Beneficiaries who are newly aligned to our DCE due in part to consistent adoption of the DCE’s strategies by participating providers through the demonstration period. Rapid growth in DCE Beneficiaries or other shifts in the mix of net and returning DCE Beneficiaries could adversely affect our Direct Contracting Margin in the near-term and lead to greater losses.</w:t>
      </w:r>
    </w:p>
    <w:p>
      <w:pPr>
        <w:spacing w:after="0" w:line="118" w:lineRule="exact"/>
        <w:rPr>
          <w:sz w:val="20"/>
          <w:szCs w:val="20"/>
          <w:color w:val="auto"/>
        </w:rPr>
      </w:pPr>
    </w:p>
    <w:p>
      <w:pPr>
        <w:ind w:right="480"/>
        <w:spacing w:after="0" w:line="325" w:lineRule="auto"/>
        <w:rPr>
          <w:sz w:val="20"/>
          <w:szCs w:val="20"/>
          <w:color w:val="auto"/>
        </w:rPr>
      </w:pPr>
      <w:r>
        <w:rPr>
          <w:rFonts w:ascii="Arial" w:cs="Arial" w:eastAsia="Arial" w:hAnsi="Arial"/>
          <w:sz w:val="15"/>
          <w:szCs w:val="15"/>
          <w:b w:val="1"/>
          <w:bCs w:val="1"/>
          <w:i w:val="1"/>
          <w:iCs w:val="1"/>
          <w:color w:val="auto"/>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spacing w:after="0" w:line="77"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auto"/>
        </w:rPr>
        <w:t>Through our MA plans, we assume the risk of both the cost of medical services for our members, or medical expenses, and administrative costs for our members in return for monthly premiums, which we are paid by the Centers for Medicare &amp; Medicaid Services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As a result, our ability to enhance the profitability of our MA plans and Direct Contracting business depends in significant part on our ability to predict, price and effectively manage medical costs, which are affected by utilization rates, the cost of service and the type of service rendered.</w:t>
      </w:r>
    </w:p>
    <w:p>
      <w:pPr>
        <w:spacing w:after="0" w:line="121"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auto"/>
        </w:rPr>
        <w:t>Through our Direct Contracting business, with the exception of certain CMS risk mitigation mechanisms (i.e., the optional stop-loss program and the mandatory risk corridor program), we assume full risk (i.e., 100% shared savings and shared losses) for the total cost of care of DCE Beneficiaries. Our DCE’s expenditures on covered items and services (Medicare Parts A and B) for our DCE Beneficiaries and capitation paid to the DCE during a performance year are compared to a target amount of Medicare expenditures on those covered items and services (Performance Year Benchmark), and as such, managing those covered items and services in an effective manner is directly related to our financial impact. Further, as part of the DC Model, the Performance Year Benchmark is scheduled to be lowered by CMS on a gradual scale, starting at a 2% discount in 2021 and increasing to a 5% discount by 2026. Due to this increasing discount, one of the primary mechanisms to mitigate the financial impact of this adjustment will be for the DCE to continually improve its medical expense management over the demonstration period.</w:t>
      </w:r>
    </w:p>
    <w:p>
      <w:pPr>
        <w:spacing w:after="0" w:line="109" w:lineRule="exact"/>
        <w:rPr>
          <w:sz w:val="20"/>
          <w:szCs w:val="20"/>
          <w:color w:val="auto"/>
        </w:rPr>
      </w:pPr>
    </w:p>
    <w:p>
      <w:pPr>
        <w:ind w:right="40" w:firstLine="297"/>
        <w:spacing w:after="0" w:line="282" w:lineRule="auto"/>
        <w:rPr>
          <w:sz w:val="20"/>
          <w:szCs w:val="20"/>
          <w:color w:val="auto"/>
        </w:rPr>
      </w:pPr>
      <w:r>
        <w:rPr>
          <w:rFonts w:ascii="Arial" w:cs="Arial" w:eastAsia="Arial" w:hAnsi="Arial"/>
          <w:sz w:val="15"/>
          <w:szCs w:val="15"/>
          <w:color w:val="auto"/>
        </w:rPr>
        <w:t>Two key factors in our ability to manage medical expenses are the adoption of and engagement with the Clover Assistant by the providers who treat our MA members and DCE Beneficiaries (collectively, the “Providers”) and enrollment in our clinical care programs, including our in-home primary care program (Clover Home Care), by our most at-risk members and DCE Beneficiaries. By driving adoption of and engagement with the Clover Assistant by our Providers, we seek to promote the provision of high-quality medical care driven by real-time, personalized and actionable insights to healthcare providers at the point of care. Through the Clover Assistant, we support effective care coordination and care management informed by data analytics, help members and DCE Beneficiaries receive appropriate preventive care, and promote proper utilization management. We also operate Clover Home Care, an in-home primary complex care program for our most chronically ill members and DCE Beneficiaries, whose medical costs are disproportionately high compared to our other members and DCE Beneficiaries, to further improve quality of life and healthcare for those individuals. If we fail to drive adoption of and engagement with the Clover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3" w:lineRule="exact"/>
        <w:rPr>
          <w:sz w:val="20"/>
          <w:szCs w:val="20"/>
          <w:color w:val="auto"/>
        </w:rPr>
      </w:pPr>
    </w:p>
    <w:p>
      <w:pPr>
        <w:jc w:val="both"/>
        <w:ind w:right="520"/>
        <w:spacing w:after="0" w:line="274" w:lineRule="auto"/>
        <w:rPr>
          <w:sz w:val="20"/>
          <w:szCs w:val="20"/>
          <w:color w:val="auto"/>
        </w:rPr>
      </w:pPr>
      <w:r>
        <w:rPr>
          <w:rFonts w:ascii="Arial" w:cs="Arial" w:eastAsia="Arial" w:hAnsi="Arial"/>
          <w:sz w:val="16"/>
          <w:szCs w:val="16"/>
          <w:color w:val="auto"/>
        </w:rPr>
        <w:t>by our Providers or fail to accurately identify members at high risk for near-term hospitalization for our complex care management program, we could fail to drive significant reductions in MCR for our members and Direct Contracting Margin for our DCE Beneficiaries, which would have a material and adverse effect on our business, financial condition, and results of operation.</w:t>
      </w:r>
    </w:p>
    <w:p>
      <w:pPr>
        <w:spacing w:after="0" w:line="112"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 that better predictions will be made or that we would be able to realize the benefits of those predictions.</w:t>
      </w:r>
    </w:p>
    <w:p>
      <w:pPr>
        <w:spacing w:after="0" w:line="106"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Our DCE Performance Year Benchmark, which is a target amount of Medicare expenditures against which the DCE’s Performance Year Expenditures are compared to measure shared savings or losses with CMS, is a product of a number of variables, many of which are difficult to estimate at the beginning of the performance year. While we believe our estimate of the Performance Year Benchmark will become more accurate through the performance year as claims are incurred, our exact Performance Year Benchmark will not be known until final reconciliation with CMS. These variables include, but are not limited to, claims trends, beneficiary risk scores, and the mix of claims aligned vs. voluntarily aligned beneficiaries. If the final Performance Year Benchmark is less than anticipated, the profitability of our Direct Contracting business will suffer.</w:t>
      </w:r>
    </w:p>
    <w:p>
      <w:pPr>
        <w:spacing w:after="0" w:line="121"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In addition, Providers who treat our members and DCE Beneficiaries may decline to follow appropriate care recommendations and may not carry out effective care coordination and care management. While we deploy the Clover Assistant and promote its adoption by all of our Providers in order to mitigate such risks, even in settings where adoption and use of the Clover Assistant is widespread, there can be no assurances that adherence to evidence-based protocols will be pervasive. Furthermore, our members and DCE Beneficiaries may decline to seek out appropriate preventive care, participate in our readmission and complex care programs, or follow their Provider’s care and healthful living recommendations. We and the Providers, moreover, might not identify the appropriate members and DCE Beneficiaries who can most benefit from our clinical care programs.</w:t>
      </w:r>
    </w:p>
    <w:p>
      <w:pPr>
        <w:spacing w:after="0" w:line="121" w:lineRule="exact"/>
        <w:rPr>
          <w:sz w:val="20"/>
          <w:szCs w:val="20"/>
          <w:color w:val="auto"/>
        </w:rPr>
      </w:pPr>
    </w:p>
    <w:p>
      <w:pPr>
        <w:ind w:right="20" w:firstLine="297"/>
        <w:spacing w:after="0" w:line="263" w:lineRule="auto"/>
        <w:rPr>
          <w:sz w:val="20"/>
          <w:szCs w:val="20"/>
          <w:color w:val="auto"/>
        </w:rPr>
      </w:pPr>
      <w:r>
        <w:rPr>
          <w:rFonts w:ascii="Arial" w:cs="Arial" w:eastAsia="Arial" w:hAnsi="Arial"/>
          <w:sz w:val="16"/>
          <w:szCs w:val="16"/>
          <w:color w:val="auto"/>
        </w:rPr>
        <w:t>Medicare Advantage and Medicare Part D plans are also subject to risks associated with increased medical or pharmaceutical costs. Business models for market participants involved in the financing and supply of pharmaceutical products rely on certain benchmarks and practices (e.g., pricing based on Average Wholesale Price, or the use of Maximum Allowable Cost lists). It is uncertain how these business models will evolve and whether other pricing benchmarks will be introduced and widely adopted.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12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CMS’s risk adjustment payment system makes our revenue and profitability difficult to predict and could result in material retroactive adjustments to our results of operations.</w:t>
      </w:r>
    </w:p>
    <w:p>
      <w:pPr>
        <w:spacing w:after="0" w:line="99"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CMS has implemented a risk adjustment payment system for Medicare health plans to improve the accuracy of payments and establish appropriate compensation for Medicare plans that enroll and treat less healthy Medicare beneficiaries. CMS’s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accuracy, and additional investment and testing will be required to enhance and expand it.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a negative impact on our results of operations and financial condition. CMS may also change the way that they measure risk or adjust risk scores and the impact on any such changes on our business is uncertain.</w:t>
      </w:r>
    </w:p>
    <w:p>
      <w:pPr>
        <w:spacing w:after="0" w:line="106" w:lineRule="exact"/>
        <w:rPr>
          <w:sz w:val="20"/>
          <w:szCs w:val="20"/>
          <w:color w:val="auto"/>
        </w:rPr>
      </w:pPr>
    </w:p>
    <w:p>
      <w:pPr>
        <w:ind w:right="120" w:firstLine="297"/>
        <w:spacing w:after="0" w:line="279" w:lineRule="auto"/>
        <w:rPr>
          <w:sz w:val="20"/>
          <w:szCs w:val="20"/>
          <w:color w:val="auto"/>
        </w:rPr>
      </w:pPr>
      <w:r>
        <w:rPr>
          <w:rFonts w:ascii="Arial" w:cs="Arial" w:eastAsia="Arial" w:hAnsi="Arial"/>
          <w:sz w:val="15"/>
          <w:szCs w:val="15"/>
          <w:color w:val="auto"/>
        </w:rPr>
        <w:t>CMS establishes premium payments to MA plans based on the plans’ approved bids at the beginning of the calendar year. Based on the members’ known demographic and risk information, CMS then adjusts premium levels on two separate occasions during the year on a retroactive basis to take into account additional member risk data. The first such adjustment updates the risk scores for the current year based on prior years’ dates of service. The second such adjustment is a final retroactive risk premium settlement for the prior year. We account for estimates of such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For the 2020 payment year, 50% of the risk score was calculated from claims data submitted through EDS, and CMS has gradually increased that percentage such that 75% of the risk score will be calculated from claims data submitted through the EDS in 2021.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w:t>
      </w:r>
    </w:p>
    <w:p>
      <w:pPr>
        <w:spacing w:after="0" w:line="116"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The Direct Contracting Performance Year Benchmark is also risk adjusted, driven by the risk scores of our DCE Beneficiaries, and our DCE currently utilizes the same CMS-Hierarchical Condition Categories (HCC) prospective risk adjustment model used in the MA program. Further, there are specific DC Model rules including a retrospective Coding Intensity Factor that will be applied to our DCE Beneficiaries’ risk scores to limit risk score growth relative to the baseline period. In addition, a DCE-level cap will be applied to the growth in risk scores to further diminish the incentive for coding intensity that does not reflect true health status burden. Notably, contrary to MA, the DC Model does not currently accept supplemental encounter data directly from the DCE. As such, claims corrections which include diagnosis additions or deletions must be directly submitted to CMS by providers through their standard FFS claims process. The DCE may make accruals in accounting periods to account for risk score accuracy for which we believe diagnoses are present but not yet recognized in the beneficiaries’ risk scores due to correction timing with CMS. The nature of these estimates is similar to our MA business and presents similar risks. Further, as noted, because the DC Model is a new model designed by the CMMI, CMMI is constantly evaluating the program and may revise the applicable rules and design of the Risk Score methodology at any time.</w:t>
      </w:r>
    </w:p>
    <w:p>
      <w:pPr>
        <w:spacing w:after="0" w:line="111"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w:t>
      </w:r>
    </w:p>
    <w:p>
      <w:pPr>
        <w:spacing w:after="0" w:line="118" w:lineRule="exact"/>
        <w:rPr>
          <w:sz w:val="20"/>
          <w:szCs w:val="20"/>
          <w:color w:val="auto"/>
        </w:rPr>
      </w:pPr>
    </w:p>
    <w:p>
      <w:pPr>
        <w:ind w:right="680"/>
        <w:spacing w:after="0" w:line="290" w:lineRule="auto"/>
        <w:rPr>
          <w:sz w:val="20"/>
          <w:szCs w:val="20"/>
          <w:color w:val="auto"/>
        </w:rPr>
      </w:pPr>
      <w:r>
        <w:rPr>
          <w:rFonts w:ascii="Arial" w:cs="Arial" w:eastAsia="Arial" w:hAnsi="Arial"/>
          <w:sz w:val="16"/>
          <w:szCs w:val="16"/>
          <w:b w:val="1"/>
          <w:bCs w:val="1"/>
          <w:i w:val="1"/>
          <w:iCs w:val="1"/>
          <w:color w:val="auto"/>
        </w:rPr>
        <w:t>We are subject to risks associated with the COVID-19 pandemic, which could have a material adverse effect on our business, results of operations, financial condition, and financial performance.</w:t>
      </w:r>
    </w:p>
    <w:p>
      <w:pPr>
        <w:spacing w:after="0" w:line="99" w:lineRule="exact"/>
        <w:rPr>
          <w:sz w:val="20"/>
          <w:szCs w:val="20"/>
          <w:color w:val="auto"/>
        </w:rPr>
      </w:pPr>
    </w:p>
    <w:p>
      <w:pPr>
        <w:ind w:right="100" w:firstLine="297"/>
        <w:spacing w:after="0" w:line="366" w:lineRule="auto"/>
        <w:rPr>
          <w:sz w:val="20"/>
          <w:szCs w:val="20"/>
          <w:color w:val="auto"/>
        </w:rPr>
      </w:pPr>
      <w:r>
        <w:rPr>
          <w:rFonts w:ascii="Arial" w:cs="Arial" w:eastAsia="Arial" w:hAnsi="Arial"/>
          <w:sz w:val="14"/>
          <w:szCs w:val="14"/>
          <w:color w:val="auto"/>
        </w:rPr>
        <w:t>We are susceptible to the adverse effects associated with the COVID-19 pandemic, which is having a major impact on health systems, businesses, governments and member activities. The ultimate severity, magnitude, and duration of the COVID-19 pandemic is uncertain and rapidly changing. The full extent to which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pandemic may impact our business, results of operations, and financial condition remains uncertain. Current uncertainties relating to the COVID-19 pandemic that could impact our future results include the development of new COVID-19 variants, such as the “Delta” variant, and the potential for further deferrals of elective or preventive care due to additional COVID-19 outbreaks and resulting stay-at-home orders, which in turn could result in exacerbated health conditions, higher future medical costs, and/or a reduction in risk adjustments and benchmarks against which future CMS bids will be assessed.</w:t>
      </w:r>
    </w:p>
    <w:p>
      <w:pPr>
        <w:spacing w:after="0" w:line="118" w:lineRule="exact"/>
        <w:rPr>
          <w:sz w:val="20"/>
          <w:szCs w:val="20"/>
          <w:color w:val="auto"/>
        </w:rPr>
      </w:pPr>
    </w:p>
    <w:p>
      <w:pPr>
        <w:ind w:right="220" w:firstLine="297"/>
        <w:spacing w:after="0" w:line="292" w:lineRule="auto"/>
        <w:rPr>
          <w:sz w:val="20"/>
          <w:szCs w:val="20"/>
          <w:color w:val="auto"/>
        </w:rPr>
      </w:pPr>
      <w:r>
        <w:rPr>
          <w:rFonts w:ascii="Arial" w:cs="Arial" w:eastAsia="Arial" w:hAnsi="Arial"/>
          <w:sz w:val="15"/>
          <w:szCs w:val="15"/>
          <w:color w:val="auto"/>
        </w:rPr>
        <w:t>We continue to mobilize the full strength of our resources to deliver support for our members and Providers and deliver innovative solutions and support for the communities we serve. For example, we have implemented multi-channel member communications to support COVID-19 vaccination access and availability, Provider support for telehealth adoption by Clover Home Care practices, and the provision of in-home COVID-19 vaccinations for our most vulnerable beneficiaries. However, there can be no assurances that our efforts will be successful or that any of our solutions will be adopted by our Providers.</w:t>
      </w:r>
    </w:p>
    <w:p>
      <w:pPr>
        <w:spacing w:after="0" w:line="100" w:lineRule="exact"/>
        <w:rPr>
          <w:sz w:val="20"/>
          <w:szCs w:val="20"/>
          <w:color w:val="auto"/>
        </w:rPr>
      </w:pPr>
    </w:p>
    <w:p>
      <w:pPr>
        <w:ind w:firstLine="297"/>
        <w:spacing w:after="0" w:line="299" w:lineRule="auto"/>
        <w:rPr>
          <w:sz w:val="20"/>
          <w:szCs w:val="20"/>
          <w:color w:val="auto"/>
        </w:rPr>
      </w:pPr>
      <w:r>
        <w:rPr>
          <w:rFonts w:ascii="Arial" w:cs="Arial" w:eastAsia="Arial" w:hAnsi="Arial"/>
          <w:sz w:val="14"/>
          <w:szCs w:val="14"/>
          <w:color w:val="auto"/>
        </w:rPr>
        <w:t>The impact of the COVID-19 pandemic on our business is primarily dependent upon the ultimate pacing, intensity in our markets and duration of the crisis, which are factors we cannot predict at this time. These factors will drive the related treatment, testing, coverage and other services we provide our beneficiaries. In 2020, the healthcare system experienced deferrals of elective care due to the COVID-19 pandemic, which decreased utilization of healthcare services. The ultimate consequences of delaying medical care are uncertain but they may result in additional medical complications, increased medical costs in future periods and/or reduction in benchmarks that future bids will be assessed against. In particular, a significant portion of our strategy is based on the notion that we can reduce our beneficiaries’ medical costs by utilizing the Clover Assistant to encourage Providers to engage with our beneficiaries to help prevent a deterioration of their health. As a result of the crisis associated with the COVID-19 pandemic, in 2021 we have experienced a significant increase in medical care costs. If a significant portion of our beneficiaries experience a deterioration in health, if our beneficiaries seek care that was deferred during the pandemic, or if our beneficiaries with chronic conditions require additional care resulting from missed treatments, we may experience a continued increase in medical care costs. There can be no assurance that these increased costs were appropriately taken into account when we set the prices for our premiums or that the premiums we receive from the U.S. government and fees we charge will be sufficient to cover the medical and administrative costs that we could ultimately incur. The decreased utilization of Medicare FFS healthcare services during the COVID-19 pandemic may also lead to a reduction in the benchmarks that future CMS bids will be assessed against. If we experience increased medical costs in future periods as a result of the delay in medical care during the COVID-19 pandemic,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 With respect to our Direct Contracting operating segment, the Direct Contracting Benchmark is based on national trends, and while we believe we have certain protections in our DCE’s participation agreement with CMS, Clover could be disproportionately affected by COVID-19 if impacts in concentrated regional service areas are significantly above or below national averages.</w:t>
      </w:r>
    </w:p>
    <w:p>
      <w:pPr>
        <w:spacing w:after="0" w:line="302" w:lineRule="exact"/>
        <w:rPr>
          <w:sz w:val="20"/>
          <w:szCs w:val="20"/>
          <w:color w:val="auto"/>
        </w:rPr>
      </w:pPr>
    </w:p>
    <w:p>
      <w:pPr>
        <w:ind w:right="20" w:firstLine="297"/>
        <w:spacing w:after="0" w:line="262" w:lineRule="auto"/>
        <w:rPr>
          <w:sz w:val="20"/>
          <w:szCs w:val="20"/>
          <w:color w:val="auto"/>
        </w:rPr>
      </w:pPr>
      <w:r>
        <w:rPr>
          <w:rFonts w:ascii="Arial" w:cs="Arial" w:eastAsia="Arial" w:hAnsi="Arial"/>
          <w:sz w:val="16"/>
          <w:szCs w:val="16"/>
          <w:color w:val="auto"/>
        </w:rPr>
        <w:t>Governments have modified, and may continue to modify, regulatory standards around various aspects of healthcare in response to the COVID-19 pandemic,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provider office visits, and the concomitant rise of telehealth visits, including audio-only visits, may impair risk adjustment data collection efforts that CMS takes into account for purposes of determining risk adjustment revenue. Also, because our beneficiaries may elect not to leave home for provider visits or preventive care services and may experience heightened depression or other negative health consequences during the pandemic, our ability to address care gaps measured by the CMS Star Ratings programs may be limited. Because our members and DCE Beneficiaries are concentrated in areas that were and continue to be especially hard hit by the pandemic, our performance on CMS Star Ratings measures may be more negatively impacted than that of other MA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3"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The COVID-19 pandemic has also curtailed the ability of our clinical program physicians and providers to care for our most seriously ill members through Clover Home Care, our complex care program, and our hospital readmissions prevention program. Although we have made great strides in treating our beneficiaries during this time through telemedicine, there are some conditions that cannot adequately be addressed remotely. Also some beneficiaries may be unwilling to participate or continue to participate in telehealth visits. In 2021, we have increased the percentage of in-person visits we have had with our beneficiaries, but there may be recurring instances of periods when we are not able to do so. Even when public health experts deem it safe to return to treat members in their homes, our providers may be unwilling to treat our beneficiaries in their homes, or beneficiaries might be unwilling to accept care in their homes. Our Providers themselves might also become infected with COVID-19, or they may leave their positions with us because they do not want to treat people in their homes. Because our most chronically ill members are responsible for a significantly disproportionately high share of our medical expenses, our potential inability or difficulty of providing targeted services to this population can undercut our ability to manage our overall medical expenses.</w:t>
      </w:r>
    </w:p>
    <w:p>
      <w:pPr>
        <w:spacing w:after="0" w:line="121"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We have also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and increased risk of unauthorized dissemination of sensitive personal information or proprietary or confidential information about us or our beneficiaries. The COVID-19 pandemic and any resulting economic downturn may cause us to need less office space than we are contractually committed to leasing and prevent us from finding subtenants for such unused office space. Additional disruptive impacts of the COVID-19 pandemic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or beneficiaries. Such measures could negatively affect our sales and marketing efforts, sales cycles, employee productivity, or beneficiary retention, any of which could harm our financial condition and business operations.</w:t>
      </w:r>
    </w:p>
    <w:p>
      <w:pPr>
        <w:spacing w:after="0" w:line="126"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Disruptions in public and private infrastructure, including supply chains providing medical supplies, could also adversely disrupt our business operations. Additionally, the enactment of emergency powers by governments could disrupt our business operations, including further restricting our members’ ability to receive care, our providers’ ability to operate, or our ability to access necessary supplies.</w:t>
      </w:r>
    </w:p>
    <w:p>
      <w:pPr>
        <w:spacing w:after="0" w:line="112" w:lineRule="exact"/>
        <w:rPr>
          <w:sz w:val="20"/>
          <w:szCs w:val="20"/>
          <w:color w:val="auto"/>
        </w:rPr>
      </w:pPr>
    </w:p>
    <w:p>
      <w:pPr>
        <w:ind w:right="180" w:firstLine="297"/>
        <w:spacing w:after="0" w:line="325" w:lineRule="auto"/>
        <w:rPr>
          <w:sz w:val="20"/>
          <w:szCs w:val="20"/>
          <w:color w:val="auto"/>
        </w:rPr>
      </w:pPr>
      <w:r>
        <w:rPr>
          <w:rFonts w:ascii="Arial" w:cs="Arial" w:eastAsia="Arial" w:hAnsi="Arial"/>
          <w:sz w:val="15"/>
          <w:szCs w:val="15"/>
          <w:color w:val="auto"/>
        </w:rPr>
        <w:t>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spacing w:after="0" w:line="77"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auto"/>
        </w:rPr>
        <w:t>Governmental authorities in the United States have recently proposed or issued vaccine mandates requiring certain employers, including federal contractors and employers with at least 100 employees, to ensure that their employees are fully vaccinated against COVID-19, subject to certain exceptions as provided for in the applicable mandate, or, in some cases, be regularly subject to COVID-19 testing. As we participate in several Medicare programs and employ at least 100 employees, any such recently issued or future vaccine mandate could negatively impact our ability to attract or retain workers, including healthcare providers. The loss of, or inability to attract, employees could negatively impact our ability to carry out our business and provide care to our beneficiaries and other critical services, and thus could have a material adverse effect on our business and results of operations.</w:t>
      </w:r>
    </w:p>
    <w:p>
      <w:pPr>
        <w:spacing w:after="0" w:line="121" w:lineRule="exact"/>
        <w:rPr>
          <w:sz w:val="20"/>
          <w:szCs w:val="20"/>
          <w:color w:val="auto"/>
        </w:rPr>
      </w:pPr>
    </w:p>
    <w:p>
      <w:pPr>
        <w:ind w:right="720"/>
        <w:spacing w:after="0" w:line="290" w:lineRule="auto"/>
        <w:rPr>
          <w:sz w:val="20"/>
          <w:szCs w:val="20"/>
          <w:color w:val="auto"/>
        </w:rPr>
      </w:pPr>
      <w:r>
        <w:rPr>
          <w:rFonts w:ascii="Arial" w:cs="Arial" w:eastAsia="Arial" w:hAnsi="Arial"/>
          <w:sz w:val="16"/>
          <w:szCs w:val="16"/>
          <w:b w:val="1"/>
          <w:bCs w:val="1"/>
          <w:i w:val="1"/>
          <w:iCs w:val="1"/>
          <w:color w:val="auto"/>
        </w:rPr>
        <w:t>If adoption and use of the Clover Assistant is lower than we expect, our growth may slow or stall, or we may experience a decline in our Lives under Clover Management, and our operating results could be adversely affected.</w:t>
      </w:r>
    </w:p>
    <w:p>
      <w:pPr>
        <w:spacing w:after="0" w:line="99" w:lineRule="exact"/>
        <w:rPr>
          <w:sz w:val="20"/>
          <w:szCs w:val="20"/>
          <w:color w:val="auto"/>
        </w:rPr>
      </w:pPr>
    </w:p>
    <w:p>
      <w:pPr>
        <w:jc w:val="both"/>
        <w:ind w:right="120" w:firstLine="297"/>
        <w:spacing w:after="0" w:line="274" w:lineRule="auto"/>
        <w:rPr>
          <w:sz w:val="20"/>
          <w:szCs w:val="20"/>
          <w:color w:val="auto"/>
        </w:rPr>
      </w:pPr>
      <w:r>
        <w:rPr>
          <w:rFonts w:ascii="Arial" w:cs="Arial" w:eastAsia="Arial" w:hAnsi="Arial"/>
          <w:sz w:val="16"/>
          <w:szCs w:val="16"/>
          <w:color w:val="auto"/>
        </w:rPr>
        <w:t>An important part of our growth strategy depends on our ability to increase adoption and use of the Clover Assistant, including by providers who also use electronic health records (EHR) systems. We have directed, and intend to continue to direct, a significant portion of our financial and operating resources to developing the Clover Assistant platform and expanding its usage. There can be no assurance that adoption of Clover Assistant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continue to grow, or that rates of engagement will be maintained or increase. A number of factors could potentially negatively affect adoption of the Clover Assistant and provider engagement, including but not limited to:</w:t>
      </w:r>
    </w:p>
    <w:p>
      <w:pPr>
        <w:spacing w:after="0" w:line="99" w:lineRule="exact"/>
        <w:rPr>
          <w:sz w:val="20"/>
          <w:szCs w:val="20"/>
          <w:color w:val="auto"/>
        </w:rPr>
      </w:pPr>
    </w:p>
    <w:p>
      <w:pPr>
        <w:ind w:left="580" w:hanging="284"/>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difficulties convincing providers of the value, benefits and usefulness of the Clover Assistant; particularly in markets where we have fewer beneficiaries;</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failure to integrate with EHR systems;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failure to attract, effectively train and retain effective sales and marketing personnel;</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failure to develop or expand relationships with strategic partners;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failure to capitalize on co-branding opportunities;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in implementation of CMS interoperability requirements;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difficulties in scheduling meetings with providers, and providing demonstrations and trainings related to the Clover Assistant;</w:t>
      </w:r>
    </w:p>
    <w:p>
      <w:pPr>
        <w:spacing w:after="0" w:line="162" w:lineRule="exact"/>
        <w:rPr>
          <w:rFonts w:ascii="Arial" w:cs="Arial" w:eastAsia="Arial" w:hAnsi="Arial"/>
          <w:sz w:val="16"/>
          <w:szCs w:val="16"/>
          <w:color w:val="auto"/>
        </w:rPr>
      </w:pPr>
    </w:p>
    <w:p>
      <w:pPr>
        <w:ind w:left="600" w:right="140" w:hanging="304"/>
        <w:spacing w:after="0" w:line="290"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technical or other problems impacting availability or reliability of the platform, including limited broadband access in certain rural areas;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difficulties for members and DCE Beneficiaries in accessing their Providers and a corresponding decrease in the number of primary care visits;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privacy and communication, safety, security or other concerns;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changes in our platform that are mandated by, or that we elect to make, to address, legislation, regulatory authorities or litigation;</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poor user experiences;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attractiveness of our brand or reputation.</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providers using the Clover Assistant, if providers are dissatisfied with the Clover Assistant, or if new alternative solutions effectively compete with us, providers may decline to use the Clover Assistant.</w:t>
      </w:r>
    </w:p>
    <w:p>
      <w:pPr>
        <w:spacing w:after="0" w:line="118"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If the Clover Assistant is not adopted as quickly as we anticipate in the markets in which we operate, we may be unable to collect and provide valuable actionable data to providers treating our beneficiaries in such markets, which could prevent us from driving significant reductions in MCR for our beneficiaries in such markets and would in turn curtail our ability to offer competitively priced MA Plans and realize shared savings against the DCE benchmark in such markets. Any such events could result in higher medical expenses and reduced cash flows. As a result, if we are unsuccessful in our efforts to drive adoption of the Clover Assistant, our business, results of operations and financial condition could be harmed.</w:t>
      </w:r>
    </w:p>
    <w:p>
      <w:pPr>
        <w:spacing w:after="0" w:line="118"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Our ability to attract new users and retain existing users of the Clover Assistant also depends in large part on our ability to continually enhance and improve its features, integrations, and capabilities to continue to provide a useful tool for providers.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2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delays in the hiring and onboarding of new employees, or if regulatory compliance issues arise.</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If we are unable to succeed in expanding our Lives under Clover Management, our future growth would be limited, and our business, financial condition and results of operations would be harmed.</w:t>
      </w:r>
    </w:p>
    <w:p>
      <w:pPr>
        <w:spacing w:after="0" w:line="99"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We derive substantially all of our total revenues from MA premiums earned and Direct Contracting Revenue, which are primarily driven by the number of members under our MA plans and the number of our DCE Beneficiaries, respectively. As a result, the number of Lives under Clover Management is critical to our success, and we are continually executing several growth initiatives, strategies, and operating plans designed to increase the number of Lives under Clover Management, including the expansion of our Medicare Advantage and DCE offerings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rFonts w:ascii="Arial" w:cs="Arial" w:eastAsia="Arial" w:hAnsi="Arial"/>
          <w:sz w:val="15"/>
          <w:szCs w:val="15"/>
          <w:i w:val="1"/>
          <w:iCs w:val="1"/>
          <w:color w:val="auto"/>
        </w:rPr>
        <w:t>—If we fail to estimate, price for, and manage our medical</w:t>
      </w:r>
      <w:r>
        <w:rPr>
          <w:rFonts w:ascii="Arial" w:cs="Arial" w:eastAsia="Arial" w:hAnsi="Arial"/>
          <w:sz w:val="15"/>
          <w:szCs w:val="15"/>
          <w:color w:val="auto"/>
        </w:rPr>
        <w:t xml:space="preserve"> </w:t>
      </w:r>
      <w:r>
        <w:rPr>
          <w:rFonts w:ascii="Arial" w:cs="Arial" w:eastAsia="Arial" w:hAnsi="Arial"/>
          <w:sz w:val="15"/>
          <w:szCs w:val="15"/>
          <w:i w:val="1"/>
          <w:iCs w:val="1"/>
          <w:color w:val="auto"/>
        </w:rPr>
        <w:t>expenses in an effective manner, the profitability of our Medicare Advantage plans and Direct Contracting business could decline, which could materially and adversely affect our results of operations, financial position and cash flows</w:t>
      </w:r>
      <w:r>
        <w:rPr>
          <w:rFonts w:ascii="Arial" w:cs="Arial" w:eastAsia="Arial" w:hAnsi="Arial"/>
          <w:sz w:val="15"/>
          <w:szCs w:val="15"/>
          <w:color w:val="auto"/>
        </w:rPr>
        <w:t>.”</w:t>
      </w:r>
    </w:p>
    <w:p>
      <w:pPr>
        <w:spacing w:after="0" w:line="111" w:lineRule="exact"/>
        <w:rPr>
          <w:sz w:val="20"/>
          <w:szCs w:val="20"/>
          <w:color w:val="auto"/>
        </w:rPr>
      </w:pPr>
    </w:p>
    <w:p>
      <w:pPr>
        <w:ind w:right="20" w:firstLine="297"/>
        <w:spacing w:after="0" w:line="318" w:lineRule="auto"/>
        <w:rPr>
          <w:sz w:val="20"/>
          <w:szCs w:val="20"/>
          <w:color w:val="auto"/>
        </w:rPr>
      </w:pPr>
      <w:r>
        <w:rPr>
          <w:rFonts w:ascii="Arial" w:cs="Arial" w:eastAsia="Arial" w:hAnsi="Arial"/>
          <w:sz w:val="14"/>
          <w:szCs w:val="14"/>
          <w:color w:val="auto"/>
        </w:rPr>
        <w:t>Prior to 2020, we primarily focused on offering our MA plans in nine counties within New Jersey. In 2021, we offered our MA plans in 108 counties across eight states, and cared for 67,281 MA members as of September 30, 2021. Additionally, we are launching our MA plans in an additional 101 counties and an additional state in 2022. While we intend to continue to grow our MA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86" w:lineRule="exact"/>
        <w:rPr>
          <w:sz w:val="20"/>
          <w:szCs w:val="20"/>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lack of brand recognition;</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developing strategic co-marketing relationships;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lack of shopping for plans by MA eligible beneficiaries;</w:t>
      </w:r>
    </w:p>
    <w:p>
      <w:pPr>
        <w:spacing w:after="0" w:line="162" w:lineRule="exact"/>
        <w:rPr>
          <w:rFonts w:ascii="Arial" w:cs="Arial" w:eastAsia="Arial" w:hAnsi="Arial"/>
          <w:sz w:val="16"/>
          <w:szCs w:val="16"/>
          <w:color w:val="auto"/>
        </w:rPr>
      </w:pPr>
    </w:p>
    <w:p>
      <w:pPr>
        <w:ind w:left="600" w:right="300" w:hanging="304"/>
        <w:spacing w:after="0" w:line="325" w:lineRule="auto"/>
        <w:tabs>
          <w:tab w:leader="none" w:pos="596"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shifting consumer preferences, including a preference by members to enroll with an MA plan sponsored by the insurer of the commercial plan in which they enrolled before they became eligible for Medicare, a preference by members to enroll in various special needs plans, which we do not offer;</w:t>
      </w:r>
    </w:p>
    <w:p>
      <w:pPr>
        <w:spacing w:after="0" w:line="76" w:lineRule="exact"/>
        <w:rPr>
          <w:rFonts w:ascii="Arial" w:cs="Arial" w:eastAsia="Arial" w:hAnsi="Arial"/>
          <w:sz w:val="15"/>
          <w:szCs w:val="15"/>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failure to effectively compete and offer low cost and high value plans;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establishing an attractive network in new markets;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changes affecting the overall pool of MA eligible beneficiaries;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growing our provider networks and contracting with providers and medical facilities on competitive terms.</w:t>
      </w:r>
    </w:p>
    <w:p>
      <w:pPr>
        <w:spacing w:after="0" w:line="162" w:lineRule="exact"/>
        <w:rPr>
          <w:sz w:val="20"/>
          <w:szCs w:val="20"/>
          <w:color w:val="auto"/>
        </w:rPr>
      </w:pPr>
    </w:p>
    <w:p>
      <w:pPr>
        <w:ind w:right="240" w:firstLine="297"/>
        <w:spacing w:after="0" w:line="274" w:lineRule="auto"/>
        <w:rPr>
          <w:sz w:val="20"/>
          <w:szCs w:val="20"/>
          <w:color w:val="auto"/>
        </w:rPr>
      </w:pPr>
      <w:r>
        <w:rPr>
          <w:rFonts w:ascii="Arial" w:cs="Arial" w:eastAsia="Arial" w:hAnsi="Arial"/>
          <w:sz w:val="16"/>
          <w:szCs w:val="16"/>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the network of doctors that HMO members can see, and other providers participating in Medicare may choose to see no MA members or only MA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w:t>
      </w:r>
    </w:p>
    <w:p>
      <w:pPr>
        <w:spacing w:after="0" w:line="118"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auto"/>
        </w:rPr>
        <w:t>The growth in our membership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w:t>
      </w:r>
    </w:p>
    <w:p>
      <w:pPr>
        <w:spacing w:after="0" w:line="121" w:lineRule="exact"/>
        <w:rPr>
          <w:sz w:val="20"/>
          <w:szCs w:val="20"/>
          <w:color w:val="auto"/>
        </w:rPr>
      </w:pPr>
    </w:p>
    <w:p>
      <w:pPr>
        <w:ind w:right="180" w:firstLine="297"/>
        <w:spacing w:after="0" w:line="287" w:lineRule="auto"/>
        <w:rPr>
          <w:sz w:val="20"/>
          <w:szCs w:val="20"/>
          <w:color w:val="auto"/>
        </w:rPr>
      </w:pPr>
      <w:r>
        <w:rPr>
          <w:rFonts w:ascii="Arial" w:cs="Arial" w:eastAsia="Arial" w:hAnsi="Arial"/>
          <w:sz w:val="15"/>
          <w:szCs w:val="15"/>
          <w:color w:val="auto"/>
        </w:rPr>
        <w:t>As of September 30, 2021, we had 61,818 aligned DCE Beneficiaries. As of that date, we had approximately 850 contracted participating providers managing primary care for our DCE Beneficiaries and, additionally, we had approximately 865 preferred providers and preferred facilities in our DCE network. DCE Beneficiary growth is dependent upon the number and size of the providers that contract with the DCE, and CMS’s alignment rules. While we intend to continue to grow our DCE Beneficiaries by increasing our contracts in existing service areas and entering into new service areas, we may not be able to successfully achieve this growth for a number of reasons. Our ability to attract and retain DCE Beneficiaries may be impacted by several factors, including, without limitation:</w:t>
      </w:r>
    </w:p>
    <w:p>
      <w:pPr>
        <w:spacing w:after="0" w:line="106" w:lineRule="exact"/>
        <w:rPr>
          <w:sz w:val="20"/>
          <w:szCs w:val="20"/>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lack of brand recognition;</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changes affecting the overall pool of Medicare eligibles;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changes impacting provider participation in Medicare value-based programs;</w:t>
      </w:r>
    </w:p>
    <w:p>
      <w:pPr>
        <w:spacing w:after="0" w:line="162" w:lineRule="exact"/>
        <w:rPr>
          <w:rFonts w:ascii="Arial" w:cs="Arial" w:eastAsia="Arial" w:hAnsi="Arial"/>
          <w:sz w:val="16"/>
          <w:szCs w:val="16"/>
          <w:color w:val="auto"/>
        </w:rPr>
      </w:pPr>
    </w:p>
    <w:p>
      <w:pPr>
        <w:ind w:left="600" w:hanging="304"/>
        <w:spacing w:after="0" w:line="290" w:lineRule="auto"/>
        <w:tabs>
          <w:tab w:leader="none" w:pos="5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to effectively compete and offer competitive payment incentives to attract participating providers and “preferred” providers, which include specialists and ancillary facilities that agree to participate in Direct Contracting with Clover’s DCE;</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programmatic adjustments made to the DC Model;</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existing shared savings programs or the addition of new shared savings programs;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the alignment methodology that CMS uses to align beneficiaries to participants in the DC Model;</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our ability or the process required to voluntarily align beneficiaries;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notification that CMS intends to discontinue or alter the DC Model or our participation in the program in a significant manner.</w:t>
      </w:r>
    </w:p>
    <w:p>
      <w:pPr>
        <w:spacing w:after="0" w:line="162" w:lineRule="exact"/>
        <w:rPr>
          <w:sz w:val="20"/>
          <w:szCs w:val="20"/>
          <w:color w:val="auto"/>
        </w:rPr>
      </w:pPr>
    </w:p>
    <w:p>
      <w:pPr>
        <w:ind w:right="20" w:firstLine="297"/>
        <w:spacing w:after="0" w:line="292" w:lineRule="auto"/>
        <w:rPr>
          <w:sz w:val="20"/>
          <w:szCs w:val="20"/>
          <w:color w:val="auto"/>
        </w:rPr>
      </w:pPr>
      <w:r>
        <w:rPr>
          <w:rFonts w:ascii="Arial" w:cs="Arial" w:eastAsia="Arial" w:hAnsi="Arial"/>
          <w:sz w:val="15"/>
          <w:szCs w:val="15"/>
          <w:color w:val="auto"/>
        </w:rPr>
        <w:t>Other factors that could limit our beneficiary growth include, among others, potential non-compliance with CMS requirements and other laws and regulations, which could result in sanctions against us that prevent us from, among other actions,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spacing w:after="0" w:line="100" w:lineRule="exact"/>
        <w:rPr>
          <w:sz w:val="20"/>
          <w:szCs w:val="20"/>
          <w:color w:val="auto"/>
        </w:rPr>
      </w:pPr>
    </w:p>
    <w:p>
      <w:pPr>
        <w:ind w:right="260" w:firstLine="297"/>
        <w:spacing w:after="0" w:line="274" w:lineRule="auto"/>
        <w:rPr>
          <w:sz w:val="20"/>
          <w:szCs w:val="20"/>
          <w:color w:val="auto"/>
        </w:rPr>
      </w:pPr>
      <w:r>
        <w:rPr>
          <w:rFonts w:ascii="Arial" w:cs="Arial" w:eastAsia="Arial" w:hAnsi="Arial"/>
          <w:sz w:val="16"/>
          <w:szCs w:val="16"/>
          <w:color w:val="auto"/>
        </w:rPr>
        <w:t>In addition, our decisions concerning the allocation of management and financial resources toward efforts to grow our Lives under Clover Management in certain markets may not lead to the growth we expect, or any growth. Similarly, our potential decisions to delay entering or terminate our services in any market may subsequently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prove to be suboptimal and could cause us to miss valuable opportunities.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forgo or delay pursuit of opportunities that may later prove to have greater commercial potential than those we choose to pursue.</w:t>
      </w:r>
    </w:p>
    <w:p>
      <w:pPr>
        <w:spacing w:after="0" w:line="118"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As a result, we cannot assure you that we will be able to increase our number of Lives under Clover Management or to the extent to which we will be able to achieve beneficiary growth.</w:t>
      </w:r>
    </w:p>
    <w:p>
      <w:pPr>
        <w:spacing w:after="0" w:line="99"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b w:val="1"/>
          <w:bCs w:val="1"/>
          <w:i w:val="1"/>
          <w:iCs w:val="1"/>
          <w:color w:val="auto"/>
        </w:rPr>
        <w:t>Our members and DCE Beneficiaries remain concentrated in certain geographic areas and populations, which exposes us to unfavorable changes in local benefit costs, reimbursement rates, competition and economic conditions.</w:t>
      </w:r>
    </w:p>
    <w:p>
      <w:pPr>
        <w:spacing w:after="0" w:line="99"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Our MA members and DCE Beneficiaries remain concentrated in certain geographic areas in the United States and in certain populations. Many are low-income, and a significant number are people of color. As of September 30, 2021, approximately 90% of our Medicare Advantage members, most of whom were in two metropolitan areas, were residents of New Jersey. With respect to the DCE, as of September 30, 2021, approximately 40% of our DCE Beneficiaries were aligned to providers in New York, with an additional 35% in New Jersey and 15% in Kansas. Unfavorable changes in healthcare or other benefit costs or reimbursement rates or increased competition in New Jersey or any other geographic area where our members and DCE Beneficiaries becomes concentrated in the future could therefore have a disproportionately adverse effect on our operating results. Additionally, the geographic concentration and low-income status of a significant portion of our members and DCE Beneficiaries may make them more vulnerable to events such as the COVID-19 pandemic. In particular, a disproportionate number of our members and DCE Beneficiaries may be affected by the COVID-19 pandemic, access to care may be more difficult, and proposed responses, including telehealth, may not be accessible.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new markets, particularly rural markets, may not be as profitable to serve as our existing markets.</w:t>
      </w:r>
    </w:p>
    <w:p>
      <w:pPr>
        <w:spacing w:after="0" w:line="162"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While we have plans to grow our Lives under Clover Management geographically and across demographics, there is no guarantee that we will be successful in doing so. In addition, as a result of our mission to make great healthcare available to everyone, we seek to provide high-value and affordable MA plans in every market in which we operate and do not exclude MA-eligible beneficiaries that may be higher risk for requiring increased medical costs. Through our participation in the DC Model, we are also planning to expand into new markets through contracting with participating and preferred providers.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and other participants in the DC Model who seek to curate their membership. While we believe that with the Clover Assistant we can reduce costs of all of our beneficiaries and drive increasingly better unit economics at scale, there can be no assurances that we will succeed in doing so. We intend to expand into an increasing percentage of counties that CMS classifies as rural. Due to the rural nature of these markets, including the disposition of healthcare in those areas, we may have difficulty providing the same level and types of clinical care as we provide in our other markets. If the medical expenses of beneficiaries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improvements to medical care ratios in these markets that we have previously achieved in our existing markets. As a result, if we are unable to profitably grow and diversify our Lives under Clover Management geographically, our revenue and operating results may be disproportionately affected by adverse changes affecting our beneficiaries.</w:t>
      </w:r>
    </w:p>
    <w:p>
      <w:pPr>
        <w:spacing w:after="0" w:line="110"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b w:val="1"/>
          <w:bCs w:val="1"/>
          <w:i w:val="1"/>
          <w:iCs w:val="1"/>
          <w:color w:val="auto"/>
        </w:rPr>
        <w:t>Our operating results may be adversely affected if we are unable to grow our provider networks or contract with providers, medical facilities, and other entities on competitive terms.</w:t>
      </w:r>
    </w:p>
    <w:p>
      <w:pPr>
        <w:spacing w:after="0" w:line="99"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DCE Beneficiaries and attract additional beneficiaries, our provider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including those providers participating in Medicare and 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spacing w:after="0" w:line="122" w:lineRule="exact"/>
        <w:rPr>
          <w:sz w:val="20"/>
          <w:szCs w:val="20"/>
          <w:color w:val="auto"/>
        </w:rPr>
      </w:pPr>
    </w:p>
    <w:p>
      <w:pPr>
        <w:ind w:firstLine="297"/>
        <w:spacing w:after="0" w:line="303" w:lineRule="auto"/>
        <w:rPr>
          <w:sz w:val="20"/>
          <w:szCs w:val="20"/>
          <w:color w:val="auto"/>
        </w:rPr>
      </w:pPr>
      <w:r>
        <w:rPr>
          <w:rFonts w:ascii="Arial" w:cs="Arial" w:eastAsia="Arial" w:hAnsi="Arial"/>
          <w:sz w:val="14"/>
          <w:szCs w:val="14"/>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providers as well as lead to higher costs, healthcare provider network disruptions and less attractive options for our beneficiaries, any of which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manage our growth, which could have a material adverse effect on our business, financial condition and results of operation.</w:t>
      </w:r>
    </w:p>
    <w:p>
      <w:pPr>
        <w:spacing w:after="0" w:line="174" w:lineRule="exact"/>
        <w:rPr>
          <w:sz w:val="20"/>
          <w:szCs w:val="20"/>
          <w:color w:val="auto"/>
        </w:rPr>
      </w:pPr>
    </w:p>
    <w:p>
      <w:pPr>
        <w:ind w:right="100" w:firstLine="297"/>
        <w:spacing w:after="0" w:line="283" w:lineRule="auto"/>
        <w:rPr>
          <w:sz w:val="20"/>
          <w:szCs w:val="20"/>
          <w:color w:val="auto"/>
        </w:rPr>
      </w:pPr>
      <w:r>
        <w:rPr>
          <w:rFonts w:ascii="Arial" w:cs="Arial" w:eastAsia="Arial" w:hAnsi="Arial"/>
          <w:sz w:val="15"/>
          <w:szCs w:val="15"/>
          <w:color w:val="auto"/>
        </w:rPr>
        <w:t>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competitive industry, and if we are not able to compete effectively, our business, financial condition, and results of operations will be harmed.</w:t>
      </w:r>
    </w:p>
    <w:p>
      <w:pPr>
        <w:spacing w:after="0" w:line="185"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auto"/>
        </w:rPr>
        <w:t>The markets for MA plans and related products are highly competitive. We compete in certain segments within the healthcare market, including MA plans as well as other healthcare technology platforms, and have entered into other markets, such as the DC Model.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and Centene, that provide MA plans, as well as regional-based companies or health plans that provide MA plans, including Blue Cross Blue Shield affiliates, hospital systems and provider-based organizations. We also face competition from Original Medicare. In addition, as we enter into new markets, and into Direct Contracting, we may compete with regional start-up companies that offer MA plans and other participants in the DC Model. Also, as we develop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and enter new lines of business, such as Direct Contracting, and other companies do the same, we may compete with providers of healthcare technology platforms, EHR providers, telehealth providers, healthcare data analytics providers and accountable care organizations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provider users and beneficiaries, 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services by beneficiaries and provider users, and loss of current market share to existing competitors and disruptive new market entrants.</w:t>
      </w:r>
    </w:p>
    <w:p>
      <w:pPr>
        <w:spacing w:after="0" w:line="124" w:lineRule="exact"/>
        <w:rPr>
          <w:sz w:val="20"/>
          <w:szCs w:val="20"/>
          <w:color w:val="auto"/>
        </w:rPr>
      </w:pPr>
    </w:p>
    <w:p>
      <w:pPr>
        <w:ind w:right="160" w:firstLine="297"/>
        <w:spacing w:after="0" w:line="300" w:lineRule="auto"/>
        <w:rPr>
          <w:sz w:val="20"/>
          <w:szCs w:val="20"/>
          <w:color w:val="auto"/>
        </w:rPr>
      </w:pPr>
      <w:r>
        <w:rPr>
          <w:rFonts w:ascii="Arial" w:cs="Arial" w:eastAsia="Arial" w:hAnsi="Arial"/>
          <w:sz w:val="15"/>
          <w:szCs w:val="15"/>
          <w:color w:val="auto"/>
        </w:rPr>
        <w:t>Any one of these competitive pressures in our market, or our failure to compete effectively, may result in fewer plans being offered; a reduction in plan benefits; reduced services; a loss of existing beneficiaries or inability to grow our number of beneficiaries; fewer provider users; reduced revenues; lower gross margins; and loss of market share. Any failure to meet and address these factors would harm our business, results of operations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compete with larger companies that may have stronger brands, and consolidation among competitors would increase competition.</w:t>
      </w:r>
    </w:p>
    <w:p>
      <w:pPr>
        <w:spacing w:after="0" w:line="162" w:lineRule="exact"/>
        <w:rPr>
          <w:sz w:val="20"/>
          <w:szCs w:val="20"/>
          <w:color w:val="auto"/>
        </w:rPr>
      </w:pPr>
    </w:p>
    <w:p>
      <w:pPr>
        <w:ind w:right="160" w:firstLine="297"/>
        <w:spacing w:after="0" w:line="266" w:lineRule="auto"/>
        <w:rPr>
          <w:sz w:val="20"/>
          <w:szCs w:val="20"/>
          <w:color w:val="auto"/>
        </w:rPr>
      </w:pPr>
      <w:r>
        <w:rPr>
          <w:rFonts w:ascii="Arial" w:cs="Arial" w:eastAsia="Arial" w:hAnsi="Arial"/>
          <w:sz w:val="16"/>
          <w:szCs w:val="16"/>
          <w:color w:val="auto"/>
        </w:rPr>
        <w:t>Some of our competitors may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members.</w:t>
      </w:r>
    </w:p>
    <w:p>
      <w:pPr>
        <w:spacing w:after="0" w:line="118"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 Centene’s Medicare footprint. Continued consolidation among providers reduces the number of potential contracting providers in certain geographies, which could lead to reduced leverage in our contract negotiations with those parties, which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beneficiary base, a stronger and larger provider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beneficiaries may purchase competitive plans in lieu of purchasing our health plans, or providers may adopt competing technology platforms in lieu of the Clover Assistant. Any such events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estimate incurred but not reported claims accurately would affect our results of operations.</w:t>
      </w:r>
    </w:p>
    <w:p>
      <w:pPr>
        <w:spacing w:after="0" w:line="162"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Due to the time lag between when medical services are actually rendered by our providers and when we (or CMS with respect to the DCE)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beneficiaries,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11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Financial accounting for the Medicare Part D benefits requires difficult estimates and assumptions, and if they prove to be incorrect, our results of operations could be adversely affected.</w:t>
      </w:r>
    </w:p>
    <w:p>
      <w:pPr>
        <w:spacing w:after="0" w:line="99" w:lineRule="exact"/>
        <w:rPr>
          <w:sz w:val="20"/>
          <w:szCs w:val="20"/>
          <w:color w:val="auto"/>
        </w:rPr>
      </w:pPr>
    </w:p>
    <w:p>
      <w:pPr>
        <w:ind w:right="60" w:firstLine="297"/>
        <w:spacing w:after="0" w:line="283" w:lineRule="auto"/>
        <w:rPr>
          <w:sz w:val="20"/>
          <w:szCs w:val="20"/>
          <w:color w:val="auto"/>
        </w:rPr>
      </w:pPr>
      <w:r>
        <w:rPr>
          <w:rFonts w:ascii="Arial" w:cs="Arial" w:eastAsia="Arial" w:hAnsi="Arial"/>
          <w:sz w:val="15"/>
          <w:szCs w:val="15"/>
          <w:color w:val="auto"/>
        </w:rPr>
        <w:t>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109"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w:t>
      </w:r>
    </w:p>
    <w:p>
      <w:pPr>
        <w:spacing w:after="0" w:line="121"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forgo payments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If we are unable to expand our sales and marketing infrastructure or if we fail to overcome challenges relating to marketing of our MA plans and DC business, we may fail to enroll sufficient beneficiaries to meet our forecasts.</w:t>
      </w:r>
    </w:p>
    <w:p>
      <w:pPr>
        <w:spacing w:after="0" w:line="99" w:lineRule="exact"/>
        <w:rPr>
          <w:sz w:val="20"/>
          <w:szCs w:val="20"/>
          <w:color w:val="auto"/>
        </w:rPr>
      </w:pPr>
    </w:p>
    <w:p>
      <w:pPr>
        <w:ind w:right="160" w:firstLine="297"/>
        <w:spacing w:after="0" w:line="264" w:lineRule="auto"/>
        <w:rPr>
          <w:sz w:val="20"/>
          <w:szCs w:val="20"/>
          <w:color w:val="auto"/>
        </w:rPr>
      </w:pPr>
      <w:r>
        <w:rPr>
          <w:rFonts w:ascii="Arial" w:cs="Arial" w:eastAsia="Arial" w:hAnsi="Arial"/>
          <w:sz w:val="16"/>
          <w:szCs w:val="16"/>
          <w:color w:val="auto"/>
        </w:rPr>
        <w:t>We derive substantially all of our total revenues from MA premiums and Direct Contracting Revenue,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and to successfully market our DC business to the national provider network to contract with new participating providers and grow our number of DCE Beneficiaries. If our sales and marketing representatives fail to achieve their objectives, our Lives under Clover Management could decrease or may not increase at levels that are in line with our forecasts.</w:t>
      </w:r>
    </w:p>
    <w:p>
      <w:pPr>
        <w:spacing w:after="0" w:line="121"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We plan to continue to expand our sales and marketing infrastructure to drive beneficiary growth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number of beneficiaries or our plans as quickly as we need to, or at all. For example, if insurance brokers and field marketing organizations choose not to market and sell our plans, our business and results of operations would be adversely affected. In addition to the financial impact of having fewer beneficiaries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w:t>
      </w:r>
    </w:p>
    <w:p>
      <w:pPr>
        <w:spacing w:after="0" w:line="111" w:lineRule="exact"/>
        <w:rPr>
          <w:sz w:val="20"/>
          <w:szCs w:val="20"/>
          <w:color w:val="auto"/>
        </w:rPr>
      </w:pPr>
    </w:p>
    <w:p>
      <w:pPr>
        <w:ind w:right="140" w:firstLine="297"/>
        <w:spacing w:after="0" w:line="283" w:lineRule="auto"/>
        <w:rPr>
          <w:sz w:val="20"/>
          <w:szCs w:val="20"/>
          <w:color w:val="auto"/>
        </w:rPr>
      </w:pPr>
      <w:r>
        <w:rPr>
          <w:rFonts w:ascii="Arial" w:cs="Arial" w:eastAsia="Arial" w:hAnsi="Arial"/>
          <w:sz w:val="15"/>
          <w:szCs w:val="15"/>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109" w:lineRule="exact"/>
        <w:rPr>
          <w:sz w:val="20"/>
          <w:szCs w:val="20"/>
          <w:color w:val="auto"/>
        </w:rPr>
      </w:pPr>
    </w:p>
    <w:p>
      <w:pPr>
        <w:ind w:right="60" w:firstLine="297"/>
        <w:spacing w:after="0" w:line="279" w:lineRule="auto"/>
        <w:rPr>
          <w:sz w:val="20"/>
          <w:szCs w:val="20"/>
          <w:color w:val="auto"/>
        </w:rPr>
      </w:pPr>
      <w:r>
        <w:rPr>
          <w:rFonts w:ascii="Arial" w:cs="Arial" w:eastAsia="Arial" w:hAnsi="Arial"/>
          <w:sz w:val="15"/>
          <w:szCs w:val="15"/>
          <w:color w:val="auto"/>
        </w:rPr>
        <w:t>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MA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offerings. While we are engaging with CMS in an effort to change its sorting logic, incumbents in the MA business have increased visibility in this marketing channel and in similar marketing channels, which could reduce our take rate and negatively affect our business,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3" w:lineRule="exact"/>
        <w:rPr>
          <w:sz w:val="20"/>
          <w:szCs w:val="20"/>
          <w:color w:val="auto"/>
        </w:rPr>
      </w:pPr>
    </w:p>
    <w:p>
      <w:pPr>
        <w:ind w:right="400"/>
        <w:spacing w:after="0" w:line="325" w:lineRule="auto"/>
        <w:rPr>
          <w:sz w:val="20"/>
          <w:szCs w:val="20"/>
          <w:color w:val="auto"/>
        </w:rPr>
      </w:pPr>
      <w:r>
        <w:rPr>
          <w:rFonts w:ascii="Arial" w:cs="Arial" w:eastAsia="Arial" w:hAnsi="Arial"/>
          <w:sz w:val="15"/>
          <w:szCs w:val="15"/>
          <w:color w:val="auto"/>
        </w:rPr>
        <w:t>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w:t>
      </w:r>
    </w:p>
    <w:p>
      <w:pPr>
        <w:spacing w:after="0" w:line="7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b w:val="1"/>
          <w:bCs w:val="1"/>
          <w:i w:val="1"/>
          <w:iCs w:val="1"/>
          <w:color w:val="auto"/>
        </w:rPr>
        <w:t>If we fail to develop widespread brand recognition or are unable to maintain or enhance our reputation, our business, financial condition and results of operations will be harmed.</w:t>
      </w:r>
    </w:p>
    <w:p>
      <w:pPr>
        <w:spacing w:after="0" w:line="99" w:lineRule="exact"/>
        <w:rPr>
          <w:sz w:val="20"/>
          <w:szCs w:val="20"/>
          <w:color w:val="auto"/>
        </w:rPr>
      </w:pPr>
    </w:p>
    <w:p>
      <w:pPr>
        <w:ind w:right="60" w:firstLine="297"/>
        <w:spacing w:after="0" w:line="305" w:lineRule="auto"/>
        <w:rPr>
          <w:sz w:val="20"/>
          <w:szCs w:val="20"/>
          <w:color w:val="auto"/>
        </w:rPr>
      </w:pPr>
      <w:r>
        <w:rPr>
          <w:rFonts w:ascii="Arial" w:cs="Arial" w:eastAsia="Arial" w:hAnsi="Arial"/>
          <w:sz w:val="14"/>
          <w:szCs w:val="14"/>
          <w:color w:val="auto"/>
        </w:rPr>
        <w:t>We believe that developing widespread brand recognition and maintaining and enhancing our reputation is critical to our relationships with existing providers and beneficiaries, and to our ability to attract new providers and beneficiaries to our platform and offerings.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beneficiaries, could harm our reputation and brand and make it substantially more difficult for us to attract new providers or beneficiaries. If we do not successfully develop widespread brand recognition and maintain and enhance our reputation, our business may not grow and we could lose our relationships with providers or members and beneficiaries, which would harm our business, financial condition and results of operations.</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If we do not continue to innovate and provide services that are useful to our beneficiaries and providers, we may not remain competitive, and our business, financial condition and results of operations could suffer.</w:t>
      </w:r>
    </w:p>
    <w:p>
      <w:pPr>
        <w:spacing w:after="0" w:line="99" w:lineRule="exact"/>
        <w:rPr>
          <w:sz w:val="20"/>
          <w:szCs w:val="20"/>
          <w:color w:val="auto"/>
        </w:rPr>
      </w:pPr>
    </w:p>
    <w:p>
      <w:pPr>
        <w:ind w:right="60" w:firstLine="297"/>
        <w:spacing w:after="0" w:line="282" w:lineRule="auto"/>
        <w:rPr>
          <w:sz w:val="20"/>
          <w:szCs w:val="20"/>
          <w:color w:val="auto"/>
        </w:rPr>
      </w:pPr>
      <w:r>
        <w:rPr>
          <w:rFonts w:ascii="Arial" w:cs="Arial" w:eastAsia="Arial" w:hAnsi="Arial"/>
          <w:sz w:val="15"/>
          <w:szCs w:val="15"/>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beneficiary and provider user requirements, and sustain and grow market acceptance. Our future financial performance will depend in part on our growth in this market and on our ability to adapt to emerging market demands, including adapting to the ways our members and beneficiaries access and use our MA plans, DCE, and clinical care programs, and the ways our providers use and engage with the Clover Assistant. Our competitors may develop products and services that may appeal more to our beneficiaries and/or providers. As a result, we must continue to invest significant resources in research and development in order to enhance our existing platform and introduce new high-quality products and features that our beneficiaries and providers will want, while offering our MA plans at competitive prices. In particular, achieving and maintaining broad market acceptance of our MA plans and our products, including the Clover Assistant, could be negatively affected by many factors, including:</w:t>
      </w:r>
    </w:p>
    <w:p>
      <w:pPr>
        <w:spacing w:after="0" w:line="109" w:lineRule="exact"/>
        <w:rPr>
          <w:sz w:val="20"/>
          <w:szCs w:val="20"/>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beneficiary and provider needs and preferences;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lack of evidence supporting the ease-of-use, cost savings or other perceived benefits of our MA plans;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lack of evidence supporting the ease-of-use, costs savings or other perceived benefits of our platform over competitive products and technology platforms; and</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perceived risks associated with the use of our platform, similar products or technologies generally.</w:t>
      </w:r>
    </w:p>
    <w:p>
      <w:pPr>
        <w:spacing w:after="0" w:line="16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In addition, our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customer support, our business, results of operations and reputation could suffer.</w:t>
      </w:r>
    </w:p>
    <w:p>
      <w:pPr>
        <w:spacing w:after="0" w:line="162" w:lineRule="exact"/>
        <w:rPr>
          <w:sz w:val="20"/>
          <w:szCs w:val="20"/>
          <w:color w:val="auto"/>
        </w:rPr>
      </w:pPr>
    </w:p>
    <w:p>
      <w:pPr>
        <w:ind w:right="160" w:firstLine="297"/>
        <w:spacing w:after="0" w:line="266" w:lineRule="auto"/>
        <w:rPr>
          <w:sz w:val="20"/>
          <w:szCs w:val="20"/>
          <w:color w:val="auto"/>
        </w:rPr>
      </w:pPr>
      <w:r>
        <w:rPr>
          <w:rFonts w:ascii="Arial" w:cs="Arial" w:eastAsia="Arial" w:hAnsi="Arial"/>
          <w:sz w:val="16"/>
          <w:szCs w:val="16"/>
          <w:color w:val="auto"/>
        </w:rPr>
        <w:t>Our business is dependent upon providing high-quality customer support and service to both our beneficiaries and providers. In particular, our ability to attract and retain membership is dependent upon providing cost effective, quality customer service operations, such as call center operations and claim processing, that meet or exceed our beneficiaries’ expectations. We depend on third parties for certain of our customer service operations. If we or our vendors fail to provide service that meets our beneficiaries’ expectations, we may have difficulty retaining or growing our Lives under Clover Management, which could adversely affect our business, financial condition and results of operations.</w:t>
      </w:r>
    </w:p>
    <w:p>
      <w:pPr>
        <w:spacing w:after="0" w:line="118" w:lineRule="exact"/>
        <w:rPr>
          <w:sz w:val="20"/>
          <w:szCs w:val="20"/>
          <w:color w:val="auto"/>
        </w:rPr>
      </w:pPr>
    </w:p>
    <w:p>
      <w:pPr>
        <w:ind w:right="20" w:firstLine="297"/>
        <w:spacing w:after="0" w:line="263" w:lineRule="auto"/>
        <w:rPr>
          <w:sz w:val="20"/>
          <w:szCs w:val="20"/>
          <w:color w:val="auto"/>
        </w:rPr>
      </w:pPr>
      <w:r>
        <w:rPr>
          <w:rFonts w:ascii="Arial" w:cs="Arial" w:eastAsia="Arial" w:hAnsi="Arial"/>
          <w:sz w:val="16"/>
          <w:szCs w:val="16"/>
          <w:color w:val="auto"/>
        </w:rPr>
        <w:t>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 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Real or perceived errors, failures, vulnerabilities, or bugs in the Clover Assistant would harm our business, results of operations, and financial condition.</w:t>
      </w:r>
    </w:p>
    <w:p>
      <w:pPr>
        <w:spacing w:after="0" w:line="174"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auto"/>
        </w:rPr>
        <w:t>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 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109" w:lineRule="exact"/>
        <w:rPr>
          <w:sz w:val="20"/>
          <w:szCs w:val="20"/>
          <w:color w:val="auto"/>
        </w:rPr>
      </w:pPr>
    </w:p>
    <w:p>
      <w:pPr>
        <w:ind w:right="40" w:firstLine="297"/>
        <w:spacing w:after="0" w:line="292" w:lineRule="auto"/>
        <w:rPr>
          <w:sz w:val="20"/>
          <w:szCs w:val="20"/>
          <w:color w:val="auto"/>
        </w:rPr>
      </w:pPr>
      <w:r>
        <w:rPr>
          <w:rFonts w:ascii="Arial" w:cs="Arial" w:eastAsia="Arial" w:hAnsi="Arial"/>
          <w:sz w:val="15"/>
          <w:szCs w:val="15"/>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0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9"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We may experience system slowdowns and interruptions from time to time. In addition, continued growth in our beneficiary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address all aspects or any unanticipated consequence or incidents, and our insurance may not be sufficient to compensate us for the losses that could occur.</w:t>
      </w:r>
    </w:p>
    <w:p>
      <w:pPr>
        <w:spacing w:after="0" w:line="162" w:lineRule="exact"/>
        <w:rPr>
          <w:sz w:val="20"/>
          <w:szCs w:val="20"/>
          <w:color w:val="auto"/>
        </w:rPr>
      </w:pPr>
    </w:p>
    <w:p>
      <w:pPr>
        <w:ind w:right="160"/>
        <w:spacing w:after="0" w:line="325" w:lineRule="auto"/>
        <w:rPr>
          <w:sz w:val="20"/>
          <w:szCs w:val="20"/>
          <w:color w:val="auto"/>
        </w:rPr>
      </w:pPr>
      <w:r>
        <w:rPr>
          <w:rFonts w:ascii="Arial" w:cs="Arial" w:eastAsia="Arial" w:hAnsi="Arial"/>
          <w:sz w:val="15"/>
          <w:szCs w:val="15"/>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77"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events could cause the market price of our common stock to fluctuate. Factors that may contribute to the variability of our operating results include:</w:t>
      </w:r>
    </w:p>
    <w:p>
      <w:pPr>
        <w:spacing w:after="0" w:line="118" w:lineRule="exact"/>
        <w:rPr>
          <w:sz w:val="20"/>
          <w:szCs w:val="20"/>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the enrollment periods and related sales and marketing expenses;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risk adjustments;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addition or loss of large hospital and healthcare systems in our provider network, including due to acquisitions or consolidations of such systems;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recognition of revenue, including possible delays in the recognition of revenue;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effectively manage the size and composition of our in-house clinician program relative to the level of demand for services from our members;</w:t>
      </w:r>
    </w:p>
    <w:p>
      <w:pPr>
        <w:spacing w:after="0" w:line="173" w:lineRule="exact"/>
        <w:rPr>
          <w:rFonts w:ascii="Arial" w:cs="Arial" w:eastAsia="Arial" w:hAnsi="Arial"/>
          <w:sz w:val="15"/>
          <w:szCs w:val="15"/>
          <w:color w:val="auto"/>
        </w:rPr>
      </w:pPr>
    </w:p>
    <w:p>
      <w:pPr>
        <w:ind w:left="600" w:right="60" w:hanging="304"/>
        <w:spacing w:after="0" w:line="290"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99" w:lineRule="exact"/>
        <w:rPr>
          <w:rFonts w:ascii="Arial" w:cs="Arial" w:eastAsia="Arial" w:hAnsi="Arial"/>
          <w:sz w:val="16"/>
          <w:szCs w:val="16"/>
          <w:color w:val="auto"/>
        </w:rPr>
      </w:pPr>
    </w:p>
    <w:p>
      <w:pPr>
        <w:ind w:left="600" w:right="280" w:hanging="304"/>
        <w:spacing w:after="0" w:line="290"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technologies or businesses and potential future charges for impairment of goodwill from acquired companies;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and/or delays in rolling out technology or platform updates;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technical difficulties or interruptions in the Clover Assistant;</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increase provider adoption of the Clover Assistant;</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attract new beneficiaries;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breaches of information security or privacy, and any applicable fines or penalties;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hire and retain qualified personnel, including for our in-house clinician program;</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structure of healthcare provider and payment systems;</w:t>
      </w:r>
    </w:p>
    <w:p>
      <w:pPr>
        <w:spacing w:after="0" w:line="162" w:lineRule="exact"/>
        <w:rPr>
          <w:rFonts w:ascii="Arial" w:cs="Arial" w:eastAsia="Arial" w:hAnsi="Arial"/>
          <w:sz w:val="16"/>
          <w:szCs w:val="16"/>
          <w:color w:val="auto"/>
        </w:rPr>
      </w:pPr>
    </w:p>
    <w:p>
      <w:pPr>
        <w:ind w:left="600" w:right="20" w:hanging="304"/>
        <w:spacing w:after="0" w:line="290"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healthcare, privacy, or data protection, or enforcement by government regulators, including fines, orders, sanctions, or consent decrees;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and potential outcomes of ongoing or future regulatory audits, investigations, or litigation;</w:t>
      </w:r>
    </w:p>
    <w:p>
      <w:pPr>
        <w:spacing w:after="0" w:line="162" w:lineRule="exact"/>
        <w:rPr>
          <w:rFonts w:ascii="Arial" w:cs="Arial" w:eastAsia="Arial" w:hAnsi="Arial"/>
          <w:sz w:val="16"/>
          <w:szCs w:val="16"/>
          <w:color w:val="auto"/>
        </w:rPr>
      </w:pPr>
    </w:p>
    <w:p>
      <w:pPr>
        <w:ind w:left="600" w:right="480" w:hanging="304"/>
        <w:spacing w:after="0" w:line="325" w:lineRule="auto"/>
        <w:tabs>
          <w:tab w:leader="none" w:pos="59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travel restrictions, shelter-in-place orders and other social distancing measures implemented to combat any health emergency or pandemic (including the COVID-19 pandemic), and their impact on economic, industry and market conditions, patient visits and our ability to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6" w:name="page37"/>
    <w:bookmarkEnd w:id="36"/>
    <w:p>
      <w:pPr>
        <w:spacing w:after="0" w:line="23" w:lineRule="exact"/>
        <w:rPr>
          <w:sz w:val="20"/>
          <w:szCs w:val="20"/>
          <w:color w:val="auto"/>
        </w:rPr>
      </w:pPr>
    </w:p>
    <w:p>
      <w:pPr>
        <w:ind w:left="600" w:right="20" w:hanging="304"/>
        <w:spacing w:after="0" w:line="290" w:lineRule="auto"/>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political, economic and social instability, including terrorist activities and health epidemics (including the COVID-19 pandemic), and any disruption these events may cause to any of our offices, to the healthcare system, or to the global economy;</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our and our competitors’ pricing policies;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business or macroeconomic conditions.</w:t>
      </w:r>
    </w:p>
    <w:p>
      <w:pPr>
        <w:spacing w:after="0" w:line="162" w:lineRule="exact"/>
        <w:rPr>
          <w:sz w:val="20"/>
          <w:szCs w:val="20"/>
          <w:color w:val="auto"/>
        </w:rPr>
      </w:pPr>
    </w:p>
    <w:p>
      <w:pPr>
        <w:ind w:right="280" w:firstLine="297"/>
        <w:spacing w:after="0" w:line="325" w:lineRule="auto"/>
        <w:rPr>
          <w:sz w:val="20"/>
          <w:szCs w:val="20"/>
          <w:color w:val="auto"/>
        </w:rPr>
      </w:pPr>
      <w:r>
        <w:rPr>
          <w:rFonts w:ascii="Arial" w:cs="Arial" w:eastAsia="Arial" w:hAnsi="Arial"/>
          <w:sz w:val="15"/>
          <w:szCs w:val="15"/>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our future performance.</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99"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Our market opportunity estimates and growth forecasts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beneficiaries and potential beneficiaries than competing MA plans and other participants in the DC Model. If these assumptions prove inaccurate, our business, financial condition, and results of operations could be adversely affected.</w:t>
      </w:r>
    </w:p>
    <w:p>
      <w:pPr>
        <w:spacing w:after="0" w:line="10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99"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and our affiliated professional entities may be subject to professional liability claims and, if these claims are successful, substantial damage awards. With respect to Clover 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118" w:lineRule="exact"/>
        <w:rPr>
          <w:sz w:val="20"/>
          <w:szCs w:val="20"/>
          <w:color w:val="auto"/>
        </w:rPr>
      </w:pPr>
    </w:p>
    <w:p>
      <w:pPr>
        <w:ind w:right="160" w:firstLine="297"/>
        <w:spacing w:after="0" w:line="292" w:lineRule="auto"/>
        <w:rPr>
          <w:sz w:val="20"/>
          <w:szCs w:val="20"/>
          <w:color w:val="auto"/>
        </w:rPr>
      </w:pPr>
      <w:r>
        <w:rPr>
          <w:rFonts w:ascii="Arial" w:cs="Arial" w:eastAsia="Arial" w:hAnsi="Arial"/>
          <w:sz w:val="15"/>
          <w:szCs w:val="15"/>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pose certain risks to our business that may be different from risks associated with our domestic operations.</w:t>
      </w:r>
    </w:p>
    <w:p>
      <w:pPr>
        <w:spacing w:after="0" w:line="162"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auto"/>
        </w:rPr>
        <w:t>We have significant operations, including certain outsourced operations in other countries, including in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21" w:lineRule="exact"/>
        <w:rPr>
          <w:sz w:val="20"/>
          <w:szCs w:val="20"/>
          <w:color w:val="auto"/>
        </w:rPr>
      </w:pPr>
    </w:p>
    <w:p>
      <w:pPr>
        <w:ind w:right="140" w:firstLine="297"/>
        <w:spacing w:after="0" w:line="266" w:lineRule="auto"/>
        <w:rPr>
          <w:sz w:val="20"/>
          <w:szCs w:val="20"/>
          <w:color w:val="auto"/>
        </w:rPr>
      </w:pPr>
      <w:r>
        <w:rPr>
          <w:rFonts w:ascii="Arial" w:cs="Arial" w:eastAsia="Arial" w:hAnsi="Arial"/>
          <w:sz w:val="16"/>
          <w:szCs w:val="16"/>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18"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Compliance with applicable U.S. and foreign laws and regulations, such as import and export requirements, anti-corruption laws, tax laws, foreign exchange controls and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118"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Furthermore, weakness of the U.S. dollar in relation to the currencies used in these foreign countries may also reduce the savings achievable through this strategy and could have an adverse effect on our business, financial condition and results of operations.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failure to successfully manage our international operations and the associated risks effectively could limit the future growth of our business.</w:t>
      </w:r>
    </w:p>
    <w:p>
      <w:pPr>
        <w:spacing w:after="0" w:line="162"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b w:val="1"/>
          <w:bCs w:val="1"/>
          <w:i w:val="1"/>
          <w:iCs w:val="1"/>
          <w:color w:val="auto"/>
        </w:rPr>
        <w:t>If we are successful in expanding our Lives under Clover Management across the United States, we may incur increased expenses and risks related to compliance with state licensure requirements, which could impact our business and operating results.</w:t>
      </w:r>
    </w:p>
    <w:p>
      <w:pPr>
        <w:spacing w:after="0" w:line="99"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State regulators require us to maintain a valid license in each state in which we transact health insurance business, maintain minimum amounts of capital and surplus, and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among other things, to:</w:t>
      </w:r>
    </w:p>
    <w:p>
      <w:pPr>
        <w:spacing w:after="0" w:line="121" w:lineRule="exact"/>
        <w:rPr>
          <w:sz w:val="20"/>
          <w:szCs w:val="20"/>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grant and revoke licenses to transact insurance business;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 compliance with minimum capital and surplus requirements;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conduct inquiries into the insurance-related activities and conduct of agents and agencies;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and regulate disclosure in connection with the sale and solicitation of health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23" w:lineRule="exact"/>
        <w:rPr>
          <w:sz w:val="20"/>
          <w:szCs w:val="20"/>
          <w:color w:val="auto"/>
        </w:rPr>
      </w:pPr>
    </w:p>
    <w:p>
      <w:pPr>
        <w:ind w:left="580" w:hanging="284"/>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authorize how, by which personnel and under what circumstances insurance premiums can be quoted and published and an insurance policy can be sold;</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approve which entities can be paid commissions from carriers and the circumstances under which they may be paid;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regulate the content of insurance-related advertisements, including web pages, and other marketing practices;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approve policy forms, require specific benefits and benefit levels and regulate premium rates;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impose fines and other penalties;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impose continuing education requirements.</w:t>
      </w:r>
    </w:p>
    <w:p>
      <w:pPr>
        <w:spacing w:after="0" w:line="162" w:lineRule="exact"/>
        <w:rPr>
          <w:sz w:val="20"/>
          <w:szCs w:val="20"/>
          <w:color w:val="auto"/>
        </w:rPr>
      </w:pPr>
    </w:p>
    <w:p>
      <w:pPr>
        <w:ind w:right="40" w:firstLine="297"/>
        <w:spacing w:after="0" w:line="279" w:lineRule="auto"/>
        <w:rPr>
          <w:sz w:val="20"/>
          <w:szCs w:val="20"/>
          <w:color w:val="auto"/>
        </w:rPr>
      </w:pPr>
      <w:r>
        <w:rPr>
          <w:rFonts w:ascii="Arial" w:cs="Arial" w:eastAsia="Arial" w:hAnsi="Arial"/>
          <w:sz w:val="15"/>
          <w:szCs w:val="15"/>
          <w:color w:val="auto"/>
        </w:rPr>
        <w:t>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113" w:lineRule="exact"/>
        <w:rPr>
          <w:sz w:val="20"/>
          <w:szCs w:val="20"/>
          <w:color w:val="auto"/>
        </w:rPr>
      </w:pPr>
    </w:p>
    <w:p>
      <w:pPr>
        <w:ind w:right="80" w:firstLine="297"/>
        <w:spacing w:after="0" w:line="292" w:lineRule="auto"/>
        <w:rPr>
          <w:sz w:val="20"/>
          <w:szCs w:val="20"/>
          <w:color w:val="auto"/>
        </w:rPr>
      </w:pPr>
      <w:r>
        <w:rPr>
          <w:rFonts w:ascii="Arial" w:cs="Arial" w:eastAsia="Arial" w:hAnsi="Arial"/>
          <w:sz w:val="15"/>
          <w:szCs w:val="15"/>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pacing w:after="0" w:line="100" w:lineRule="exact"/>
        <w:rPr>
          <w:sz w:val="20"/>
          <w:szCs w:val="20"/>
          <w:color w:val="auto"/>
        </w:rPr>
      </w:pPr>
    </w:p>
    <w:p>
      <w:pPr>
        <w:ind w:right="600"/>
        <w:spacing w:after="0" w:line="366" w:lineRule="auto"/>
        <w:rPr>
          <w:sz w:val="20"/>
          <w:szCs w:val="20"/>
          <w:color w:val="auto"/>
        </w:rPr>
      </w:pPr>
      <w:r>
        <w:rPr>
          <w:rFonts w:ascii="Arial" w:cs="Arial" w:eastAsia="Arial" w:hAnsi="Arial"/>
          <w:sz w:val="14"/>
          <w:szCs w:val="14"/>
          <w:b w:val="1"/>
          <w:bCs w:val="1"/>
          <w:i w:val="1"/>
          <w:iCs w:val="1"/>
          <w:color w:val="auto"/>
        </w:rPr>
        <w:t>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w:t>
      </w:r>
    </w:p>
    <w:p>
      <w:pPr>
        <w:spacing w:after="0" w:line="53"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platform and products for our beneficiaries and provider users, and we may lose beneficiaries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Our failure to protect our sites, networks, and systems against security breaches, or otherwise to protect our confidential or health information or the confidential or health information of our beneficiaries, providers, or other third parties, would damage our reputation and brand, and substantially harm our business and results of operations.</w:t>
      </w:r>
    </w:p>
    <w:p>
      <w:pPr>
        <w:spacing w:after="0" w:line="112" w:lineRule="exact"/>
        <w:rPr>
          <w:sz w:val="20"/>
          <w:szCs w:val="20"/>
          <w:color w:val="auto"/>
        </w:rPr>
      </w:pPr>
    </w:p>
    <w:p>
      <w:pPr>
        <w:ind w:right="20" w:firstLine="297"/>
        <w:spacing w:after="0" w:line="279" w:lineRule="auto"/>
        <w:rPr>
          <w:sz w:val="20"/>
          <w:szCs w:val="20"/>
          <w:color w:val="auto"/>
        </w:rPr>
      </w:pPr>
      <w:r>
        <w:rPr>
          <w:rFonts w:ascii="Arial" w:cs="Arial" w:eastAsia="Arial" w:hAnsi="Arial"/>
          <w:sz w:val="15"/>
          <w:szCs w:val="15"/>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beneficiaries,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13" w:lineRule="exact"/>
        <w:rPr>
          <w:sz w:val="20"/>
          <w:szCs w:val="20"/>
          <w:color w:val="auto"/>
        </w:rPr>
      </w:pPr>
    </w:p>
    <w:p>
      <w:pPr>
        <w:ind w:right="80" w:firstLine="297"/>
        <w:spacing w:after="0" w:line="287" w:lineRule="auto"/>
        <w:rPr>
          <w:sz w:val="20"/>
          <w:szCs w:val="20"/>
          <w:color w:val="auto"/>
        </w:rPr>
      </w:pPr>
      <w:r>
        <w:rPr>
          <w:rFonts w:ascii="Arial" w:cs="Arial" w:eastAsia="Arial" w:hAnsi="Arial"/>
          <w:sz w:val="15"/>
          <w:szCs w:val="15"/>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growth depends in part on the success of our strategic relationships with third parties.</w:t>
      </w:r>
    </w:p>
    <w:p>
      <w:pPr>
        <w:spacing w:after="0" w:line="162"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3"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beneficiaries with certain PBM services, such as claims processing, mail pharmacy services, specialty pharmacy services, retail network pharmacy network services, participating pharmacy audit services, reporting, formulary services and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beneficiaries,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providers and potentially higher medical costs for our beneficiaries, increased or duplicative costs, an inability to meet our obligations to our beneficiaries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117"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Identifying partners, and negotiating and documenting relationships with them, requires significant time and resources. In addition, acquisitions of our partners by our competitors could result in a decrease in the number of our beneficiaries and provider users, as our partners may no longer facilitate the enrollment of Medicare eligibles into, or the effective and efficient operations of, our MA Plans and DCE or the adoption of the Clover Assistant by providers.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an increase in the number of beneficiaries or provider users of the Clover Assistant.</w:t>
      </w:r>
    </w:p>
    <w:p>
      <w:pPr>
        <w:spacing w:after="0" w:line="121" w:lineRule="exact"/>
        <w:rPr>
          <w:sz w:val="20"/>
          <w:szCs w:val="20"/>
          <w:color w:val="auto"/>
        </w:rPr>
      </w:pPr>
    </w:p>
    <w:p>
      <w:pPr>
        <w:ind w:right="660"/>
        <w:spacing w:after="0" w:line="290" w:lineRule="auto"/>
        <w:rPr>
          <w:sz w:val="20"/>
          <w:szCs w:val="20"/>
          <w:color w:val="auto"/>
        </w:rPr>
      </w:pPr>
      <w:r>
        <w:rPr>
          <w:rFonts w:ascii="Arial" w:cs="Arial" w:eastAsia="Arial" w:hAnsi="Arial"/>
          <w:sz w:val="16"/>
          <w:szCs w:val="16"/>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99"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To execute on our growth plan, we must attract and retain highly qualified personnel.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We depend on our senior management team and other key employees, and the loss of one or more of these employees or an inability to attract and retain qualified key personnel could adversely affect our business.</w:t>
      </w:r>
    </w:p>
    <w:p>
      <w:pPr>
        <w:spacing w:after="0" w:line="99"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For example, we announced that our Chief Financial Officer would be leaving the Company as of August 13, 2021, and that Mark C. Herbers would serve as interim Chief Financial Officer. We can provide no assurance that any of our other executives or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 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beneficiaries,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Our management team has limited experience managing a publicly-traded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and such diversions could be elevated following the departure of our Chief Financial Officer, which could harm our business, results of operations, and financial condition.</w:t>
      </w:r>
    </w:p>
    <w:p>
      <w:pPr>
        <w:spacing w:after="0" w:line="118" w:lineRule="exact"/>
        <w:rPr>
          <w:sz w:val="20"/>
          <w:szCs w:val="20"/>
          <w:color w:val="auto"/>
        </w:rPr>
      </w:pPr>
    </w:p>
    <w:p>
      <w:pPr>
        <w:ind w:right="440"/>
        <w:spacing w:after="0" w:line="290" w:lineRule="auto"/>
        <w:rPr>
          <w:sz w:val="20"/>
          <w:szCs w:val="20"/>
          <w:color w:val="auto"/>
        </w:rPr>
      </w:pPr>
      <w:r>
        <w:rPr>
          <w:rFonts w:ascii="Arial" w:cs="Arial" w:eastAsia="Arial" w:hAnsi="Arial"/>
          <w:sz w:val="16"/>
          <w:szCs w:val="16"/>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99" w:lineRule="exact"/>
        <w:rPr>
          <w:sz w:val="20"/>
          <w:szCs w:val="20"/>
          <w:color w:val="auto"/>
        </w:rPr>
      </w:pPr>
    </w:p>
    <w:p>
      <w:pPr>
        <w:ind w:right="100" w:firstLine="297"/>
        <w:spacing w:after="0" w:line="262" w:lineRule="auto"/>
        <w:rPr>
          <w:sz w:val="20"/>
          <w:szCs w:val="20"/>
          <w:color w:val="auto"/>
        </w:rPr>
      </w:pPr>
      <w:r>
        <w:rPr>
          <w:rFonts w:ascii="Arial" w:cs="Arial" w:eastAsia="Arial" w:hAnsi="Arial"/>
          <w:sz w:val="16"/>
          <w:szCs w:val="16"/>
          <w:color w:val="auto"/>
        </w:rPr>
        <w:t>As part of our business strategy to expand usage of our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beneficiaries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the Company, the business and results of operations of the combined company would be adversely affected.</w:t>
      </w:r>
    </w:p>
    <w:p>
      <w:pPr>
        <w:spacing w:after="0" w:line="124" w:lineRule="exact"/>
        <w:rPr>
          <w:sz w:val="20"/>
          <w:szCs w:val="20"/>
          <w:color w:val="auto"/>
        </w:rPr>
      </w:pPr>
    </w:p>
    <w:p>
      <w:pPr>
        <w:ind w:right="120" w:firstLine="297"/>
        <w:spacing w:after="0" w:line="306" w:lineRule="auto"/>
        <w:rPr>
          <w:sz w:val="20"/>
          <w:szCs w:val="20"/>
          <w:color w:val="auto"/>
        </w:rPr>
      </w:pPr>
      <w:r>
        <w:rPr>
          <w:rFonts w:ascii="Arial" w:cs="Arial" w:eastAsia="Arial" w:hAnsi="Arial"/>
          <w:sz w:val="14"/>
          <w:szCs w:val="14"/>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business growth, and this capital might not be available on acceptable terms, or at all.</w:t>
      </w:r>
    </w:p>
    <w:p>
      <w:pPr>
        <w:spacing w:after="0" w:line="162"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Historically, we have financed our operations and capital expenditures principally from the sale of our equity securities, MA premiums earned, Direct Contracting Revenue, and the incurrence of indebtedness.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74" w:lineRule="exact"/>
        <w:rPr>
          <w:sz w:val="20"/>
          <w:szCs w:val="20"/>
          <w:color w:val="auto"/>
        </w:rPr>
      </w:pPr>
    </w:p>
    <w:p>
      <w:pPr>
        <w:ind w:right="80" w:firstLine="297"/>
        <w:spacing w:after="0" w:line="26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Note 2 (Summary of Significant Accounting Policies) to Financial Statements in this prospectus.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2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We are currently, and may in the future be, subject to investigations and litigation, which could be costly and time-consuming to defend, and the outcomes of which cannot be predicted.</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are currently subject to various litigation matters as described in the section entitled “Business—Legal Proceedings.”</w:t>
      </w:r>
    </w:p>
    <w:p>
      <w:pPr>
        <w:spacing w:after="0" w:line="162" w:lineRule="exact"/>
        <w:rPr>
          <w:sz w:val="20"/>
          <w:szCs w:val="20"/>
          <w:color w:val="auto"/>
        </w:rPr>
      </w:pPr>
    </w:p>
    <w:p>
      <w:pPr>
        <w:ind w:right="20" w:firstLine="297"/>
        <w:spacing w:after="0" w:line="280" w:lineRule="auto"/>
        <w:rPr>
          <w:sz w:val="20"/>
          <w:szCs w:val="20"/>
          <w:color w:val="auto"/>
        </w:rPr>
      </w:pPr>
      <w:r>
        <w:rPr>
          <w:rFonts w:ascii="Arial" w:cs="Arial" w:eastAsia="Arial" w:hAnsi="Arial"/>
          <w:sz w:val="15"/>
          <w:szCs w:val="15"/>
          <w:color w:val="auto"/>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We are also currently subject to an ongoing inquiry by the U.S. Department of Justice (DOJ), and also may in the future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beneficiaries, fraudulent coding practices, billing for unnecessary medical and/or other covered services, improper marketing and violations of patient privacy rights. The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2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Certain of our plans have been selected for such audits, which have in the past resulted and could in the future result in retrospective adjustments to payments made to our health plans, fines, corrective action plans or other adverse action by CMS.</w:t>
      </w:r>
    </w:p>
    <w:p>
      <w:pPr>
        <w:spacing w:after="0" w:line="118" w:lineRule="exact"/>
        <w:rPr>
          <w:sz w:val="20"/>
          <w:szCs w:val="20"/>
          <w:color w:val="auto"/>
        </w:rPr>
      </w:pPr>
    </w:p>
    <w:p>
      <w:pPr>
        <w:ind w:right="100" w:firstLine="297"/>
        <w:spacing w:after="0" w:line="282" w:lineRule="auto"/>
        <w:rPr>
          <w:sz w:val="20"/>
          <w:szCs w:val="20"/>
          <w:color w:val="auto"/>
        </w:rPr>
      </w:pPr>
      <w:r>
        <w:rPr>
          <w:rFonts w:ascii="Arial" w:cs="Arial" w:eastAsia="Arial" w:hAnsi="Arial"/>
          <w:sz w:val="15"/>
          <w:szCs w:val="15"/>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09"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Arial" w:cs="Arial" w:eastAsia="Arial" w:hAnsi="Arial"/>
          <w:sz w:val="15"/>
          <w:szCs w:val="15"/>
          <w:i w:val="1"/>
          <w:iCs w:val="1"/>
          <w:color w:val="auto"/>
        </w:rPr>
        <w:t>Our business activities are highly regulated, and new and proposed government regulation or legislative reforms</w:t>
      </w:r>
      <w:r>
        <w:rPr>
          <w:rFonts w:ascii="Arial" w:cs="Arial" w:eastAsia="Arial" w:hAnsi="Arial"/>
          <w:sz w:val="15"/>
          <w:szCs w:val="15"/>
          <w:color w:val="auto"/>
        </w:rPr>
        <w:t xml:space="preserve"> </w:t>
      </w:r>
      <w:r>
        <w:rPr>
          <w:rFonts w:ascii="Arial" w:cs="Arial" w:eastAsia="Arial" w:hAnsi="Arial"/>
          <w:sz w:val="15"/>
          <w:szCs w:val="15"/>
          <w:i w:val="1"/>
          <w:iCs w:val="1"/>
          <w:color w:val="auto"/>
        </w:rPr>
        <w:t>could increase our cost of doing business and reduce our number of beneficiaries, profitability, and liquidity.</w:t>
      </w:r>
      <w:r>
        <w:rPr>
          <w:rFonts w:ascii="Arial" w:cs="Arial" w:eastAsia="Arial" w:hAnsi="Arial"/>
          <w:sz w:val="15"/>
          <w:szCs w:val="15"/>
          <w:color w:val="auto"/>
        </w:rPr>
        <w:t>”</w:t>
      </w:r>
    </w:p>
    <w:p>
      <w:pPr>
        <w:spacing w:after="0" w:line="111" w:lineRule="exact"/>
        <w:rPr>
          <w:sz w:val="20"/>
          <w:szCs w:val="20"/>
          <w:color w:val="auto"/>
        </w:rPr>
      </w:pPr>
    </w:p>
    <w:p>
      <w:pPr>
        <w:ind w:right="20" w:firstLine="297"/>
        <w:spacing w:after="0" w:line="287" w:lineRule="auto"/>
        <w:rPr>
          <w:sz w:val="20"/>
          <w:szCs w:val="20"/>
          <w:color w:val="auto"/>
        </w:rPr>
      </w:pPr>
      <w:r>
        <w:rPr>
          <w:rFonts w:ascii="Arial" w:cs="Arial" w:eastAsia="Arial" w:hAnsi="Arial"/>
          <w:sz w:val="15"/>
          <w:szCs w:val="15"/>
          <w:color w:val="auto"/>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if not covered by insurance, or if the fines, judgments, and settlements exceed insured levels, could adversely affect our results of operations and cash flows, thereby harming our business.</w:t>
      </w:r>
    </w:p>
    <w:p>
      <w:pPr>
        <w:spacing w:after="0" w:line="106" w:lineRule="exact"/>
        <w:rPr>
          <w:sz w:val="20"/>
          <w:szCs w:val="20"/>
          <w:color w:val="auto"/>
        </w:rPr>
      </w:pPr>
    </w:p>
    <w:p>
      <w:pPr>
        <w:ind w:right="160" w:firstLine="297"/>
        <w:spacing w:after="0" w:line="262" w:lineRule="auto"/>
        <w:rPr>
          <w:sz w:val="20"/>
          <w:szCs w:val="20"/>
          <w:color w:val="auto"/>
        </w:rPr>
      </w:pPr>
      <w:r>
        <w:rPr>
          <w:rFonts w:ascii="Arial" w:cs="Arial" w:eastAsia="Arial" w:hAnsi="Arial"/>
          <w:sz w:val="16"/>
          <w:szCs w:val="16"/>
          <w:color w:val="auto"/>
        </w:rPr>
        <w:t>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including the current ongoing DOJ inquiry,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Governmental Regulation</w:t>
      </w:r>
    </w:p>
    <w:p>
      <w:pPr>
        <w:spacing w:after="0" w:line="166"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b w:val="1"/>
          <w:bCs w:val="1"/>
          <w:i w:val="1"/>
          <w:iCs w:val="1"/>
          <w:color w:val="auto"/>
        </w:rPr>
        <w:t>We derive substantially all of our total revenues from Medicare Advantage premiums and Direct Contracting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118"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The CMS could apply similar changes to the DC Model in the future. See the section entitled “</w:t>
      </w:r>
      <w:r>
        <w:rPr>
          <w:rFonts w:ascii="Arial" w:cs="Arial" w:eastAsia="Arial" w:hAnsi="Arial"/>
          <w:sz w:val="16"/>
          <w:szCs w:val="16"/>
          <w:i w:val="1"/>
          <w:iCs w:val="1"/>
          <w:color w:val="auto"/>
        </w:rPr>
        <w:t>—Our expansion into Direct Contracting presents</w:t>
      </w:r>
      <w:r>
        <w:rPr>
          <w:rFonts w:ascii="Arial" w:cs="Arial" w:eastAsia="Arial" w:hAnsi="Arial"/>
          <w:sz w:val="16"/>
          <w:szCs w:val="16"/>
          <w:color w:val="auto"/>
        </w:rPr>
        <w:t xml:space="preserve"> </w:t>
      </w:r>
      <w:r>
        <w:rPr>
          <w:rFonts w:ascii="Arial" w:cs="Arial" w:eastAsia="Arial" w:hAnsi="Arial"/>
          <w:sz w:val="16"/>
          <w:szCs w:val="16"/>
          <w:i w:val="1"/>
          <w:iCs w:val="1"/>
          <w:color w:val="auto"/>
        </w:rPr>
        <w:t>new risks to our business.</w:t>
      </w:r>
      <w:r>
        <w:rPr>
          <w:rFonts w:ascii="Arial" w:cs="Arial" w:eastAsia="Arial" w:hAnsi="Arial"/>
          <w:sz w:val="16"/>
          <w:szCs w:val="16"/>
          <w:color w:val="auto"/>
        </w:rPr>
        <w:t>”</w:t>
      </w:r>
    </w:p>
    <w:p>
      <w:pPr>
        <w:spacing w:after="0" w:line="124" w:lineRule="exact"/>
        <w:rPr>
          <w:sz w:val="20"/>
          <w:szCs w:val="20"/>
          <w:color w:val="auto"/>
        </w:rPr>
      </w:pPr>
    </w:p>
    <w:p>
      <w:pPr>
        <w:ind w:right="60" w:firstLine="297"/>
        <w:spacing w:after="0" w:line="300" w:lineRule="auto"/>
        <w:rPr>
          <w:sz w:val="20"/>
          <w:szCs w:val="20"/>
          <w:color w:val="auto"/>
        </w:rPr>
      </w:pPr>
      <w:r>
        <w:rPr>
          <w:rFonts w:ascii="Arial" w:cs="Arial" w:eastAsia="Arial" w:hAnsi="Arial"/>
          <w:sz w:val="15"/>
          <w:szCs w:val="15"/>
          <w:color w:val="auto"/>
        </w:rPr>
        <w:t>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95" w:lineRule="exact"/>
        <w:rPr>
          <w:sz w:val="20"/>
          <w:szCs w:val="20"/>
          <w:color w:val="auto"/>
        </w:rPr>
      </w:pPr>
    </w:p>
    <w:p>
      <w:pPr>
        <w:ind w:right="100" w:firstLine="297"/>
        <w:spacing w:after="0" w:line="262" w:lineRule="auto"/>
        <w:rPr>
          <w:sz w:val="20"/>
          <w:szCs w:val="20"/>
          <w:color w:val="auto"/>
        </w:rPr>
      </w:pPr>
      <w:r>
        <w:rPr>
          <w:rFonts w:ascii="Arial" w:cs="Arial" w:eastAsia="Arial" w:hAnsi="Arial"/>
          <w:sz w:val="16"/>
          <w:szCs w:val="16"/>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requiring MA plans to spend at least 85% of premium dollars on medical care, requiring CMS to apply coding intensity adjustments to Medicare payments, which generated an across-the-board reduction to MA risk scores, and expanding Medicaid eligibility to additional categories of individuals. Since its enactment, there have been judicial and Congressional challenges to certain aspects of the ACA, as well as the act in its entirety, and there may be additional challenges and amendments to the ACA in the future.</w:t>
      </w:r>
    </w:p>
    <w:p>
      <w:pPr>
        <w:spacing w:after="0" w:line="124"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w:t>
      </w:r>
    </w:p>
    <w:p>
      <w:pPr>
        <w:spacing w:after="0" w:line="122" w:lineRule="exact"/>
        <w:rPr>
          <w:sz w:val="20"/>
          <w:szCs w:val="20"/>
          <w:color w:val="auto"/>
        </w:rPr>
      </w:pPr>
    </w:p>
    <w:p>
      <w:pPr>
        <w:jc w:val="both"/>
        <w:ind w:right="340" w:firstLine="297"/>
        <w:spacing w:after="0" w:line="268" w:lineRule="auto"/>
        <w:rPr>
          <w:sz w:val="20"/>
          <w:szCs w:val="20"/>
          <w:color w:val="auto"/>
        </w:rPr>
      </w:pPr>
      <w:r>
        <w:rPr>
          <w:rFonts w:ascii="Arial" w:cs="Arial" w:eastAsia="Arial" w:hAnsi="Arial"/>
          <w:sz w:val="16"/>
          <w:szCs w:val="16"/>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operating results, financial condition and prospects may be materially and adversely affected if we are unable to adapt to developments in healthcare reform in the United States.</w:t>
      </w:r>
    </w:p>
    <w:p>
      <w:pPr>
        <w:spacing w:after="0" w:line="9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b w:val="1"/>
          <w:bCs w:val="1"/>
          <w:i w:val="1"/>
          <w:iCs w:val="1"/>
          <w:color w:val="auto"/>
        </w:rPr>
        <w:t>State corporate practice of medicine and fee-splitting laws govern at least some of our business operations, and violation of such laws could result in penalties and adversely affect our arrangements with contractors and our results of operations and financial condition.</w:t>
      </w:r>
    </w:p>
    <w:p>
      <w:pPr>
        <w:spacing w:after="0" w:line="99"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practice of medicine, fee-splitting between physicians and referral sources may be statutory or regulatory, or may be imposed through judicial or regulatory interpretation, and vary widely from state to state.</w:t>
      </w:r>
    </w:p>
    <w:p>
      <w:pPr>
        <w:spacing w:after="0" w:line="124" w:lineRule="exact"/>
        <w:rPr>
          <w:sz w:val="20"/>
          <w:szCs w:val="20"/>
          <w:color w:val="auto"/>
        </w:rPr>
      </w:pPr>
    </w:p>
    <w:p>
      <w:pPr>
        <w:jc w:val="both"/>
        <w:ind w:right="180" w:firstLine="297"/>
        <w:spacing w:after="0" w:line="274" w:lineRule="auto"/>
        <w:rPr>
          <w:sz w:val="20"/>
          <w:szCs w:val="20"/>
          <w:color w:val="auto"/>
        </w:rPr>
      </w:pPr>
      <w:r>
        <w:rPr>
          <w:rFonts w:ascii="Arial" w:cs="Arial" w:eastAsia="Arial" w:hAnsi="Arial"/>
          <w:sz w:val="16"/>
          <w:szCs w:val="16"/>
          <w:color w:val="auto"/>
        </w:rPr>
        <w:t>Through our HMO subsidiary, we employ providers and other clinical staff to provide medical services to medically complex beneficiaries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12"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Failure to maintain satisfactory quality and performance measures may negatively affect our premium rates, subject us to penalties, limit or reduce our number of beneficiaries, impede our ability to compete for new business in existing or new markets or result in the termination of our contracts, or affect our ability to establish new health plans or expand current health plans, which could have a material adverse effect on our business, rate of growth and results of operations, financial condition and cash flows.</w:t>
      </w:r>
    </w:p>
    <w:p>
      <w:pPr>
        <w:spacing w:after="0" w:line="118"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beneficiaries.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spacing w:after="0" w:line="122" w:lineRule="exact"/>
        <w:rPr>
          <w:sz w:val="20"/>
          <w:szCs w:val="20"/>
          <w:color w:val="auto"/>
        </w:rPr>
      </w:pPr>
    </w:p>
    <w:p>
      <w:pPr>
        <w:ind w:right="220" w:firstLine="297"/>
        <w:spacing w:after="0" w:line="268" w:lineRule="auto"/>
        <w:rPr>
          <w:sz w:val="20"/>
          <w:szCs w:val="20"/>
          <w:color w:val="auto"/>
        </w:rPr>
      </w:pPr>
      <w:r>
        <w:rPr>
          <w:rFonts w:ascii="Arial" w:cs="Arial" w:eastAsia="Arial" w:hAnsi="Arial"/>
          <w:sz w:val="16"/>
          <w:szCs w:val="16"/>
          <w:color w:val="auto"/>
        </w:rPr>
        <w:t>The Star Ratings system considers various measures adopted by CMS, including, among others, quality of care, preventative services, chronic illness management and beneficiary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For each year that our plans were rated, we received a 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2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Rating of 3.0, except for the 2017 and 2022 Star Ratings, when the Star Rating for our PPO plan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beneficiaries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beneficiaries and beneficiaries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109"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beneficiaries and obtain regulatory approval for acquisitions or expansions. If we do not 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beneficiaries, results of operations, financial condition and cash flows.</w:t>
      </w:r>
    </w:p>
    <w:p>
      <w:pPr>
        <w:spacing w:after="0" w:line="106"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b w:val="1"/>
          <w:bCs w:val="1"/>
          <w:i w:val="1"/>
          <w:iCs w:val="1"/>
          <w:color w:val="auto"/>
        </w:rPr>
        <w:t>Our business activities are highly regulated, and new and proposed government regulation or legislative reforms could increase our cost of doing business and reduce our number of beneficiaries, profitability, and liquidity.</w:t>
      </w:r>
    </w:p>
    <w:p>
      <w:pPr>
        <w:spacing w:after="0" w:line="99"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The healthcare industry is heavily regulated and closely scrutinized by federal, state and local governments. Comprehensive statutes and regulations govern the manner in which we are compensated for providing coverage for our MA members and DCE Beneficiaries, our contractual relationships with our providers, vendors and beneficiaries, our marketing activities and other aspects of our operations. Of particular importance are:</w:t>
      </w:r>
    </w:p>
    <w:p>
      <w:pPr>
        <w:spacing w:after="0" w:line="112" w:lineRule="exact"/>
        <w:rPr>
          <w:sz w:val="20"/>
          <w:szCs w:val="20"/>
          <w:color w:val="auto"/>
        </w:rPr>
      </w:pPr>
    </w:p>
    <w:p>
      <w:pPr>
        <w:ind w:left="600" w:hanging="304"/>
        <w:spacing w:after="0" w:line="264"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120" w:lineRule="exact"/>
        <w:rPr>
          <w:rFonts w:ascii="Arial" w:cs="Arial" w:eastAsia="Arial" w:hAnsi="Arial"/>
          <w:sz w:val="16"/>
          <w:szCs w:val="16"/>
          <w:color w:val="auto"/>
        </w:rPr>
      </w:pPr>
    </w:p>
    <w:p>
      <w:pPr>
        <w:ind w:left="600" w:right="20" w:hanging="304"/>
        <w:spacing w:after="0" w:line="268"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117" w:lineRule="exact"/>
        <w:rPr>
          <w:rFonts w:ascii="Arial" w:cs="Arial" w:eastAsia="Arial" w:hAnsi="Arial"/>
          <w:sz w:val="16"/>
          <w:szCs w:val="16"/>
          <w:color w:val="auto"/>
        </w:rPr>
      </w:pPr>
    </w:p>
    <w:p>
      <w:pPr>
        <w:jc w:val="both"/>
        <w:ind w:left="600" w:right="100" w:hanging="304"/>
        <w:spacing w:after="0" w:line="274"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111" w:lineRule="exact"/>
        <w:rPr>
          <w:rFonts w:ascii="Arial" w:cs="Arial" w:eastAsia="Arial" w:hAnsi="Arial"/>
          <w:sz w:val="16"/>
          <w:szCs w:val="16"/>
          <w:color w:val="auto"/>
        </w:rPr>
      </w:pPr>
    </w:p>
    <w:p>
      <w:pPr>
        <w:ind w:left="600" w:right="120" w:hanging="304"/>
        <w:spacing w:after="0" w:line="325" w:lineRule="auto"/>
        <w:tabs>
          <w:tab w:leader="none" w:pos="596"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3" w:lineRule="exact"/>
        <w:rPr>
          <w:sz w:val="20"/>
          <w:szCs w:val="20"/>
          <w:color w:val="auto"/>
        </w:rPr>
      </w:pPr>
    </w:p>
    <w:p>
      <w:pPr>
        <w:ind w:left="304" w:right="120"/>
        <w:spacing w:after="0" w:line="290" w:lineRule="auto"/>
        <w:rPr>
          <w:sz w:val="20"/>
          <w:szCs w:val="20"/>
          <w:color w:val="auto"/>
        </w:rPr>
      </w:pPr>
      <w:r>
        <w:rPr>
          <w:rFonts w:ascii="Arial" w:cs="Arial" w:eastAsia="Arial" w:hAnsi="Arial"/>
          <w:sz w:val="16"/>
          <w:szCs w:val="16"/>
          <w:color w:val="auto"/>
        </w:rPr>
        <w:t>with the delivery of or payment for healthcare benefits, items or services. Similar to the federal Anti- Kickback Statute, a person or entity does not need to have actual knowledge of the statute or specific intent to violate it to have committed a violation;</w:t>
      </w:r>
    </w:p>
    <w:p>
      <w:pPr>
        <w:spacing w:after="0" w:line="99" w:lineRule="exact"/>
        <w:rPr>
          <w:sz w:val="20"/>
          <w:szCs w:val="20"/>
          <w:color w:val="auto"/>
        </w:rPr>
      </w:pPr>
    </w:p>
    <w:p>
      <w:pPr>
        <w:ind w:left="304" w:hanging="304"/>
        <w:spacing w:after="0" w:line="268"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117"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state insurance holding company laws and regulations pertaining to licensing and plan solvency requirements;</w:t>
      </w:r>
    </w:p>
    <w:p>
      <w:pPr>
        <w:spacing w:after="0" w:line="162" w:lineRule="exact"/>
        <w:rPr>
          <w:rFonts w:ascii="Arial" w:cs="Arial" w:eastAsia="Arial" w:hAnsi="Arial"/>
          <w:sz w:val="16"/>
          <w:szCs w:val="16"/>
          <w:color w:val="auto"/>
        </w:rPr>
      </w:pPr>
    </w:p>
    <w:p>
      <w:pPr>
        <w:ind w:left="304" w:right="420" w:hanging="304"/>
        <w:spacing w:after="0" w:line="290"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reassignment of payment rules that prohibit certain types of billing and collection practices in connection with claims payable by the Medicare or Medicaid programs;</w:t>
      </w:r>
    </w:p>
    <w:p>
      <w:pPr>
        <w:spacing w:after="0" w:line="99" w:lineRule="exact"/>
        <w:rPr>
          <w:rFonts w:ascii="Arial" w:cs="Arial" w:eastAsia="Arial" w:hAnsi="Arial"/>
          <w:sz w:val="16"/>
          <w:szCs w:val="16"/>
          <w:color w:val="auto"/>
        </w:rPr>
      </w:pPr>
    </w:p>
    <w:p>
      <w:pPr>
        <w:ind w:left="304" w:right="260" w:hanging="304"/>
        <w:spacing w:after="0" w:line="290"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similar state law provisions pertaining to anti-kickback, self-referral and false claims issues, some of which may apply to items or services reimbursed by any third-party payor;</w:t>
      </w:r>
    </w:p>
    <w:p>
      <w:pPr>
        <w:spacing w:after="0" w:line="99" w:lineRule="exact"/>
        <w:rPr>
          <w:rFonts w:ascii="Arial" w:cs="Arial" w:eastAsia="Arial" w:hAnsi="Arial"/>
          <w:sz w:val="16"/>
          <w:szCs w:val="16"/>
          <w:color w:val="auto"/>
        </w:rPr>
      </w:pPr>
    </w:p>
    <w:p>
      <w:pPr>
        <w:ind w:left="304" w:right="100" w:hanging="304"/>
        <w:spacing w:after="0" w:line="290"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99"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 of the Affordable Care Act (the “ACA”), that requires MA plans to spend at least 85% of premium dollars on medical care;</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and state laws that govern our relationships with pharmaceutical manufacturers, wholesalers, pharmacies, beneficiaries and consumers;</w:t>
      </w:r>
    </w:p>
    <w:p>
      <w:pPr>
        <w:spacing w:after="0" w:line="162" w:lineRule="exact"/>
        <w:rPr>
          <w:rFonts w:ascii="Arial" w:cs="Arial" w:eastAsia="Arial" w:hAnsi="Arial"/>
          <w:sz w:val="16"/>
          <w:szCs w:val="16"/>
          <w:color w:val="auto"/>
        </w:rPr>
      </w:pPr>
    </w:p>
    <w:p>
      <w:pPr>
        <w:ind w:left="304" w:right="180" w:hanging="304"/>
        <w:spacing w:after="0" w:line="266"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spacing w:after="0" w:line="117" w:lineRule="exact"/>
        <w:rPr>
          <w:rFonts w:ascii="Arial" w:cs="Arial" w:eastAsia="Arial" w:hAnsi="Arial"/>
          <w:sz w:val="16"/>
          <w:szCs w:val="16"/>
          <w:color w:val="auto"/>
        </w:rPr>
      </w:pPr>
    </w:p>
    <w:p>
      <w:pPr>
        <w:ind w:left="284" w:hanging="284"/>
        <w:spacing w:after="0"/>
        <w:tabs>
          <w:tab w:leader="none" w:pos="2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laws that regulate debt collection practices;</w:t>
      </w:r>
    </w:p>
    <w:p>
      <w:pPr>
        <w:spacing w:after="0" w:line="162" w:lineRule="exact"/>
        <w:rPr>
          <w:rFonts w:ascii="Arial" w:cs="Arial" w:eastAsia="Arial" w:hAnsi="Arial"/>
          <w:sz w:val="16"/>
          <w:szCs w:val="16"/>
          <w:color w:val="auto"/>
        </w:rPr>
      </w:pPr>
    </w:p>
    <w:p>
      <w:pPr>
        <w:ind w:left="304" w:right="120" w:hanging="304"/>
        <w:spacing w:after="0" w:line="300" w:lineRule="auto"/>
        <w:tabs>
          <w:tab w:leader="none" w:pos="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94" w:lineRule="exact"/>
        <w:rPr>
          <w:rFonts w:ascii="Arial" w:cs="Arial" w:eastAsia="Arial" w:hAnsi="Arial"/>
          <w:sz w:val="15"/>
          <w:szCs w:val="15"/>
          <w:color w:val="auto"/>
        </w:rPr>
      </w:pPr>
    </w:p>
    <w:p>
      <w:pPr>
        <w:ind w:left="304" w:right="160" w:hanging="304"/>
        <w:spacing w:after="0" w:line="290"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99" w:lineRule="exact"/>
        <w:rPr>
          <w:rFonts w:ascii="Arial" w:cs="Arial" w:eastAsia="Arial" w:hAnsi="Arial"/>
          <w:sz w:val="16"/>
          <w:szCs w:val="16"/>
          <w:color w:val="auto"/>
        </w:rPr>
      </w:pPr>
    </w:p>
    <w:p>
      <w:pPr>
        <w:ind w:left="304" w:right="180" w:hanging="304"/>
        <w:spacing w:after="0" w:line="290"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and state laws governing the ways in which we communicate with beneficiaries and market our services, including the Telephone Consumer Protection Act, the Controlling the Assault of Non-Solicited Pornography and Marketing Act;</w:t>
      </w:r>
    </w:p>
    <w:p>
      <w:pPr>
        <w:spacing w:after="0" w:line="99" w:lineRule="exact"/>
        <w:rPr>
          <w:rFonts w:ascii="Arial" w:cs="Arial" w:eastAsia="Arial" w:hAnsi="Arial"/>
          <w:sz w:val="16"/>
          <w:szCs w:val="16"/>
          <w:color w:val="auto"/>
        </w:rPr>
      </w:pPr>
    </w:p>
    <w:p>
      <w:pPr>
        <w:ind w:left="304" w:right="40" w:hanging="304"/>
        <w:spacing w:after="0" w:line="366"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6"/>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161290</wp:posOffset>
            </wp:positionV>
            <wp:extent cx="716915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944"/>
          </w:cols>
          <w:pgMar w:left="616" w:top="1440" w:right="339" w:bottom="1440" w:gutter="0" w:footer="0" w:header="0"/>
        </w:sectPr>
      </w:pPr>
    </w:p>
    <w:bookmarkStart w:id="48" w:name="page49"/>
    <w:bookmarkEnd w:id="48"/>
    <w:p>
      <w:pPr>
        <w:spacing w:after="0" w:line="23" w:lineRule="exact"/>
        <w:rPr>
          <w:sz w:val="20"/>
          <w:szCs w:val="20"/>
          <w:color w:val="auto"/>
        </w:rPr>
      </w:pPr>
    </w:p>
    <w:p>
      <w:pPr>
        <w:ind w:left="600" w:right="540"/>
        <w:spacing w:after="0" w:line="290" w:lineRule="auto"/>
        <w:rPr>
          <w:sz w:val="20"/>
          <w:szCs w:val="20"/>
          <w:color w:val="auto"/>
        </w:rPr>
      </w:pPr>
      <w:r>
        <w:rPr>
          <w:rFonts w:ascii="Arial" w:cs="Arial" w:eastAsia="Arial" w:hAnsi="Arial"/>
          <w:sz w:val="16"/>
          <w:szCs w:val="16"/>
          <w:color w:val="auto"/>
        </w:rPr>
        <w:t>latter of which prohibits offering, promising, providing or authorizing others to give anything of value to a foreign government official to obtain or retain business or otherwise secure a business advantage;</w:t>
      </w:r>
    </w:p>
    <w:p>
      <w:pPr>
        <w:spacing w:after="0" w:line="99" w:lineRule="exact"/>
        <w:rPr>
          <w:sz w:val="20"/>
          <w:szCs w:val="20"/>
          <w:color w:val="auto"/>
        </w:rPr>
      </w:pPr>
    </w:p>
    <w:p>
      <w:pPr>
        <w:ind w:left="600" w:right="640" w:hanging="304"/>
        <w:spacing w:after="0" w:line="290"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respect to the operations of our therapeutics affiliate, the extensive, complex, and evolving laws and regulations applicable to the operations of our therapeutics affiliate, primarily those of the U.S. Food and Drug Administration (the “FDA”); and</w:t>
      </w:r>
    </w:p>
    <w:p>
      <w:pPr>
        <w:spacing w:after="0" w:line="99" w:lineRule="exact"/>
        <w:rPr>
          <w:rFonts w:ascii="Arial" w:cs="Arial" w:eastAsia="Arial" w:hAnsi="Arial"/>
          <w:sz w:val="16"/>
          <w:szCs w:val="16"/>
          <w:color w:val="auto"/>
        </w:rPr>
      </w:pPr>
    </w:p>
    <w:p>
      <w:pPr>
        <w:ind w:left="600" w:right="60" w:hanging="304"/>
        <w:spacing w:after="0" w:line="300" w:lineRule="auto"/>
        <w:tabs>
          <w:tab w:leader="none" w:pos="596" w:val="left"/>
        </w:tabs>
        <w:numPr>
          <w:ilvl w:val="0"/>
          <w:numId w:val="22"/>
        </w:numPr>
        <w:rPr>
          <w:rFonts w:ascii="Arial" w:cs="Arial" w:eastAsia="Arial" w:hAnsi="Arial"/>
          <w:sz w:val="15"/>
          <w:szCs w:val="15"/>
          <w:color w:val="auto"/>
        </w:rPr>
      </w:pPr>
      <w:r>
        <w:rPr>
          <w:rFonts w:ascii="Arial" w:cs="Arial" w:eastAsia="Arial" w:hAnsi="Arial"/>
          <w:sz w:val="15"/>
          <w:szCs w:val="15"/>
          <w:color w:val="auto"/>
        </w:rPr>
        <w:t>federal law governing CMMI models, such as the DC Model, including a requirement under section 1115A of the Social Security Act for CMMI to modify or terminate the design or implementation of a model if it is determined that it is not expected to achieve the aims of the statute to improve the quality of care without increasing Medicare spending, to reduce Medicare spending without reducing the quality of care, or to improve the quality of care and reduce spending.</w:t>
      </w:r>
    </w:p>
    <w:p>
      <w:pPr>
        <w:spacing w:after="0" w:line="95"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scrutiny or challenge under one or more of such laws. Also, it is possible that some of our business activities, such as participation in the DC Model, could discontinue.</w:t>
      </w:r>
    </w:p>
    <w:p>
      <w:pPr>
        <w:spacing w:after="0" w:line="112" w:lineRule="exact"/>
        <w:rPr>
          <w:sz w:val="20"/>
          <w:szCs w:val="20"/>
          <w:color w:val="auto"/>
        </w:rPr>
      </w:pPr>
    </w:p>
    <w:p>
      <w:pPr>
        <w:ind w:right="20" w:firstLine="297"/>
        <w:spacing w:after="0" w:line="281" w:lineRule="auto"/>
        <w:rPr>
          <w:sz w:val="20"/>
          <w:szCs w:val="20"/>
          <w:color w:val="auto"/>
        </w:rPr>
      </w:pPr>
      <w:r>
        <w:rPr>
          <w:rFonts w:ascii="Arial" w:cs="Arial" w:eastAsia="Arial" w:hAnsi="Arial"/>
          <w:sz w:val="15"/>
          <w:szCs w:val="15"/>
          <w:color w:val="auto"/>
        </w:rPr>
        <w:t>Achieving and sustaining compliance with these laws may also prove costly. We are currently and expect to be in communication with the DOJ and other regulators regarding our business.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11"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b w:val="1"/>
          <w:bCs w:val="1"/>
          <w:i w:val="1"/>
          <w:iCs w:val="1"/>
          <w:color w:val="auto"/>
        </w:rPr>
        <w:t>If the Clover Assistant were to become subject to regulation by the FDA and we were unable to obtain the required approval or comply with these regulations, our business, operating results, financial condition and prospects may be materially and adversely affected.</w:t>
      </w:r>
    </w:p>
    <w:p>
      <w:pPr>
        <w:spacing w:after="0" w:line="99" w:lineRule="exact"/>
        <w:rPr>
          <w:sz w:val="20"/>
          <w:szCs w:val="20"/>
          <w:color w:val="auto"/>
        </w:rPr>
      </w:pPr>
    </w:p>
    <w:p>
      <w:pPr>
        <w:ind w:right="80" w:firstLine="297"/>
        <w:spacing w:after="0" w:line="279" w:lineRule="auto"/>
        <w:rPr>
          <w:sz w:val="20"/>
          <w:szCs w:val="20"/>
          <w:color w:val="auto"/>
        </w:rPr>
      </w:pPr>
      <w:r>
        <w:rPr>
          <w:rFonts w:ascii="Arial" w:cs="Arial" w:eastAsia="Arial" w:hAnsi="Arial"/>
          <w:sz w:val="15"/>
          <w:szCs w:val="15"/>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intends to interpret and apply the new exemptions under the 21st Century Cures Act. Although we believe that our Clover Assistant platform does not meet the definition of medical device and/or meet the criteria which the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materially and adversely affected if we were to become subject to regulation by the FDA and were unable to obtain approval or comply with these regulations.</w:t>
      </w:r>
    </w:p>
    <w:p>
      <w:pPr>
        <w:spacing w:after="0" w:line="16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99"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strategy.</w:t>
      </w:r>
    </w:p>
    <w:p>
      <w:pPr>
        <w:spacing w:after="0" w:line="111"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i w:val="1"/>
          <w:i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w:t>
      </w:r>
    </w:p>
    <w:p>
      <w:pPr>
        <w:spacing w:after="0" w:line="112" w:lineRule="exact"/>
        <w:rPr>
          <w:sz w:val="20"/>
          <w:szCs w:val="20"/>
          <w:color w:val="auto"/>
        </w:rPr>
      </w:pPr>
    </w:p>
    <w:p>
      <w:pPr>
        <w:ind w:right="60" w:firstLine="297"/>
        <w:spacing w:after="0" w:line="287" w:lineRule="auto"/>
        <w:rPr>
          <w:sz w:val="20"/>
          <w:szCs w:val="20"/>
          <w:color w:val="auto"/>
        </w:rPr>
      </w:pPr>
      <w:r>
        <w:rPr>
          <w:rFonts w:ascii="Arial" w:cs="Arial" w:eastAsia="Arial" w:hAnsi="Arial"/>
          <w:sz w:val="15"/>
          <w:szCs w:val="15"/>
          <w:color w:val="auto"/>
        </w:rPr>
        <w:t>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HIPAA,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0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18" w:lineRule="exact"/>
        <w:rPr>
          <w:sz w:val="20"/>
          <w:szCs w:val="20"/>
          <w:color w:val="auto"/>
        </w:rPr>
      </w:pPr>
    </w:p>
    <w:p>
      <w:pPr>
        <w:ind w:right="340" w:firstLine="297"/>
        <w:spacing w:after="0" w:line="292" w:lineRule="auto"/>
        <w:rPr>
          <w:sz w:val="20"/>
          <w:szCs w:val="20"/>
          <w:color w:val="auto"/>
        </w:rPr>
      </w:pPr>
      <w:r>
        <w:rPr>
          <w:rFonts w:ascii="Arial" w:cs="Arial" w:eastAsia="Arial" w:hAnsi="Arial"/>
          <w:sz w:val="15"/>
          <w:szCs w:val="15"/>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00"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In addition, HIPAA mandates that the Secretary of Health and Human Services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12" w:lineRule="exact"/>
        <w:rPr>
          <w:sz w:val="20"/>
          <w:szCs w:val="20"/>
          <w:color w:val="auto"/>
        </w:rPr>
      </w:pPr>
    </w:p>
    <w:p>
      <w:pPr>
        <w:ind w:right="280" w:firstLine="297"/>
        <w:spacing w:after="0" w:line="290"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3" w:lineRule="exact"/>
        <w:rPr>
          <w:sz w:val="20"/>
          <w:szCs w:val="20"/>
          <w:color w:val="auto"/>
        </w:rPr>
      </w:pPr>
    </w:p>
    <w:p>
      <w:pPr>
        <w:jc w:val="both"/>
        <w:ind w:right="60"/>
        <w:spacing w:after="0" w:line="292" w:lineRule="auto"/>
        <w:rPr>
          <w:sz w:val="20"/>
          <w:szCs w:val="20"/>
          <w:color w:val="auto"/>
        </w:rPr>
      </w:pPr>
      <w:r>
        <w:rPr>
          <w:rFonts w:ascii="Arial" w:cs="Arial" w:eastAsia="Arial" w:hAnsi="Arial"/>
          <w:sz w:val="15"/>
          <w:szCs w:val="15"/>
          <w:color w:val="auto"/>
        </w:rPr>
        <w:t>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00"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regarding California residents to make new disclosures to 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which would potentially result in additional compliance obligations. Additionally, on November 3, 2020, California voters approved the California Privacy Rights Act (the “CPRA”), which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Although the CPRA’s substantive provisions do not become effective until January 1, 2023, we may incur additional costs implementing compliance processes leading up to such date. Similar laws have been proposed in other states and at the federal level, and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115" w:lineRule="exact"/>
        <w:rPr>
          <w:sz w:val="20"/>
          <w:szCs w:val="20"/>
          <w:color w:val="auto"/>
        </w:rPr>
      </w:pPr>
    </w:p>
    <w:p>
      <w:pPr>
        <w:jc w:val="both"/>
        <w:ind w:right="240" w:firstLine="297"/>
        <w:spacing w:after="0" w:line="274" w:lineRule="auto"/>
        <w:rPr>
          <w:sz w:val="20"/>
          <w:szCs w:val="20"/>
          <w:color w:val="auto"/>
        </w:rPr>
      </w:pPr>
      <w:r>
        <w:rPr>
          <w:rFonts w:ascii="Arial" w:cs="Arial" w:eastAsia="Arial" w:hAnsi="Arial"/>
          <w:sz w:val="16"/>
          <w:szCs w:val="16"/>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112" w:lineRule="exact"/>
        <w:rPr>
          <w:sz w:val="20"/>
          <w:szCs w:val="20"/>
          <w:color w:val="auto"/>
        </w:rPr>
      </w:pPr>
    </w:p>
    <w:p>
      <w:pPr>
        <w:ind w:right="120" w:firstLine="297"/>
        <w:spacing w:after="0" w:line="280" w:lineRule="auto"/>
        <w:rPr>
          <w:sz w:val="20"/>
          <w:szCs w:val="20"/>
          <w:color w:val="auto"/>
        </w:rPr>
      </w:pPr>
      <w:r>
        <w:rPr>
          <w:rFonts w:ascii="Arial" w:cs="Arial" w:eastAsia="Arial" w:hAnsi="Arial"/>
          <w:sz w:val="15"/>
          <w:szCs w:val="15"/>
          <w:color w:val="auto"/>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beneficiary data, including HIPAA-regulated PHI. As a result, our reputation could be severely damaged, adversely affecting PCP and beneficiary confidence. Beneficiaries may curtail their use of or stop using our services or our number of beneficiaries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3" w:lineRule="exact"/>
        <w:rPr>
          <w:sz w:val="20"/>
          <w:szCs w:val="20"/>
          <w:color w:val="auto"/>
        </w:rPr>
      </w:pPr>
    </w:p>
    <w:p>
      <w:pPr>
        <w:ind w:right="20" w:firstLine="297"/>
        <w:spacing w:after="0" w:line="287" w:lineRule="auto"/>
        <w:rPr>
          <w:sz w:val="20"/>
          <w:szCs w:val="20"/>
          <w:color w:val="auto"/>
        </w:rPr>
      </w:pPr>
      <w:r>
        <w:rPr>
          <w:rFonts w:ascii="Arial" w:cs="Arial" w:eastAsia="Arial" w:hAnsi="Arial"/>
          <w:sz w:val="15"/>
          <w:szCs w:val="15"/>
          <w:color w:val="auto"/>
        </w:rPr>
        <w:t>We outsource important aspects of the storage and transmission of beneficiary information, and thus rely on third parties to manage functions that have material cyber-security risks. We attempt to address these risks by requiring outsourcing subcontractors who handle beneficiary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spacing w:after="0" w:line="106"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We also publish statements to our beneficiaries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beneficiaries or other third parties could result in claims of deceptive practices brought against the Company, which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 and operations.</w:t>
      </w:r>
    </w:p>
    <w:p>
      <w:pPr>
        <w:spacing w:after="0" w:line="121" w:lineRule="exact"/>
        <w:rPr>
          <w:sz w:val="20"/>
          <w:szCs w:val="20"/>
          <w:color w:val="auto"/>
        </w:rPr>
      </w:pPr>
    </w:p>
    <w:p>
      <w:pPr>
        <w:jc w:val="both"/>
        <w:ind w:right="80" w:firstLine="297"/>
        <w:spacing w:after="0" w:line="268" w:lineRule="auto"/>
        <w:rPr>
          <w:sz w:val="20"/>
          <w:szCs w:val="20"/>
          <w:color w:val="auto"/>
        </w:rPr>
      </w:pPr>
      <w:r>
        <w:rPr>
          <w:rFonts w:ascii="Arial" w:cs="Arial" w:eastAsia="Arial" w:hAnsi="Arial"/>
          <w:sz w:val="16"/>
          <w:szCs w:val="16"/>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We cannot yet determine the impact that future laws, regulations, and standards may have on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99"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11"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 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methods of operations. Any of these events would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obtain or maintain the right to use certain of our intellectual property could negatively affect our business.</w:t>
      </w:r>
    </w:p>
    <w:p>
      <w:pPr>
        <w:spacing w:after="0" w:line="162"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18"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00" w:lineRule="exact"/>
        <w:rPr>
          <w:sz w:val="20"/>
          <w:szCs w:val="20"/>
          <w:color w:val="auto"/>
        </w:rPr>
      </w:pPr>
    </w:p>
    <w:p>
      <w:pPr>
        <w:ind w:right="100" w:firstLine="297"/>
        <w:spacing w:after="0" w:line="285" w:lineRule="auto"/>
        <w:rPr>
          <w:sz w:val="20"/>
          <w:szCs w:val="20"/>
          <w:color w:val="auto"/>
        </w:rPr>
      </w:pPr>
      <w:r>
        <w:rPr>
          <w:rFonts w:ascii="Arial" w:cs="Arial" w:eastAsia="Arial" w:hAnsi="Arial"/>
          <w:sz w:val="15"/>
          <w:szCs w:val="15"/>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106" w:lineRule="exact"/>
        <w:rPr>
          <w:sz w:val="20"/>
          <w:szCs w:val="20"/>
          <w:color w:val="auto"/>
        </w:rPr>
      </w:pPr>
    </w:p>
    <w:p>
      <w:pPr>
        <w:ind w:right="80" w:firstLine="297"/>
        <w:spacing w:after="0" w:line="262" w:lineRule="auto"/>
        <w:rPr>
          <w:sz w:val="20"/>
          <w:szCs w:val="20"/>
          <w:color w:val="auto"/>
        </w:rPr>
      </w:pPr>
      <w:r>
        <w:rPr>
          <w:rFonts w:ascii="Arial" w:cs="Arial" w:eastAsia="Arial" w:hAnsi="Arial"/>
          <w:sz w:val="16"/>
          <w:szCs w:val="16"/>
          <w:color w:val="auto"/>
        </w:rPr>
        <w:t>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incur substantial costs as a result of any claim of infringement of another party’s intellectual property rights.</w:t>
      </w:r>
    </w:p>
    <w:p>
      <w:pPr>
        <w:spacing w:after="0" w:line="162" w:lineRule="exact"/>
        <w:rPr>
          <w:sz w:val="20"/>
          <w:szCs w:val="20"/>
          <w:color w:val="auto"/>
        </w:rPr>
      </w:pPr>
    </w:p>
    <w:p>
      <w:pPr>
        <w:ind w:right="240" w:firstLine="297"/>
        <w:spacing w:after="0" w:line="264" w:lineRule="auto"/>
        <w:rPr>
          <w:sz w:val="20"/>
          <w:szCs w:val="20"/>
          <w:color w:val="auto"/>
        </w:rPr>
      </w:pPr>
      <w:r>
        <w:rPr>
          <w:rFonts w:ascii="Arial" w:cs="Arial" w:eastAsia="Arial" w:hAnsi="Arial"/>
          <w:sz w:val="16"/>
          <w:szCs w:val="16"/>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23"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109" w:lineRule="exact"/>
        <w:rPr>
          <w:sz w:val="20"/>
          <w:szCs w:val="20"/>
          <w:color w:val="auto"/>
        </w:rPr>
      </w:pPr>
    </w:p>
    <w:p>
      <w:pPr>
        <w:ind w:right="400" w:firstLine="297"/>
        <w:spacing w:after="0" w:line="274" w:lineRule="auto"/>
        <w:rPr>
          <w:sz w:val="20"/>
          <w:szCs w:val="20"/>
          <w:color w:val="auto"/>
        </w:rPr>
      </w:pPr>
      <w:r>
        <w:rPr>
          <w:rFonts w:ascii="Arial" w:cs="Arial" w:eastAsia="Arial" w:hAnsi="Arial"/>
          <w:sz w:val="16"/>
          <w:szCs w:val="16"/>
          <w:color w:val="auto"/>
        </w:rPr>
        <w:t>In addition, in most instances, we have agreed to indemnify our providers against certain third-party intellectual property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w:t>
      </w:r>
    </w:p>
    <w:p>
      <w:pPr>
        <w:spacing w:after="0" w:line="112"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99" w:lineRule="exact"/>
        <w:rPr>
          <w:sz w:val="20"/>
          <w:szCs w:val="20"/>
          <w:color w:val="auto"/>
        </w:rPr>
      </w:pPr>
    </w:p>
    <w:p>
      <w:pPr>
        <w:ind w:right="20" w:firstLine="297"/>
        <w:spacing w:after="0" w:line="278" w:lineRule="auto"/>
        <w:rPr>
          <w:sz w:val="20"/>
          <w:szCs w:val="20"/>
          <w:color w:val="auto"/>
        </w:rPr>
      </w:pPr>
      <w:r>
        <w:rPr>
          <w:rFonts w:ascii="Arial" w:cs="Arial" w:eastAsia="Arial" w:hAnsi="Arial"/>
          <w:sz w:val="15"/>
          <w:szCs w:val="15"/>
          <w:color w:val="auto"/>
        </w:rPr>
        <w:t>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117" w:lineRule="exact"/>
        <w:rPr>
          <w:sz w:val="20"/>
          <w:szCs w:val="20"/>
          <w:color w:val="auto"/>
        </w:rPr>
      </w:pPr>
    </w:p>
    <w:p>
      <w:pPr>
        <w:ind w:right="180" w:firstLine="297"/>
        <w:spacing w:after="0" w:line="268"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18"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3"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Securities and this Offering</w:t>
      </w:r>
    </w:p>
    <w:p>
      <w:pPr>
        <w:spacing w:after="0" w:line="16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The market prices and trading volume of our shares of Class A common stock have experienced extreme volatility in recent periods, and such volatility could return, regardless of our operating performance, which could cause purchasers of our securities to incur substantial losses.</w:t>
      </w:r>
    </w:p>
    <w:p>
      <w:pPr>
        <w:spacing w:after="0" w:line="99"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auto"/>
        </w:rPr>
        <w:t>The market prices and trading volume of our shares of Class A common stock have experienced, and may continue to experience, extreme volatility, which could cause purchasers of our Class A common stock to incur substantial losses. During 2021 to date, the market price of our Class A common stock has fluctuated from an intra-day low of $6.31 per share on March 5, 2021 to an intra-day high of $28.85 per share on June 9, 2021, with the most extreme fluctuations occurring between June 4, 2021 and July 6, 2021. The last reported sale price of our Class A common stock on the Nasdaq on November 12, 2021, was $7.16 per share. During 2021 to date, daily trading volume ranged from approximately 3,472,300 to approximately 735,483,700 shares. In the seven trading days ending on (and including) November 12, 2021, the market price of our Class A common stock has fluctuated from an intra-day low of $7.07 per share on November 10, 2021 to an intra-day high of $8.17 per share on November 8, 2021.</w:t>
      </w:r>
    </w:p>
    <w:p>
      <w:pPr>
        <w:spacing w:after="0" w:line="23" w:lineRule="exact"/>
        <w:rPr>
          <w:sz w:val="20"/>
          <w:szCs w:val="20"/>
          <w:color w:val="auto"/>
        </w:rPr>
      </w:pPr>
    </w:p>
    <w:p>
      <w:pPr>
        <w:ind w:right="140" w:firstLine="297"/>
        <w:spacing w:after="0" w:line="300" w:lineRule="auto"/>
        <w:rPr>
          <w:sz w:val="20"/>
          <w:szCs w:val="20"/>
          <w:color w:val="auto"/>
        </w:rPr>
      </w:pPr>
      <w:r>
        <w:rPr>
          <w:rFonts w:ascii="Arial" w:cs="Arial" w:eastAsia="Arial" w:hAnsi="Arial"/>
          <w:sz w:val="15"/>
          <w:szCs w:val="15"/>
          <w:color w:val="auto"/>
        </w:rPr>
        <w:t xml:space="preserve">We believe that the extreme volatility we have experienced in recent periods reflects market and trading dynamics unrelated to our underlying business, or macro or industry fundamentals, and we do not know if these dynamics will return or how long they will last if they return. </w:t>
      </w:r>
      <w:r>
        <w:rPr>
          <w:rFonts w:ascii="Arial" w:cs="Arial" w:eastAsia="Arial" w:hAnsi="Arial"/>
          <w:sz w:val="15"/>
          <w:szCs w:val="15"/>
          <w:b w:val="1"/>
          <w:bCs w:val="1"/>
          <w:color w:val="auto"/>
        </w:rPr>
        <w:t>Under the circumstances, we caution you against</w:t>
      </w:r>
      <w:r>
        <w:rPr>
          <w:rFonts w:ascii="Arial" w:cs="Arial" w:eastAsia="Arial" w:hAnsi="Arial"/>
          <w:sz w:val="15"/>
          <w:szCs w:val="15"/>
          <w:color w:val="auto"/>
        </w:rPr>
        <w:t xml:space="preserve"> </w:t>
      </w:r>
      <w:r>
        <w:rPr>
          <w:rFonts w:ascii="Arial" w:cs="Arial" w:eastAsia="Arial" w:hAnsi="Arial"/>
          <w:sz w:val="15"/>
          <w:szCs w:val="15"/>
          <w:b w:val="1"/>
          <w:bCs w:val="1"/>
          <w:color w:val="auto"/>
        </w:rPr>
        <w:t>investing in our Class A common stock, unless you are prepared to incur the risk of losing all or a substantial portion of your investment.</w:t>
      </w:r>
    </w:p>
    <w:p>
      <w:pPr>
        <w:spacing w:after="0" w:line="95" w:lineRule="exact"/>
        <w:rPr>
          <w:sz w:val="20"/>
          <w:szCs w:val="20"/>
          <w:color w:val="auto"/>
        </w:rPr>
      </w:pPr>
    </w:p>
    <w:p>
      <w:pPr>
        <w:ind w:firstLine="297"/>
        <w:spacing w:after="0" w:line="366" w:lineRule="auto"/>
        <w:rPr>
          <w:sz w:val="20"/>
          <w:szCs w:val="20"/>
          <w:color w:val="auto"/>
        </w:rPr>
      </w:pPr>
      <w:r>
        <w:rPr>
          <w:rFonts w:ascii="Arial" w:cs="Arial" w:eastAsia="Arial" w:hAnsi="Arial"/>
          <w:sz w:val="14"/>
          <w:szCs w:val="14"/>
          <w:color w:val="auto"/>
        </w:rPr>
        <w:t>Extreme fluctuations in the market price of our Class A common stock have been accompanied by reports of strong and substantially increased retail investor interest, including on social media and online forums. The market volatility and trading patterns we have experienced create several risks for investors, including the following:</w:t>
      </w:r>
    </w:p>
    <w:p>
      <w:pPr>
        <w:spacing w:after="0" w:line="53" w:lineRule="exact"/>
        <w:rPr>
          <w:sz w:val="20"/>
          <w:szCs w:val="20"/>
          <w:color w:val="auto"/>
        </w:rPr>
      </w:pPr>
    </w:p>
    <w:p>
      <w:pPr>
        <w:ind w:left="600" w:right="360" w:hanging="304"/>
        <w:spacing w:after="0" w:line="274" w:lineRule="auto"/>
        <w:tabs>
          <w:tab w:leader="none" w:pos="5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market price of our Class A common stock has experienced and may continue to experience rapid and substantial increases or decreases unrelated to our operating performance or prospects, or macro or industry fundamentals, and substantial increases may be significantly inconsistent with the risks and uncertainties that we continue to face;</w:t>
      </w:r>
    </w:p>
    <w:p>
      <w:pPr>
        <w:spacing w:after="0" w:line="111" w:lineRule="exact"/>
        <w:rPr>
          <w:rFonts w:ascii="Arial" w:cs="Arial" w:eastAsia="Arial" w:hAnsi="Arial"/>
          <w:sz w:val="16"/>
          <w:szCs w:val="16"/>
          <w:color w:val="auto"/>
        </w:rPr>
      </w:pPr>
    </w:p>
    <w:p>
      <w:pPr>
        <w:ind w:left="600" w:right="20" w:hanging="304"/>
        <w:spacing w:after="0" w:line="330" w:lineRule="auto"/>
        <w:tabs>
          <w:tab w:leader="none" w:pos="5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factors in the public trading market for our Class A common stock include the sentiment of retail investors (including as may be expressed on financial trading and other social media sites and online forums), the direct access by retail investors to broadly available trading platforms, the amount and status of short interest in our securities, access to margin debt, trading in options and other derivatives on our Class A common stock and any related hedging and other trading factors;</w:t>
      </w:r>
    </w:p>
    <w:p>
      <w:pPr>
        <w:spacing w:after="0" w:line="77" w:lineRule="exact"/>
        <w:rPr>
          <w:rFonts w:ascii="Arial" w:cs="Arial" w:eastAsia="Arial" w:hAnsi="Arial"/>
          <w:sz w:val="14"/>
          <w:szCs w:val="14"/>
          <w:color w:val="auto"/>
        </w:rPr>
      </w:pPr>
    </w:p>
    <w:p>
      <w:pPr>
        <w:jc w:val="both"/>
        <w:ind w:left="600" w:right="200" w:hanging="304"/>
        <w:spacing w:after="0" w:line="274" w:lineRule="auto"/>
        <w:tabs>
          <w:tab w:leader="none" w:pos="5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market capitalization, as implied by various trading prices, currently reflects valuations that diverge significantly from those seen prior to recent volatility, and to the extent these valuations reflect trading dynamics unrelated to our financial performance or prospects, purchasers of our Class A common stock could incur substantial losses if there are declines in market prices driven by a return to earlier valuations;</w:t>
      </w:r>
    </w:p>
    <w:p>
      <w:pPr>
        <w:spacing w:after="0" w:line="111" w:lineRule="exact"/>
        <w:rPr>
          <w:rFonts w:ascii="Arial" w:cs="Arial" w:eastAsia="Arial" w:hAnsi="Arial"/>
          <w:sz w:val="16"/>
          <w:szCs w:val="16"/>
          <w:color w:val="auto"/>
        </w:rPr>
      </w:pPr>
    </w:p>
    <w:p>
      <w:pPr>
        <w:ind w:left="600" w:right="140" w:hanging="304"/>
        <w:spacing w:after="0" w:line="268" w:lineRule="auto"/>
        <w:tabs>
          <w:tab w:leader="none" w:pos="5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the extent volatility in our Class A common stock is caused, as has widely been reported, by a “short squeeze” in which coordinated trading activity causes a spike in the market price of our Class A common stock as traders with a short position make market purchases to avoid or to mitigate potential losses, investors may be purchasing at inflated prices unrelated to our financial performance or prospects, and may thereafter suffer substantial losses as prices decline once the level of short-covering purchases has abated;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3" w:lineRule="exact"/>
        <w:rPr>
          <w:sz w:val="20"/>
          <w:szCs w:val="20"/>
          <w:color w:val="auto"/>
        </w:rPr>
      </w:pPr>
    </w:p>
    <w:p>
      <w:pPr>
        <w:ind w:left="600" w:right="100" w:hanging="304"/>
        <w:spacing w:after="0" w:line="274"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market price of our Class A common stock declines, you may be unable to resell your shares at or above the price at which you acquired them. We cannot assure you that the equity issuance of our Class A common stock will not fluctuate or decline significantly in the future, in which case you could incur substantial losses.</w:t>
      </w:r>
    </w:p>
    <w:p>
      <w:pPr>
        <w:spacing w:after="0" w:line="112"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We may continue to incur rapid and substantial increases or decreases in our stock price in the foreseeable future that may not coincide in timing with the disclosure of news or developments by or affecting us. Accordingly, the market price of our shares of Class A common stock may fluctuate dramatically, and may decline rapidly, regardless of any developments in our business. Overall, there are various factors, many of which are beyond our control, that could negatively affect the market price of our Class A common stock or result in fluctuations in the price or trading volume of our Class A common stock, including:</w:t>
      </w:r>
    </w:p>
    <w:p>
      <w:pPr>
        <w:spacing w:after="0" w:line="118" w:lineRule="exact"/>
        <w:rPr>
          <w:sz w:val="20"/>
          <w:szCs w:val="20"/>
          <w:color w:val="auto"/>
        </w:rPr>
      </w:pPr>
    </w:p>
    <w:p>
      <w:pPr>
        <w:ind w:left="620" w:hanging="324"/>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economy as a whole;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that of our competitors;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anticipated future size or growth rate of our addressable markets;</w:t>
      </w:r>
    </w:p>
    <w:p>
      <w:pPr>
        <w:spacing w:after="0" w:line="162" w:lineRule="exact"/>
        <w:rPr>
          <w:rFonts w:ascii="Arial" w:cs="Arial" w:eastAsia="Arial" w:hAnsi="Arial"/>
          <w:sz w:val="16"/>
          <w:szCs w:val="16"/>
          <w:color w:val="auto"/>
        </w:rPr>
      </w:pPr>
    </w:p>
    <w:p>
      <w:pPr>
        <w:ind w:left="600" w:right="220" w:hanging="304"/>
        <w:spacing w:after="0" w:line="290" w:lineRule="auto"/>
        <w:tabs>
          <w:tab w:leader="none" w:pos="5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disruptions to the Clover Assistant or our other technology;</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additions or departures of board members, management or key personnel;</w:t>
      </w:r>
    </w:p>
    <w:p>
      <w:pPr>
        <w:spacing w:after="0" w:line="162" w:lineRule="exact"/>
        <w:rPr>
          <w:rFonts w:ascii="Arial" w:cs="Arial" w:eastAsia="Arial" w:hAnsi="Arial"/>
          <w:sz w:val="16"/>
          <w:szCs w:val="16"/>
          <w:color w:val="auto"/>
        </w:rPr>
      </w:pPr>
    </w:p>
    <w:p>
      <w:pPr>
        <w:ind w:left="600" w:right="400" w:hanging="304"/>
        <w:spacing w:after="0" w:line="290" w:lineRule="auto"/>
        <w:tabs>
          <w:tab w:leader="none" w:pos="5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research or reports that securities analysts or others publish about us or our business;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including those related to Medicare;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lawsuits threatened or filed against us or investigations by governmental authorities;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expiration of contractual lock-up agreements;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health epidemics, such as the COVID-19 pandemic, influenza, and other highly communicable diseases;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162"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In addition, the stock market with respect to newly public companies, particularly companies in the healthcare and technology industry, have experienced significant price and volume fluctuations that have affected and continue to affect the market prices of stock prices of these companies. In the past, stockholders have instituted securities class action litigation against public companies following periods of market volatility. For example, following a recent period of volatility in the trading price of our Class A common stock, in February 2021, we and certain of our directors and officers were named as defendants in putative class actions alleging various securities law violations. We may be the target of this type of litigation in the future as well. Securities litigation against us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23" w:lineRule="exact"/>
        <w:rPr>
          <w:sz w:val="20"/>
          <w:szCs w:val="20"/>
          <w:color w:val="auto"/>
        </w:rPr>
      </w:pPr>
    </w:p>
    <w:p>
      <w:pPr>
        <w:jc w:val="both"/>
        <w:ind w:right="260"/>
        <w:spacing w:after="0" w:line="274" w:lineRule="auto"/>
        <w:rPr>
          <w:sz w:val="20"/>
          <w:szCs w:val="20"/>
          <w:color w:val="auto"/>
        </w:rPr>
      </w:pPr>
      <w:r>
        <w:rPr>
          <w:rFonts w:ascii="Arial" w:cs="Arial" w:eastAsia="Arial" w:hAnsi="Arial"/>
          <w:sz w:val="16"/>
          <w:szCs w:val="16"/>
          <w:color w:val="auto"/>
        </w:rPr>
        <w:t>substantial costs and divert resources and the attention of management, which could adversely affect our business. Further, we provide indemnification for our officers and directors for certain claims in connection with such litigation. Large indemnity payments would adversely affect our business, results of operations, and financial condition.</w:t>
      </w:r>
    </w:p>
    <w:p>
      <w:pPr>
        <w:spacing w:after="0" w:line="112"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b w:val="1"/>
          <w:bCs w:val="1"/>
          <w:i w:val="1"/>
          <w:iCs w:val="1"/>
          <w:color w:val="auto"/>
        </w:rPr>
        <w:t>A “short squeeze” due to a sudden increase in demand for shares of our Class A common stock that largely exceeds supply and/or focused investor trading in anticipation of a potential short squeeze have led to, may be currently leading to, and could again lead to, extreme price volatility in shares of our Class A common stock.</w:t>
      </w:r>
    </w:p>
    <w:p>
      <w:pPr>
        <w:spacing w:after="0" w:line="112"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 xml:space="preserve">Investors may purchase shares of our Class A common stock to hedge existing exposure or to speculate on the price of our Class A common stock. Speculation on the price of our Class A common stock may involve long and short exposures. To the extent aggregate short exposure exceeds the number of shares of our Class A common stock available for purchase on the open market, investors with short exposure may have to pay a premium to repurchase shares of our Class A common stock for delivery to lenders of our Class A common stock. Those repurchases may, in turn, dramatically increase the price of shares of our Class A common stock until additional shares of our Class A common stock are available for trading or borrowing. This is often referred to as a “short squeeze.” A large proportion of our Class A common stock has been in the past and may be traded in the future by short sellers, which may increase the likelihood that our Class A common stock will be the target of a short squeeze. A short squeeze and/or focused investor trading in anticipation of a short squeeze have led to, may be currently leading to, and could again lead to volatile price movements in shares of our Class A common stock that may be unrelated or disproportionate to our operating performance or prospects and, once investors purchase the shares of our Class A common stock necessary to cover their short positions, or if investors no longer believe a short squeeze is viable, the price of our Class A common stock may rapidly decline. Investors that purchase shares of our Class A common stock during a short squeeze may lose a significant portion of their investment. </w:t>
      </w:r>
      <w:r>
        <w:rPr>
          <w:rFonts w:ascii="Arial" w:cs="Arial" w:eastAsia="Arial" w:hAnsi="Arial"/>
          <w:sz w:val="15"/>
          <w:szCs w:val="15"/>
          <w:b w:val="1"/>
          <w:bCs w:val="1"/>
          <w:color w:val="auto"/>
        </w:rPr>
        <w:t>Under the</w:t>
      </w:r>
      <w:r>
        <w:rPr>
          <w:rFonts w:ascii="Arial" w:cs="Arial" w:eastAsia="Arial" w:hAnsi="Arial"/>
          <w:sz w:val="15"/>
          <w:szCs w:val="15"/>
          <w:color w:val="auto"/>
        </w:rPr>
        <w:t xml:space="preserve"> </w:t>
      </w:r>
      <w:r>
        <w:rPr>
          <w:rFonts w:ascii="Arial" w:cs="Arial" w:eastAsia="Arial" w:hAnsi="Arial"/>
          <w:sz w:val="15"/>
          <w:szCs w:val="15"/>
          <w:b w:val="1"/>
          <w:bCs w:val="1"/>
          <w:color w:val="auto"/>
        </w:rPr>
        <w:t>circumstances, we caution you against investing in our Class A common stock, unless you are prepared to incur the risk of losing all or a substantial portion of your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Purchasers of shares of our common stock in this offering will experience immediate and substantial dilution in the book value of their investment.</w:t>
      </w:r>
    </w:p>
    <w:p>
      <w:pPr>
        <w:spacing w:after="0" w:line="162" w:lineRule="exact"/>
        <w:rPr>
          <w:sz w:val="20"/>
          <w:szCs w:val="20"/>
          <w:color w:val="auto"/>
        </w:rPr>
      </w:pPr>
    </w:p>
    <w:p>
      <w:pPr>
        <w:ind w:right="180" w:firstLine="297"/>
        <w:spacing w:after="0" w:line="268" w:lineRule="auto"/>
        <w:rPr>
          <w:sz w:val="20"/>
          <w:szCs w:val="20"/>
          <w:color w:val="auto"/>
        </w:rPr>
      </w:pPr>
      <w:r>
        <w:rPr>
          <w:rFonts w:ascii="Arial" w:cs="Arial" w:eastAsia="Arial" w:hAnsi="Arial"/>
          <w:sz w:val="16"/>
          <w:szCs w:val="16"/>
          <w:color w:val="auto"/>
        </w:rPr>
        <w:t>If you purchase shares of our Class A common stock in this offering, you will incur immediate and substantial dilution in the as adjusted net tangible book value of your stock because the price that you pay will be substantially greater than the net tangible book value per share of the shares you acquire. To the extent we raise additional capital by issuing equity securities, our stockholders will experience substantial additional dilution. For a further description of the dilution that you will experience immediately after this offering, see the section of this prospectus titled “Dilution.”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99"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Our management will have broad discretion over the use of net proceeds from this offering,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financial performance may differ from any projections that we disclose or any information that may be attributed to us by third parties.</w:t>
      </w:r>
    </w:p>
    <w:p>
      <w:pPr>
        <w:spacing w:after="0" w:line="174"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3" w:lineRule="exact"/>
        <w:rPr>
          <w:sz w:val="20"/>
          <w:szCs w:val="20"/>
          <w:color w:val="auto"/>
        </w:rPr>
      </w:pPr>
    </w:p>
    <w:p>
      <w:pPr>
        <w:jc w:val="both"/>
        <w:ind w:left="1"/>
        <w:spacing w:after="0" w:line="274" w:lineRule="auto"/>
        <w:rPr>
          <w:sz w:val="20"/>
          <w:szCs w:val="20"/>
          <w:color w:val="auto"/>
        </w:rPr>
      </w:pPr>
      <w:r>
        <w:rPr>
          <w:rFonts w:ascii="Arial" w:cs="Arial" w:eastAsia="Arial" w:hAnsi="Arial"/>
          <w:sz w:val="16"/>
          <w:szCs w:val="16"/>
          <w:color w:val="auto"/>
        </w:rPr>
        <w:t>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12" w:lineRule="exact"/>
        <w:rPr>
          <w:sz w:val="20"/>
          <w:szCs w:val="20"/>
          <w:color w:val="auto"/>
        </w:rPr>
      </w:pPr>
    </w:p>
    <w:p>
      <w:pPr>
        <w:ind w:left="1" w:right="280"/>
        <w:spacing w:after="0" w:line="290" w:lineRule="auto"/>
        <w:rPr>
          <w:sz w:val="20"/>
          <w:szCs w:val="20"/>
          <w:color w:val="auto"/>
        </w:rPr>
      </w:pPr>
      <w:r>
        <w:rPr>
          <w:rFonts w:ascii="Arial" w:cs="Arial" w:eastAsia="Arial" w:hAnsi="Arial"/>
          <w:sz w:val="16"/>
          <w:szCs w:val="16"/>
          <w:b w:val="1"/>
          <w:bCs w:val="1"/>
          <w:i w:val="1"/>
          <w:iCs w:val="1"/>
          <w:color w:val="auto"/>
        </w:rPr>
        <w:t>Sales of substantial amounts of our securities in the public markets, or the perception that they might occur, could cause the market price of our common stock to decline.</w:t>
      </w:r>
    </w:p>
    <w:p>
      <w:pPr>
        <w:spacing w:after="0" w:line="99" w:lineRule="exact"/>
        <w:rPr>
          <w:sz w:val="20"/>
          <w:szCs w:val="20"/>
          <w:color w:val="auto"/>
        </w:rPr>
      </w:pPr>
    </w:p>
    <w:p>
      <w:pPr>
        <w:ind w:left="1" w:right="180" w:firstLine="297"/>
        <w:spacing w:after="0" w:line="274"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spacing w:after="0" w:line="112" w:lineRule="exact"/>
        <w:rPr>
          <w:sz w:val="20"/>
          <w:szCs w:val="20"/>
          <w:color w:val="auto"/>
        </w:rPr>
      </w:pPr>
    </w:p>
    <w:p>
      <w:pPr>
        <w:ind w:left="1" w:right="280" w:firstLine="297"/>
        <w:spacing w:after="0" w:line="290" w:lineRule="auto"/>
        <w:rPr>
          <w:sz w:val="20"/>
          <w:szCs w:val="20"/>
          <w:color w:val="auto"/>
        </w:rPr>
      </w:pPr>
      <w:r>
        <w:rPr>
          <w:rFonts w:ascii="Arial" w:cs="Arial" w:eastAsia="Arial" w:hAnsi="Arial"/>
          <w:sz w:val="16"/>
          <w:szCs w:val="16"/>
          <w:color w:val="auto"/>
        </w:rPr>
        <w:t>As of September 30, 2021, the Sponsor, our directors, officers and principal stockholders and their affiliated entities (not including the shares of Class A common stock issued in the PIPE Investment) collectively owned approximately 88.5% of the outstanding shares of Class A and Class B common stock.</w:t>
      </w:r>
    </w:p>
    <w:p>
      <w:pPr>
        <w:spacing w:after="0" w:line="99" w:lineRule="exact"/>
        <w:rPr>
          <w:sz w:val="20"/>
          <w:szCs w:val="20"/>
          <w:color w:val="auto"/>
        </w:rPr>
      </w:pPr>
    </w:p>
    <w:p>
      <w:pPr>
        <w:ind w:left="1" w:right="80" w:firstLine="297"/>
        <w:spacing w:after="0" w:line="266" w:lineRule="auto"/>
        <w:rPr>
          <w:sz w:val="20"/>
          <w:szCs w:val="20"/>
          <w:color w:val="auto"/>
        </w:rPr>
      </w:pPr>
      <w:r>
        <w:rPr>
          <w:rFonts w:ascii="Arial" w:cs="Arial" w:eastAsia="Arial" w:hAnsi="Arial"/>
          <w:sz w:val="16"/>
          <w:szCs w:val="16"/>
          <w:color w:val="auto"/>
        </w:rPr>
        <w:t>In addition, as of September 30, 2021, we had options outstanding that, if fully exercised, would result in the issuance of 31,694,847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spacing w:after="0" w:line="118" w:lineRule="exact"/>
        <w:rPr>
          <w:sz w:val="20"/>
          <w:szCs w:val="20"/>
          <w:color w:val="auto"/>
        </w:rPr>
      </w:pPr>
    </w:p>
    <w:p>
      <w:pPr>
        <w:ind w:left="1" w:right="100"/>
        <w:spacing w:after="0" w:line="287"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related to our derivative liability for our convertible securities. While the embedded derivative was extinguished upon consummation of the Business Combination on January 7, 2021, and management therefore does not expect this material weakness to recur in future periods, if we fail to establish and maintain effective internal control over financial reporting more generally, our ability to produce timely and accurate financial statements and comply with disclosure and other requirements could be adversely affected, which in turn could harm investor confidence in our Company and the trading price of our Class A Common Stock.</w:t>
      </w:r>
    </w:p>
    <w:p>
      <w:pPr>
        <w:spacing w:after="0" w:line="106" w:lineRule="exact"/>
        <w:rPr>
          <w:sz w:val="20"/>
          <w:szCs w:val="20"/>
          <w:color w:val="auto"/>
        </w:rPr>
      </w:pPr>
    </w:p>
    <w:p>
      <w:pPr>
        <w:ind w:left="1" w:right="240" w:firstLine="297"/>
        <w:spacing w:after="0" w:line="274"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spacing w:after="0" w:line="112" w:lineRule="exact"/>
        <w:rPr>
          <w:sz w:val="20"/>
          <w:szCs w:val="20"/>
          <w:color w:val="auto"/>
        </w:rPr>
      </w:pPr>
    </w:p>
    <w:p>
      <w:pPr>
        <w:ind w:left="1" w:right="40" w:firstLine="297"/>
        <w:spacing w:after="0" w:line="277" w:lineRule="auto"/>
        <w:rPr>
          <w:sz w:val="20"/>
          <w:szCs w:val="20"/>
          <w:color w:val="auto"/>
        </w:rPr>
      </w:pPr>
      <w:r>
        <w:rPr>
          <w:rFonts w:ascii="Arial" w:cs="Arial" w:eastAsia="Arial" w:hAnsi="Arial"/>
          <w:sz w:val="15"/>
          <w:szCs w:val="15"/>
          <w:color w:val="auto"/>
        </w:rPr>
        <w:t>During the preparation of the audited financial statements of Clover Health Investments, Corp. and its consolidated subsidiaries as of prior to the consummation of the Business Combination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specifically to our application of the complex, key assumptions of a derivative instrument’s redemption features, leading to the incorrect application of FASB Accounting Standards Codification for derivatives (ASC</w:t>
      </w:r>
    </w:p>
    <w:p>
      <w:pPr>
        <w:spacing w:after="0" w:line="3" w:lineRule="exact"/>
        <w:rPr>
          <w:sz w:val="20"/>
          <w:szCs w:val="20"/>
          <w:color w:val="auto"/>
        </w:rPr>
      </w:pPr>
    </w:p>
    <w:p>
      <w:pPr>
        <w:ind w:left="1" w:right="140" w:hanging="1"/>
        <w:spacing w:after="0" w:line="282" w:lineRule="auto"/>
        <w:tabs>
          <w:tab w:leader="none" w:pos="344"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on March 1, 2021. The embedded derivative was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58" w:name="page59"/>
    <w:bookmarkEnd w:id="58"/>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upon the consummation of the Business Combination on January 7, 2021, and management therefore does not expect this material weakness to recur in future periods.</w:t>
      </w:r>
    </w:p>
    <w:p>
      <w:pPr>
        <w:spacing w:after="0" w:line="174"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Additional weaknesses in our disclosure controls and internal control over financial reporting may be discovered in the future.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13" w:lineRule="exact"/>
        <w:rPr>
          <w:sz w:val="20"/>
          <w:szCs w:val="20"/>
          <w:color w:val="auto"/>
        </w:rPr>
      </w:pPr>
    </w:p>
    <w:p>
      <w:pPr>
        <w:ind w:right="200" w:firstLine="297"/>
        <w:spacing w:after="0" w:line="300" w:lineRule="auto"/>
        <w:rPr>
          <w:sz w:val="20"/>
          <w:szCs w:val="20"/>
          <w:color w:val="auto"/>
        </w:rPr>
      </w:pPr>
      <w:r>
        <w:rPr>
          <w:rFonts w:ascii="Arial" w:cs="Arial" w:eastAsia="Arial" w:hAnsi="Arial"/>
          <w:sz w:val="15"/>
          <w:szCs w:val="15"/>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annual report on Form 10-K for the year ending December 31, 2021.</w:t>
      </w:r>
    </w:p>
    <w:p>
      <w:pPr>
        <w:spacing w:after="0" w:line="95" w:lineRule="exact"/>
        <w:rPr>
          <w:sz w:val="20"/>
          <w:szCs w:val="20"/>
          <w:color w:val="auto"/>
        </w:rPr>
      </w:pPr>
    </w:p>
    <w:p>
      <w:pPr>
        <w:ind w:right="140" w:firstLine="297"/>
        <w:spacing w:after="0" w:line="266"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(the “JOBS Act”). Once we are no longer an “emerging growth company,” our independent registered public accounting firm will be required to express an opinion as to the effectiveness of our internal control over financial reporting. Any failure to maintain effective disclosure controls or internal control over financial reporting could harm our business, results of operations, and financial condition and could cause a decline in the trading price of our Class A common stock.</w:t>
      </w:r>
    </w:p>
    <w:p>
      <w:pPr>
        <w:spacing w:after="0" w:line="118" w:lineRule="exact"/>
        <w:rPr>
          <w:sz w:val="20"/>
          <w:szCs w:val="20"/>
          <w:color w:val="auto"/>
        </w:rPr>
      </w:pPr>
    </w:p>
    <w:p>
      <w:pPr>
        <w:ind w:right="100" w:firstLine="297"/>
        <w:spacing w:after="0" w:line="292" w:lineRule="auto"/>
        <w:rPr>
          <w:sz w:val="20"/>
          <w:szCs w:val="20"/>
          <w:color w:val="auto"/>
        </w:rPr>
      </w:pPr>
      <w:r>
        <w:rPr>
          <w:rFonts w:ascii="Arial" w:cs="Arial" w:eastAsia="Arial" w:hAnsi="Arial"/>
          <w:sz w:val="15"/>
          <w:szCs w:val="15"/>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which would likely have a negative effect on the trading price of our Class A common stock.</w:t>
      </w:r>
    </w:p>
    <w:p>
      <w:pPr>
        <w:spacing w:after="0" w:line="100" w:lineRule="exact"/>
        <w:rPr>
          <w:sz w:val="20"/>
          <w:szCs w:val="20"/>
          <w:color w:val="auto"/>
        </w:rPr>
      </w:pPr>
    </w:p>
    <w:p>
      <w:pPr>
        <w:ind w:right="160" w:firstLine="297"/>
        <w:spacing w:after="0" w:line="287" w:lineRule="auto"/>
        <w:rPr>
          <w:sz w:val="20"/>
          <w:szCs w:val="20"/>
          <w:color w:val="auto"/>
        </w:rPr>
      </w:pPr>
      <w:r>
        <w:rPr>
          <w:rFonts w:ascii="Arial" w:cs="Arial" w:eastAsia="Arial" w:hAnsi="Arial"/>
          <w:sz w:val="15"/>
          <w:szCs w:val="15"/>
          <w:color w:val="auto"/>
        </w:rPr>
        <w:t>We expect that the requirements of these rules and regulations will continue to increase our legal, accounting and financial compliance costs, make some activities more difficult, time-consuming and costly and place significant strain on our personnel, systems and resources. In order to maintain and improve our disclosure controls and procedures and internal control over financial reporting, we have expended, and anticipate that we will continue to expend, significant resources, including accounting-related costs and investments to strengthen our accounting systems and significant management oversight. If any of these new or improved controls and systems do not perform as expected, we may experience additional material weaknesses in our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i w:val="1"/>
          <w:iCs w:val="1"/>
          <w:color w:val="auto"/>
        </w:rPr>
        <w:t>We are an emerging growth company under the JOBS Act, and any decision on our part to comply only with certain reduced reporting and disclosure requirements applicable to emerging growth companies could make our common stock less attractive to investors.</w:t>
      </w:r>
    </w:p>
    <w:p>
      <w:pPr>
        <w:spacing w:after="0" w:line="99"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We are an “emerging growth company” as defined in the JOBS Act. For as long as we continue to be an emerging growth company, we may choose to take advantage of certain exemptions from various reporting requirements applicable to other public companies that are not emerging growth companies, including not being required to comply with the auditor attestation requirements of Section 404, reduced Public Company Accounting Oversight Board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62"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existing stockholders, including our directors, executive officers, principal stockholders and their respective affiliates, who held in the aggregate 88.5% of the voting power of our capital stock as of September 30,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18" w:lineRule="exact"/>
        <w:rPr>
          <w:sz w:val="20"/>
          <w:szCs w:val="20"/>
          <w:color w:val="auto"/>
        </w:rPr>
      </w:pPr>
    </w:p>
    <w:p>
      <w:pPr>
        <w:ind w:right="20" w:firstLine="297"/>
        <w:spacing w:after="0" w:line="26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September 30, 2021, our directors, executive officers, principal stockholders and their affiliates held in the aggregate 88.5%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37,975,120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26"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predict the effect our dual class structure may have on the trading price of our Class A common stock.</w:t>
      </w:r>
    </w:p>
    <w:p>
      <w:pPr>
        <w:spacing w:after="0" w:line="162" w:lineRule="exact"/>
        <w:rPr>
          <w:sz w:val="20"/>
          <w:szCs w:val="20"/>
          <w:color w:val="auto"/>
        </w:rPr>
      </w:pPr>
    </w:p>
    <w:p>
      <w:pPr>
        <w:ind w:right="40" w:firstLine="297"/>
        <w:spacing w:after="0" w:line="278" w:lineRule="auto"/>
        <w:rPr>
          <w:sz w:val="20"/>
          <w:szCs w:val="20"/>
          <w:color w:val="auto"/>
        </w:rPr>
      </w:pPr>
      <w:r>
        <w:rPr>
          <w:rFonts w:ascii="Arial" w:cs="Arial" w:eastAsia="Arial" w:hAnsi="Arial"/>
          <w:sz w:val="15"/>
          <w:szCs w:val="15"/>
          <w:color w:val="auto"/>
        </w:rPr>
        <w:t>We cannot predict whether our dual class structure will result in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 Our directors, executive officers and principal stockholders will have substantial control over us, which could limit the ability of our other stockholders to influence the outcome of key transactions, including a change of control.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may be subject to certain limitations.</w:t>
      </w:r>
    </w:p>
    <w:p>
      <w:pPr>
        <w:spacing w:after="0" w:line="162" w:lineRule="exact"/>
        <w:rPr>
          <w:sz w:val="20"/>
          <w:szCs w:val="20"/>
          <w:color w:val="auto"/>
        </w:rPr>
      </w:pPr>
    </w:p>
    <w:p>
      <w:pPr>
        <w:ind w:right="20" w:firstLine="297"/>
        <w:spacing w:after="0" w:line="280" w:lineRule="auto"/>
        <w:rPr>
          <w:sz w:val="20"/>
          <w:szCs w:val="20"/>
          <w:color w:val="auto"/>
        </w:rPr>
      </w:pPr>
      <w:r>
        <w:rPr>
          <w:rFonts w:ascii="Arial" w:cs="Arial" w:eastAsia="Arial" w:hAnsi="Arial"/>
          <w:sz w:val="15"/>
          <w:szCs w:val="15"/>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2020, we had approximately $725.8 million of federal net operating loss carryforwards. The federal net operating loss carryforwards created subsequent to the year ended December 31, 2017, of $430.7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Restrictions on our ability to obtain funds from our regulated subsidiaries could materially and adversely affect our results of operations, financial position and cash flows.</w:t>
      </w:r>
    </w:p>
    <w:p>
      <w:pPr>
        <w:spacing w:after="0" w:line="99" w:lineRule="exact"/>
        <w:rPr>
          <w:sz w:val="20"/>
          <w:szCs w:val="20"/>
          <w:color w:val="auto"/>
        </w:rPr>
      </w:pPr>
    </w:p>
    <w:p>
      <w:pPr>
        <w:ind w:right="60" w:firstLine="297"/>
        <w:spacing w:after="0" w:line="282" w:lineRule="auto"/>
        <w:rPr>
          <w:sz w:val="20"/>
          <w:szCs w:val="20"/>
          <w:color w:val="auto"/>
        </w:rPr>
      </w:pPr>
      <w:r>
        <w:rPr>
          <w:rFonts w:ascii="Arial" w:cs="Arial" w:eastAsia="Arial" w:hAnsi="Arial"/>
          <w:sz w:val="15"/>
          <w:szCs w:val="15"/>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w:t>
      </w:r>
    </w:p>
    <w:p>
      <w:pPr>
        <w:spacing w:after="0" w:line="162" w:lineRule="exact"/>
        <w:rPr>
          <w:sz w:val="20"/>
          <w:szCs w:val="20"/>
          <w:color w:val="auto"/>
        </w:rPr>
      </w:pPr>
    </w:p>
    <w:p>
      <w:pPr>
        <w:ind w:right="100" w:firstLine="297"/>
        <w:spacing w:after="0" w:line="278" w:lineRule="auto"/>
        <w:rPr>
          <w:sz w:val="20"/>
          <w:szCs w:val="20"/>
          <w:color w:val="auto"/>
        </w:rPr>
      </w:pPr>
      <w:r>
        <w:rPr>
          <w:rFonts w:ascii="Arial" w:cs="Arial" w:eastAsia="Arial" w:hAnsi="Arial"/>
          <w:sz w:val="15"/>
          <w:szCs w:val="15"/>
          <w:color w:val="auto"/>
        </w:rPr>
        <w:t>As a public company, we are subject to the reporting requirements of the Securities Exchange Act of 1934,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119"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99"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18" w:lineRule="exact"/>
        <w:rPr>
          <w:sz w:val="20"/>
          <w:szCs w:val="20"/>
          <w:color w:val="auto"/>
        </w:rPr>
      </w:pPr>
    </w:p>
    <w:p>
      <w:pPr>
        <w:ind w:right="120" w:firstLine="297"/>
        <w:spacing w:after="0" w:line="274" w:lineRule="auto"/>
        <w:rPr>
          <w:sz w:val="20"/>
          <w:szCs w:val="20"/>
          <w:color w:val="auto"/>
        </w:rPr>
      </w:pPr>
      <w:r>
        <w:rPr>
          <w:rFonts w:ascii="Arial" w:cs="Arial" w:eastAsia="Arial" w:hAnsi="Arial"/>
          <w:sz w:val="16"/>
          <w:szCs w:val="16"/>
          <w:color w:val="auto"/>
        </w:rPr>
        <w:t>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w:t>
      </w:r>
    </w:p>
    <w:p>
      <w:pPr>
        <w:spacing w:after="0" w:line="118"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b w:val="1"/>
          <w:bCs w:val="1"/>
          <w:i w:val="1"/>
          <w:iCs w:val="1"/>
          <w:color w:val="auto"/>
        </w:rPr>
        <w:t>Our trading price and trading volume could decline if securities or industry analysts do not publish research about our business, or if they publish unfavorable research.</w:t>
      </w:r>
    </w:p>
    <w:p>
      <w:pPr>
        <w:spacing w:after="0" w:line="99" w:lineRule="exact"/>
        <w:rPr>
          <w:sz w:val="20"/>
          <w:szCs w:val="20"/>
          <w:color w:val="auto"/>
        </w:rPr>
      </w:pPr>
    </w:p>
    <w:p>
      <w:pPr>
        <w:ind w:firstLine="297"/>
        <w:spacing w:after="0" w:line="312" w:lineRule="auto"/>
        <w:rPr>
          <w:sz w:val="20"/>
          <w:szCs w:val="20"/>
          <w:color w:val="auto"/>
        </w:rPr>
      </w:pPr>
      <w:r>
        <w:rPr>
          <w:rFonts w:ascii="Arial" w:cs="Arial" w:eastAsia="Arial" w:hAnsi="Arial"/>
          <w:sz w:val="14"/>
          <w:szCs w:val="14"/>
          <w:color w:val="auto"/>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Applicable insurance laws may make it difficult to effect a change of control.</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w:t>
      </w:r>
    </w:p>
    <w:p>
      <w:pPr>
        <w:spacing w:after="0" w:line="118"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21"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99" w:lineRule="exact"/>
        <w:rPr>
          <w:sz w:val="20"/>
          <w:szCs w:val="20"/>
          <w:color w:val="auto"/>
        </w:rPr>
      </w:pPr>
    </w:p>
    <w:p>
      <w:pPr>
        <w:ind w:right="100" w:firstLine="297"/>
        <w:spacing w:after="0" w:line="366" w:lineRule="auto"/>
        <w:rPr>
          <w:sz w:val="20"/>
          <w:szCs w:val="20"/>
          <w:color w:val="auto"/>
        </w:rPr>
      </w:pPr>
      <w:r>
        <w:rPr>
          <w:rFonts w:ascii="Arial" w:cs="Arial" w:eastAsia="Arial" w:hAnsi="Arial"/>
          <w:sz w:val="14"/>
          <w:szCs w:val="14"/>
          <w:color w:val="auto"/>
        </w:rPr>
        <w:t>There are provisions in our amended and restated certificate of incorporation and amended and restated bylaws that may make it difficult for a third party to acquire, or attempt to acquire, control of the Company, even if a change in control were considered favorable by our stockholders. These anti-takeover provisions include:</w:t>
      </w:r>
    </w:p>
    <w:p>
      <w:pPr>
        <w:spacing w:after="0" w:line="53" w:lineRule="exact"/>
        <w:rPr>
          <w:sz w:val="20"/>
          <w:szCs w:val="20"/>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classified board of directors so that not all members of our board of directors are elected at one time;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board of directors to determine the number of directors and to fill any vacancies and newly created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3" w:lineRule="exact"/>
        <w:rPr>
          <w:sz w:val="20"/>
          <w:szCs w:val="20"/>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requirement that our directors may only be removed for cause;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prohibition on cumulative voting for directors;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requirement of a super-majority to amend some provisions in our amended and restated certificate of incorporation and amended and restated bylaws;</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62" w:lineRule="exact"/>
        <w:rPr>
          <w:rFonts w:ascii="Arial" w:cs="Arial" w:eastAsia="Arial" w:hAnsi="Arial"/>
          <w:sz w:val="16"/>
          <w:szCs w:val="16"/>
          <w:color w:val="auto"/>
        </w:rPr>
      </w:pPr>
    </w:p>
    <w:p>
      <w:pPr>
        <w:ind w:left="600" w:right="360" w:hanging="304"/>
        <w:spacing w:after="0" w:line="274"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w:t>
      </w:r>
    </w:p>
    <w:p>
      <w:pPr>
        <w:spacing w:after="0" w:line="111"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stock, including the election of directors and significant corporate transactions, such as a merger or other sale of our company or its assets;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inability of our stockholders to call special meetings of stockholders;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prohibition on stockholder actions by written consent, thereby requiring that all stockholder actions be taken at a meeting of our stockholders.</w:t>
      </w:r>
    </w:p>
    <w:p>
      <w:pPr>
        <w:spacing w:after="0" w:line="162"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1" w:lineRule="exact"/>
        <w:rPr>
          <w:sz w:val="20"/>
          <w:szCs w:val="20"/>
          <w:color w:val="auto"/>
        </w:rPr>
      </w:pPr>
    </w:p>
    <w:p>
      <w:pPr>
        <w:jc w:val="both"/>
        <w:ind w:right="220"/>
        <w:spacing w:after="0" w:line="274"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12"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11"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We believe these provisions may benefit the Company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MARKET AND INDUSTRY DATA</w:t>
      </w:r>
    </w:p>
    <w:p>
      <w:pPr>
        <w:spacing w:after="0" w:line="166"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This prospectus contains estimates and information concerning our industry, our business, and the market for our products and solutions,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6" w:name="page67"/>
    <w:bookmarkEnd w:id="66"/>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USE OF PROCEEDS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estimate that the net proceeds from the sale of shares of our Class A common stock in this offering will be approximately $236.7 million, or approximately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$272.4 million if the option to purchase additional shares from us is exercised in full, based on an assumed public offering price of $7.16 per share, the last reported sale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price of our Class A common stock on Nasdaq on November 12, 2021, and after deducting underwriting discounts and commissions and estimated offering expenses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payable by us. Each $1.00 increase (decrease) in the assumed public offering price of $7.16 per share would increase (decrease) the net proceeds to us from this offering</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by approximately $33.3 million, assuming the number of shares offered by us, as set forth on the cover page of this prospectus, remains the same and after deducting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and estimated offering expenses payable by us.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intend to use the net proceeds from this offering for working capital and general corporate purposes.</w:t>
      </w:r>
    </w:p>
    <w:p>
      <w:pPr>
        <w:spacing w:after="0" w:line="162"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As of the date of this prospectus, we cannot predict with certainty all of the particular uses for the proceeds to be received upon the completion of this offering or the actual amounts that we will spend on the uses set forth above. As a result, our management will retain broad discretion over the allocation of the net proceeds from this offering. Pending their use, we intend to invest the net proceeds of this offering in short- and intermediate-term, interest-bearing obligations, investment-grade instruments, certificates of deposit or direct or guaranteed obligations of the U.S. government, subject to applicable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7" w:name="page68"/>
    <w:bookmarkEnd w:id="67"/>
    <w:p>
      <w:pPr>
        <w:spacing w:after="0" w:line="19" w:lineRule="exact"/>
        <w:rPr>
          <w:sz w:val="20"/>
          <w:szCs w:val="20"/>
          <w:color w:val="auto"/>
        </w:rPr>
      </w:pPr>
    </w:p>
    <w:p>
      <w:pPr>
        <w:ind w:left="4901"/>
        <w:spacing w:after="0"/>
        <w:rPr>
          <w:sz w:val="20"/>
          <w:szCs w:val="20"/>
          <w:color w:val="auto"/>
        </w:rPr>
      </w:pPr>
      <w:r>
        <w:rPr>
          <w:rFonts w:ascii="Arial" w:cs="Arial" w:eastAsia="Arial" w:hAnsi="Arial"/>
          <w:sz w:val="16"/>
          <w:szCs w:val="16"/>
          <w:b w:val="1"/>
          <w:bCs w:val="1"/>
          <w:color w:val="auto"/>
        </w:rPr>
        <w:t>CAPITALIZATION</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sets forth our cash and cash equivalents and capitalization as of September 30, 2021 on:</w:t>
      </w:r>
    </w:p>
    <w:p>
      <w:pPr>
        <w:spacing w:after="0" w:line="162" w:lineRule="exact"/>
        <w:rPr>
          <w:sz w:val="20"/>
          <w:szCs w:val="20"/>
          <w:color w:val="auto"/>
        </w:rPr>
      </w:pPr>
    </w:p>
    <w:p>
      <w:pPr>
        <w:ind w:left="581" w:hanging="284"/>
        <w:spacing w:after="0"/>
        <w:tabs>
          <w:tab w:leader="none" w:pos="5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actual basis; and</w:t>
      </w:r>
    </w:p>
    <w:p>
      <w:pPr>
        <w:spacing w:after="0" w:line="162" w:lineRule="exact"/>
        <w:rPr>
          <w:rFonts w:ascii="Arial" w:cs="Arial" w:eastAsia="Arial" w:hAnsi="Arial"/>
          <w:sz w:val="16"/>
          <w:szCs w:val="16"/>
          <w:color w:val="auto"/>
        </w:rPr>
      </w:pPr>
    </w:p>
    <w:p>
      <w:pPr>
        <w:ind w:left="601" w:right="220" w:hanging="304"/>
        <w:spacing w:after="0" w:line="268" w:lineRule="auto"/>
        <w:tabs>
          <w:tab w:leader="none" w:pos="597"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an as adjusted basis after giving effect to the sale by us of 35,000,000 shares of our Class A common stock in this offering, based upon the receipt by us of the estimated net proceeds from this offering at an assumed public offering price of $7.16 per share, the last reported sale price of our Class A common stock on Nasdaq on November 12, 2021, and after deducting the underwriting discounts and commissions and estimated offering expenses payable by us and the application of the net proceeds from this offering as described in “Use of Proceeds.”</w:t>
      </w:r>
    </w:p>
    <w:p>
      <w:pPr>
        <w:spacing w:after="0" w:line="118" w:lineRule="exact"/>
        <w:rPr>
          <w:sz w:val="20"/>
          <w:szCs w:val="20"/>
          <w:color w:val="auto"/>
        </w:rPr>
      </w:pPr>
    </w:p>
    <w:p>
      <w:pPr>
        <w:ind w:left="1" w:right="100" w:firstLine="297"/>
        <w:spacing w:after="0" w:line="268" w:lineRule="auto"/>
        <w:rPr>
          <w:sz w:val="20"/>
          <w:szCs w:val="20"/>
          <w:color w:val="auto"/>
        </w:rPr>
      </w:pPr>
      <w:r>
        <w:rPr>
          <w:rFonts w:ascii="Arial" w:cs="Arial" w:eastAsia="Arial" w:hAnsi="Arial"/>
          <w:sz w:val="16"/>
          <w:szCs w:val="16"/>
          <w:color w:val="auto"/>
        </w:rPr>
        <w:t>The as adjusted information below is illustrative only, and our cash, additional paid-in capital, total stockholders’ equity, and total capitalization following the completion of this offering will be adjusted based on the actual public offering price and other terms of the offering determined at the pricing of this offering. You should read this information together with our consolidated financial statements and related notes appearing elsewhere in this prospectus and the information set forth in “Management’s Discussion and Analysis of Financial Condition and Results of Operations.”</w:t>
      </w:r>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3"/>
                <w:szCs w:val="13"/>
                <w:b w:val="1"/>
                <w:bCs w:val="1"/>
                <w:color w:val="auto"/>
              </w:rPr>
              <w:t>As of September 30, 2021</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Actual</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99"/>
              <w:spacing w:after="0" w:line="172"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64"/>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4"/>
          </w:tcPr>
          <w:p>
            <w:pPr>
              <w:jc w:val="right"/>
              <w:ind w:right="499"/>
              <w:spacing w:after="0"/>
              <w:rPr>
                <w:sz w:val="20"/>
                <w:szCs w:val="20"/>
                <w:color w:val="auto"/>
              </w:rPr>
            </w:pPr>
            <w:r>
              <w:rPr>
                <w:rFonts w:ascii="Arial" w:cs="Arial" w:eastAsia="Arial" w:hAnsi="Arial"/>
                <w:sz w:val="13"/>
                <w:szCs w:val="13"/>
                <w:b w:val="1"/>
                <w:bCs w:val="1"/>
                <w:color w:val="auto"/>
                <w:w w:val="98"/>
              </w:rPr>
              <w:t>(in thousands, except share amounts)</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438,934</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Notes and securities payable, net of discounts and deferred issuance costs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19,929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payable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w w:val="95"/>
              </w:rPr>
              <w:t>Preferred stock, $0.0001 par value; 25,000,000 shares authorized; no shares issued and outstanding, actual and as</w:t>
            </w:r>
          </w:p>
        </w:tc>
        <w:tc>
          <w:tcPr>
            <w:tcW w:w="3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adjusted</w:t>
            </w:r>
          </w:p>
        </w:tc>
        <w:tc>
          <w:tcPr>
            <w:tcW w:w="3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tcPr>
          <w:p>
            <w:pPr>
              <w:ind w:left="220"/>
              <w:spacing w:after="0" w:line="161" w:lineRule="exact"/>
              <w:rPr>
                <w:sz w:val="20"/>
                <w:szCs w:val="20"/>
                <w:color w:val="auto"/>
              </w:rPr>
            </w:pPr>
            <w:r>
              <w:rPr>
                <w:rFonts w:ascii="Arial" w:cs="Arial" w:eastAsia="Arial" w:hAnsi="Arial"/>
                <w:sz w:val="16"/>
                <w:szCs w:val="16"/>
                <w:color w:val="auto"/>
                <w:w w:val="95"/>
              </w:rPr>
              <w:t>Class A common stock, $0.0001 par value; 2,500,000,000 shares authorized; 278,308,964 issued and outstanding,</w:t>
            </w:r>
          </w:p>
        </w:tc>
        <w:tc>
          <w:tcPr>
            <w:tcW w:w="3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actual and 313,308,964 issued and outstanding, as adjusted</w:t>
            </w:r>
          </w:p>
        </w:tc>
        <w:tc>
          <w:tcPr>
            <w:tcW w:w="3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Class B common stock, $0.0001 par value; 500,000,000 shares authorized; 142,318,711 shares issued and</w:t>
            </w:r>
          </w:p>
        </w:tc>
        <w:tc>
          <w:tcPr>
            <w:tcW w:w="3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actual and as adjusted</w:t>
            </w:r>
          </w:p>
        </w:tc>
        <w:tc>
          <w:tcPr>
            <w:tcW w:w="3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1,838,639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2,075,306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(1,429,537)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(1,429,537)</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Treasury stock, at cost; 14,730 shares held, actual and as adjusted</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412,290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648,960</w:t>
            </w: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6"/>
                <w:szCs w:val="16"/>
                <w:b w:val="1"/>
                <w:bCs w:val="1"/>
                <w:color w:val="auto"/>
              </w:rPr>
              <w:t>Total capitalization</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668,889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20" w:hanging="301"/>
        <w:spacing w:after="0" w:line="264" w:lineRule="auto"/>
        <w:tabs>
          <w:tab w:leader="none" w:pos="294" w:val="left"/>
        </w:tabs>
        <w:numPr>
          <w:ilvl w:val="0"/>
          <w:numId w:val="30"/>
        </w:numPr>
        <w:rPr>
          <w:rFonts w:ascii="Arial" w:cs="Arial" w:eastAsia="Arial" w:hAnsi="Arial"/>
          <w:sz w:val="12"/>
          <w:szCs w:val="12"/>
          <w:color w:val="auto"/>
        </w:rPr>
      </w:pPr>
      <w:r>
        <w:rPr>
          <w:rFonts w:ascii="Arial" w:cs="Arial" w:eastAsia="Arial" w:hAnsi="Arial"/>
          <w:sz w:val="12"/>
          <w:szCs w:val="12"/>
          <w:color w:val="auto"/>
        </w:rPr>
        <w:t>Each $1.00 increase or decrease in the assumed public offering price of $7.16 per share, which is the last reported sale price of our Class A common stock on Nasdaq on November 12, 2021, would increase (decrease) our cash and cash equivalents, total stockholders’ equity and total capitalization by approximately $33.3 million, assuming that the number of shares of our Class A common stock offered by us, as set forth on the cover page of this prospectus, remains the same and after deducting underwriting discounts and commissions payable by us. Each increase (decrease) of 1,000,000 shares in the number of shares offered by us would increase (decrease) the amount of our cash, cash equivalents, total stockholders’ equity and total capitalization by approximately $6.8 million, assuming a public offering price of $7.16 per share, which is the last reported sale price of our Class A common stock on Nasdaq on November 12, 2021, after deducting estimated underwriting discounts and commissions payable by us. The as adjusted information discussed above is illustrative only and will adjust based on the actual initial price to the public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68" w:name="page69"/>
    <w:bookmarkEnd w:id="68"/>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number of shares of our common stock issued and outstanding in the table above does not include the following shares:</w:t>
      </w:r>
    </w:p>
    <w:p>
      <w:pPr>
        <w:spacing w:after="0" w:line="162" w:lineRule="exact"/>
        <w:rPr>
          <w:sz w:val="20"/>
          <w:szCs w:val="20"/>
          <w:color w:val="auto"/>
        </w:rPr>
      </w:pPr>
    </w:p>
    <w:p>
      <w:pPr>
        <w:ind w:left="304" w:hanging="304"/>
        <w:spacing w:after="0" w:line="290"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31,694,847 shares of Class B common stock issuable upon the exercise of stock options outstanding as of September 30, 2021, with a weighted-average exercise price of $2.29 per share.</w:t>
      </w:r>
    </w:p>
    <w:p>
      <w:pPr>
        <w:spacing w:after="0" w:line="99" w:lineRule="exact"/>
        <w:rPr>
          <w:rFonts w:ascii="Arial" w:cs="Arial" w:eastAsia="Arial" w:hAnsi="Arial"/>
          <w:sz w:val="16"/>
          <w:szCs w:val="16"/>
          <w:color w:val="auto"/>
        </w:rPr>
      </w:pPr>
    </w:p>
    <w:p>
      <w:pPr>
        <w:ind w:left="304" w:right="80" w:hanging="304"/>
        <w:spacing w:after="0" w:line="290"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1,782,986 shares of Class A common stock issuable upon the exercise of stock options outstanding as of September 30, 2021, with a weighted-average exercise price of $8.88 per share.</w:t>
      </w:r>
    </w:p>
    <w:p>
      <w:pPr>
        <w:spacing w:after="0" w:line="99" w:lineRule="exact"/>
        <w:rPr>
          <w:rFonts w:ascii="Arial" w:cs="Arial" w:eastAsia="Arial" w:hAnsi="Arial"/>
          <w:sz w:val="16"/>
          <w:szCs w:val="16"/>
          <w:color w:val="auto"/>
        </w:rPr>
      </w:pPr>
    </w:p>
    <w:p>
      <w:pPr>
        <w:ind w:left="284" w:hanging="284"/>
        <w:spacing w:after="0"/>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44,173,855 shares of Class B common stock issuable upon the settlement of restricted stock units outstanding as of September 30, 2021.</w:t>
      </w:r>
    </w:p>
    <w:p>
      <w:pPr>
        <w:spacing w:after="0" w:line="162" w:lineRule="exact"/>
        <w:rPr>
          <w:rFonts w:ascii="Arial" w:cs="Arial" w:eastAsia="Arial" w:hAnsi="Arial"/>
          <w:sz w:val="16"/>
          <w:szCs w:val="16"/>
          <w:color w:val="auto"/>
        </w:rPr>
      </w:pPr>
    </w:p>
    <w:p>
      <w:pPr>
        <w:ind w:left="284" w:hanging="284"/>
        <w:spacing w:after="0"/>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31,643,997 shares of our Class A common stock reserved for future issuance under our equity compensation plans, consisting of:</w:t>
      </w:r>
    </w:p>
    <w:p>
      <w:pPr>
        <w:spacing w:after="0" w:line="162" w:lineRule="exact"/>
        <w:rPr>
          <w:rFonts w:ascii="Arial" w:cs="Arial" w:eastAsia="Arial" w:hAnsi="Arial"/>
          <w:sz w:val="16"/>
          <w:szCs w:val="16"/>
          <w:color w:val="auto"/>
        </w:rPr>
      </w:pPr>
    </w:p>
    <w:p>
      <w:pPr>
        <w:ind w:left="1044" w:hanging="303"/>
        <w:spacing w:after="0"/>
        <w:tabs>
          <w:tab w:leader="none" w:pos="1044" w:val="left"/>
        </w:tabs>
        <w:numPr>
          <w:ilvl w:val="1"/>
          <w:numId w:val="31"/>
        </w:numPr>
        <w:rPr>
          <w:rFonts w:ascii="Arial" w:cs="Arial" w:eastAsia="Arial" w:hAnsi="Arial"/>
          <w:sz w:val="15"/>
          <w:szCs w:val="15"/>
          <w:color w:val="auto"/>
        </w:rPr>
      </w:pPr>
      <w:r>
        <w:rPr>
          <w:rFonts w:ascii="Arial" w:cs="Arial" w:eastAsia="Arial" w:hAnsi="Arial"/>
          <w:sz w:val="15"/>
          <w:szCs w:val="15"/>
          <w:color w:val="auto"/>
        </w:rPr>
        <w:t>28,858,415 shares of our Class A common stock reserved for future issuance under our 2020 Equity Incentive Plan, as of September 30, 2021; and</w:t>
      </w:r>
    </w:p>
    <w:p>
      <w:pPr>
        <w:spacing w:after="0" w:line="173" w:lineRule="exact"/>
        <w:rPr>
          <w:rFonts w:ascii="Arial" w:cs="Arial" w:eastAsia="Arial" w:hAnsi="Arial"/>
          <w:sz w:val="15"/>
          <w:szCs w:val="15"/>
          <w:color w:val="auto"/>
        </w:rPr>
      </w:pPr>
    </w:p>
    <w:p>
      <w:pPr>
        <w:ind w:left="1044" w:right="360" w:hanging="303"/>
        <w:spacing w:after="0" w:line="290" w:lineRule="auto"/>
        <w:tabs>
          <w:tab w:leader="none" w:pos="1041" w:val="left"/>
        </w:tabs>
        <w:numPr>
          <w:ilvl w:val="1"/>
          <w:numId w:val="31"/>
        </w:numPr>
        <w:rPr>
          <w:rFonts w:ascii="Arial" w:cs="Arial" w:eastAsia="Arial" w:hAnsi="Arial"/>
          <w:sz w:val="16"/>
          <w:szCs w:val="16"/>
          <w:color w:val="auto"/>
        </w:rPr>
      </w:pPr>
      <w:r>
        <w:rPr>
          <w:rFonts w:ascii="Arial" w:cs="Arial" w:eastAsia="Arial" w:hAnsi="Arial"/>
          <w:sz w:val="16"/>
          <w:szCs w:val="16"/>
          <w:color w:val="auto"/>
        </w:rPr>
        <w:t>2,785,582 shares of our Class A common stock reserved for future issuance under our 2020 Employee Stock Purchase Plan,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36"/>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161290</wp:posOffset>
            </wp:positionV>
            <wp:extent cx="716915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904"/>
          </w:cols>
          <w:pgMar w:left="616" w:top="1440" w:right="379" w:bottom="1440" w:gutter="0" w:footer="0" w:header="0"/>
        </w:sectPr>
      </w:pPr>
    </w:p>
    <w:bookmarkStart w:id="69" w:name="page70"/>
    <w:bookmarkEnd w:id="69"/>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166" w:lineRule="exact"/>
        <w:rPr>
          <w:sz w:val="20"/>
          <w:szCs w:val="20"/>
          <w:color w:val="auto"/>
        </w:rPr>
      </w:pPr>
    </w:p>
    <w:p>
      <w:pPr>
        <w:ind w:right="300" w:firstLine="297"/>
        <w:spacing w:after="0" w:line="325" w:lineRule="auto"/>
        <w:rPr>
          <w:sz w:val="20"/>
          <w:szCs w:val="20"/>
          <w:color w:val="auto"/>
        </w:rPr>
      </w:pPr>
      <w:r>
        <w:rPr>
          <w:rFonts w:ascii="Arial" w:cs="Arial" w:eastAsia="Arial" w:hAnsi="Arial"/>
          <w:sz w:val="15"/>
          <w:szCs w:val="15"/>
          <w:color w:val="auto"/>
        </w:rPr>
        <w:t>If you invest in our Class A common stock in this offering, your interest will be diluted to the extent of the difference between the initial public offering price per share of our Class A common stock in this offering and the as adjusted net tangible book value per share of our common stock immediately after this offering.</w:t>
      </w:r>
    </w:p>
    <w:p>
      <w:pPr>
        <w:spacing w:after="0" w:line="77"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auto"/>
        </w:rPr>
        <w:t>Our historical net tangible book value as of September 30, 2021, was $408.1 million, or $ 0.97 per share of common stock. Net tangible book value per share represents the amount of our total tangible assets reduced by the amount of our total liabilities and divided by the total number of shares of our common stock issued and outstanding as of September 30, 2021.</w:t>
      </w:r>
    </w:p>
    <w:p>
      <w:pPr>
        <w:spacing w:after="0" w:line="112" w:lineRule="exact"/>
        <w:rPr>
          <w:sz w:val="20"/>
          <w:szCs w:val="20"/>
          <w:color w:val="auto"/>
        </w:rPr>
      </w:pPr>
    </w:p>
    <w:p>
      <w:pPr>
        <w:ind w:right="120" w:firstLine="297"/>
        <w:spacing w:after="0" w:line="266" w:lineRule="auto"/>
        <w:rPr>
          <w:sz w:val="20"/>
          <w:szCs w:val="20"/>
          <w:color w:val="auto"/>
        </w:rPr>
      </w:pPr>
      <w:r>
        <w:rPr>
          <w:rFonts w:ascii="Arial" w:cs="Arial" w:eastAsia="Arial" w:hAnsi="Arial"/>
          <w:sz w:val="16"/>
          <w:szCs w:val="16"/>
          <w:color w:val="auto"/>
        </w:rPr>
        <w:t>After giving further effect to the sale of 35,000,000 shares of our Class A common stock in this offering, at the assumed public offering price of $7.16 per share, the last reported sale price of our Class A common stock on Nasdaq on November 12, 2021, after deducting underwriting discounts and commissions and estimated offering expenses payable by us, our as adjusted net tangible book value as of September 30, 2021, would have been approximately $644.8 million, or $1.42 per share. This represents an immediate increase in as adjusted net tangible book value of $0.44 per share to our existing stockholders and an immediate dilution of $5.74 per share to investors purchasing shares in this offering.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Pr>
          <w:p>
            <w:pPr>
              <w:ind w:left="300"/>
              <w:spacing w:after="0"/>
              <w:rPr>
                <w:sz w:val="20"/>
                <w:szCs w:val="20"/>
                <w:color w:val="auto"/>
              </w:rPr>
            </w:pPr>
            <w:r>
              <w:rPr>
                <w:rFonts w:ascii="Arial" w:cs="Arial" w:eastAsia="Arial" w:hAnsi="Arial"/>
                <w:sz w:val="16"/>
                <w:szCs w:val="16"/>
                <w:color w:val="auto"/>
              </w:rPr>
              <w:t>The following table illustrates this dilution: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75"/>
        </w:trPr>
        <w:tc>
          <w:tcPr>
            <w:tcW w:w="8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Assumed public offering price per share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Historical net tangible book value per share as of September 30, 2021</w:t>
            </w:r>
          </w:p>
        </w:tc>
        <w:tc>
          <w:tcPr>
            <w:tcW w:w="1560" w:type="dxa"/>
            <w:vAlign w:val="bottom"/>
          </w:tcPr>
          <w:p>
            <w:pPr>
              <w:jc w:val="right"/>
              <w:spacing w:after="0"/>
              <w:rPr>
                <w:sz w:val="20"/>
                <w:szCs w:val="20"/>
                <w:color w:val="auto"/>
              </w:rPr>
            </w:pPr>
            <w:r>
              <w:rPr>
                <w:rFonts w:ascii="Arial" w:cs="Arial" w:eastAsia="Arial" w:hAnsi="Arial"/>
                <w:sz w:val="16"/>
                <w:szCs w:val="16"/>
                <w:color w:val="auto"/>
              </w:rPr>
              <w:t>$ 0.97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net tangible book value per share attributable to new investors purchasing shares in this offering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19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 adjusted net tangible book value per share after this offering</w:t>
            </w: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Dilution in net tangible book value per share to new investors in this offering</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A $1.00 increase (decrease) in the assumed public offering price of $7.16 per share, which is the last reported sale price of our common stock on Nasdaq on November 12, 2021, would increase (decrease), our as adjusted net tangible book value per share after this offering by approximately $1.28 per share and the dilution per share to new investors by approximately $4.82 per share, assuming that the number of shares of Class A common stock offered by us, as set forth on the cover page of this prospectus, remains the same and after deducting the underwriting discount and commissions.</w:t>
      </w:r>
    </w:p>
    <w:p>
      <w:pPr>
        <w:spacing w:after="0" w:line="118"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Similarly, an increase (decrease) of 1,000,000 shares in the number of shares offered in this offering, as set forth on the cover page of this prospectus, would increase (decrease) our as adjusted net tangible book value after this offering by approximately $243.5 million, or $0.15 per share, and would increase (decrease) the dilution per share to new investors by $4.26 per share, assuming the assumed public offering price remains the same and after deducting underwriting discounts and commissions. If the underwriters exercise their option to purchase additional shares from us in full, the as adjusted net tangible book value per share of our common stock would be $1.48 per share, and the dilution per share to new investors would be $5.68 per share.</w:t>
      </w:r>
    </w:p>
    <w:p>
      <w:pPr>
        <w:spacing w:after="0" w:line="118"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The foregoing tables and calculations are based on the number of shares of our Class A and Class B common stock issued and outstanding as of September 30, 2021, and does not include:</w:t>
      </w:r>
    </w:p>
    <w:p>
      <w:pPr>
        <w:spacing w:after="0" w:line="99" w:lineRule="exact"/>
        <w:rPr>
          <w:sz w:val="20"/>
          <w:szCs w:val="20"/>
          <w:color w:val="auto"/>
        </w:rPr>
      </w:pPr>
    </w:p>
    <w:p>
      <w:pPr>
        <w:ind w:left="600" w:right="40" w:hanging="304"/>
        <w:spacing w:after="0" w:line="290" w:lineRule="auto"/>
        <w:tabs>
          <w:tab w:leader="none" w:pos="5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31,694,847 shares of Class B common stock issuable upon the exercise of stock options outstanding as of September 30, 2021, with a weighted-average exercise price of $2.29 per share.</w:t>
      </w:r>
    </w:p>
    <w:p>
      <w:pPr>
        <w:spacing w:after="0" w:line="99" w:lineRule="exact"/>
        <w:rPr>
          <w:rFonts w:ascii="Arial" w:cs="Arial" w:eastAsia="Arial" w:hAnsi="Arial"/>
          <w:sz w:val="16"/>
          <w:szCs w:val="16"/>
          <w:color w:val="auto"/>
        </w:rPr>
      </w:pPr>
    </w:p>
    <w:p>
      <w:pPr>
        <w:ind w:left="600" w:right="120" w:hanging="304"/>
        <w:spacing w:after="0" w:line="290" w:lineRule="auto"/>
        <w:tabs>
          <w:tab w:leader="none" w:pos="5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1,782,986 shares of Class A common stock issuable upon the exercise of stock options outstanding as of September 30, 2021, with a weighted-average exercise price of $8.88 per share.</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44,173,855 shares of Class B common stock issuable upon the settlement of restricted stock units outstanding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3" w:lineRule="exact"/>
        <w:rPr>
          <w:sz w:val="20"/>
          <w:szCs w:val="20"/>
          <w:color w:val="auto"/>
        </w:rPr>
      </w:pPr>
    </w:p>
    <w:p>
      <w:pPr>
        <w:ind w:left="580" w:hanging="284"/>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31,643,997 shares of our Class A common stock reserved for future issuance under our equity compensation plans, consisting of:</w:t>
      </w:r>
    </w:p>
    <w:p>
      <w:pPr>
        <w:spacing w:after="0" w:line="162" w:lineRule="exact"/>
        <w:rPr>
          <w:rFonts w:ascii="Arial" w:cs="Arial" w:eastAsia="Arial" w:hAnsi="Arial"/>
          <w:sz w:val="16"/>
          <w:szCs w:val="16"/>
          <w:color w:val="auto"/>
        </w:rPr>
      </w:pPr>
    </w:p>
    <w:p>
      <w:pPr>
        <w:ind w:left="1340" w:hanging="303"/>
        <w:spacing w:after="0"/>
        <w:tabs>
          <w:tab w:leader="none" w:pos="1340" w:val="left"/>
        </w:tabs>
        <w:numPr>
          <w:ilvl w:val="1"/>
          <w:numId w:val="33"/>
        </w:numPr>
        <w:rPr>
          <w:rFonts w:ascii="Arial" w:cs="Arial" w:eastAsia="Arial" w:hAnsi="Arial"/>
          <w:sz w:val="14"/>
          <w:szCs w:val="14"/>
          <w:color w:val="auto"/>
        </w:rPr>
      </w:pPr>
      <w:r>
        <w:rPr>
          <w:rFonts w:ascii="Arial" w:cs="Arial" w:eastAsia="Arial" w:hAnsi="Arial"/>
          <w:sz w:val="14"/>
          <w:szCs w:val="14"/>
          <w:color w:val="auto"/>
        </w:rPr>
        <w:t>28,858,415 shares of our Class A common stock reserved for future issuance under our 2020 Equity Incentive Plan, as of September 30, 2021; and</w:t>
      </w:r>
    </w:p>
    <w:p>
      <w:pPr>
        <w:spacing w:after="0" w:line="185" w:lineRule="exact"/>
        <w:rPr>
          <w:rFonts w:ascii="Arial" w:cs="Arial" w:eastAsia="Arial" w:hAnsi="Arial"/>
          <w:sz w:val="14"/>
          <w:szCs w:val="14"/>
          <w:color w:val="auto"/>
        </w:rPr>
      </w:pPr>
    </w:p>
    <w:p>
      <w:pPr>
        <w:ind w:left="1340" w:right="280" w:hanging="303"/>
        <w:spacing w:after="0" w:line="290" w:lineRule="auto"/>
        <w:tabs>
          <w:tab w:leader="none" w:pos="13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2,785,582 shares of our Class A common stock reserved for future issuance under our 2020 Employee Stock Purchase Plan, as of September 30, 2021.</w:t>
      </w:r>
    </w:p>
    <w:p>
      <w:pPr>
        <w:spacing w:after="0" w:line="99" w:lineRule="exact"/>
        <w:rPr>
          <w:sz w:val="20"/>
          <w:szCs w:val="20"/>
          <w:color w:val="auto"/>
        </w:rPr>
      </w:pPr>
    </w:p>
    <w:p>
      <w:pPr>
        <w:ind w:firstLine="297"/>
        <w:spacing w:after="0" w:line="300" w:lineRule="auto"/>
        <w:rPr>
          <w:sz w:val="20"/>
          <w:szCs w:val="20"/>
          <w:color w:val="auto"/>
        </w:rPr>
      </w:pPr>
      <w:r>
        <w:rPr>
          <w:rFonts w:ascii="Arial" w:cs="Arial" w:eastAsia="Arial" w:hAnsi="Arial"/>
          <w:sz w:val="15"/>
          <w:szCs w:val="15"/>
          <w:color w:val="auto"/>
        </w:rPr>
        <w:t>To the extent that any outstanding options are exercised, outstanding restricted stock units settle, or new awards are granted under our equity compensation plans, or we issue additional shares of Class A common stock in the future, there will be further dilution to investors participating in this offering.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1" w:name="page72"/>
    <w:bookmarkEnd w:id="71"/>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DIVIDEND POLICY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6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66"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“Selected Historical Financial Information of Clover” section of this prospectus and our consolidated financial statements, including the notes related thereto, included elsewhere in this prospectus. The following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and “Cautionary Note Regarding Forward-Looking Statements” included elsewhere in this prospectus. Additionally, our historical results are not necessarily indicative of the results that may be expected for any period in the future.</w:t>
      </w:r>
    </w:p>
    <w:p>
      <w:pPr>
        <w:spacing w:after="0" w:line="121"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i w:val="1"/>
          <w:iCs w:val="1"/>
          <w:color w:val="auto"/>
        </w:rPr>
        <w:t xml:space="preserve">Unless the context otherwise requires, references in this </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to </w:t>
      </w: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w:t>
      </w:r>
      <w:r>
        <w:rPr>
          <w:rFonts w:ascii="Arial" w:cs="Arial" w:eastAsia="Arial" w:hAnsi="Arial"/>
          <w:sz w:val="16"/>
          <w:szCs w:val="16"/>
          <w:i w:val="1"/>
          <w:iCs w:val="1"/>
          <w:color w:val="auto"/>
        </w:rPr>
        <w:t xml:space="preserve"> “our,” </w:t>
      </w:r>
      <w:r>
        <w:rPr>
          <w:rFonts w:ascii="Arial" w:cs="Arial" w:eastAsia="Arial" w:hAnsi="Arial"/>
          <w:sz w:val="16"/>
          <w:szCs w:val="16"/>
          <w:color w:val="auto"/>
        </w:rPr>
        <w:t>“</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the “Corporation,” or “Clover” are intended to mean the business and operations of Clover Health Investments, Corp. and its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subsidiaries.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6"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By empowering physicians with data-driven, personalized insights at the point of care through our software, we believe we can improve clinical decision making.</w:t>
      </w:r>
    </w:p>
    <w:p>
      <w:pPr>
        <w:spacing w:after="0" w:line="118"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operate Preferred Provider Organization (PPO) and Health Maintenance Organization (HMO) Medicare Advantage (MA) plans that are the obvious choice for Medicare-eligible consumers. We call our plans “Obvious” because we believe they are highly affordable—offering most of our MA members (the “members”) the lowest average out-of-pocket costs for primary care provider co-pays, specialist co-pays, drug deductibles and drug costs in their markets—and provide wide network access and the same cost-sharing (co-pays and deductibles) for primary care providers who are in- and out-of-network. We believe the use of the Clover Assistant and related data insights allow us to viably offer these “Obvious” plans at scale, through an asset-light approach.</w:t>
      </w:r>
    </w:p>
    <w:p>
      <w:pPr>
        <w:spacing w:after="0" w:line="118"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6"/>
          <w:szCs w:val="16"/>
          <w:color w:val="auto"/>
        </w:rPr>
        <w:t>We initially launched our MA offering in 2013, scaling to our first nine MA markets, or counties, by 2016 with approximately 15,000 members. As of September 30, 2021, we operated in 108 MA markets across eight states with 67,281 Medicare Advantage members. As of September 30, 2021, our PPO plans were licensed in 45 states and the District of Columbia and were not licensed in Michigan, New Hampshire, New York, North Carolina and Vermont, and our HMO was licensed in New Jersey and Texas.</w:t>
      </w:r>
    </w:p>
    <w:p>
      <w:pPr>
        <w:spacing w:after="0" w:line="118" w:lineRule="exact"/>
        <w:rPr>
          <w:sz w:val="20"/>
          <w:szCs w:val="20"/>
          <w:color w:val="auto"/>
        </w:rPr>
      </w:pPr>
    </w:p>
    <w:p>
      <w:pPr>
        <w:ind w:right="60" w:firstLine="297"/>
        <w:spacing w:after="0" w:line="280" w:lineRule="auto"/>
        <w:rPr>
          <w:sz w:val="20"/>
          <w:szCs w:val="20"/>
          <w:color w:val="auto"/>
        </w:rPr>
      </w:pPr>
      <w:r>
        <w:rPr>
          <w:rFonts w:ascii="Arial" w:cs="Arial" w:eastAsia="Arial" w:hAnsi="Arial"/>
          <w:sz w:val="15"/>
          <w:szCs w:val="15"/>
          <w:color w:val="auto"/>
        </w:rPr>
        <w:t>On April 1, 2021, our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Our DCE assumes full risk (i.e., 100.0% shared savings and shared losses) for the total cost of care of aligned Original Medicare beneficiaries (the “DCE Beneficiaries” and, collectively with the members, “Lives under Clover Management” or the “beneficiaries”). We operate our Direct Contracting (DC) operations through Health Partners, which focuses on our technology platform, the Clover Assistant, to enhance healthcare delivery, reduce expenditures, and improve care for DCE Beneficiaries. As of September 30, 2021, we had approximately 850 contracted participating providers who manage primary care for our DCE Beneficiaries. Additionally, as of September 30, 2021, we had approximately 865 preferred providers and preferred facilities in our DCE network. Our participation in the DC Model has enabled us to moved beyond the MA market and target the Medicare fee-for-service (FFS) market, which is the largest segment of Medicare. We believe that expanding into the FFS market is not only a strategic milestone for Clover but also demonstrates the scalability of the Clover Assistant. Additionally, on June 9, 2021, we announced our plans to scale our in-home primary care program, Clover Home Care, through our DC operations. Clover Home Care was designed to better identify and care for our most medically complex members, with a focus on health outcomes improvement and medical expense reduction rather than risk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3" w:lineRule="exact"/>
        <w:rPr>
          <w:sz w:val="20"/>
          <w:szCs w:val="20"/>
          <w:color w:val="auto"/>
        </w:rPr>
      </w:pPr>
    </w:p>
    <w:p>
      <w:pPr>
        <w:jc w:val="both"/>
        <w:ind w:right="360" w:firstLine="297"/>
        <w:spacing w:after="0" w:line="274" w:lineRule="auto"/>
        <w:rPr>
          <w:sz w:val="20"/>
          <w:szCs w:val="20"/>
          <w:color w:val="auto"/>
        </w:rPr>
      </w:pPr>
      <w:r>
        <w:rPr>
          <w:rFonts w:ascii="Arial" w:cs="Arial" w:eastAsia="Arial" w:hAnsi="Arial"/>
          <w:sz w:val="16"/>
          <w:szCs w:val="16"/>
          <w:color w:val="auto"/>
        </w:rPr>
        <w:t>As of September 30, 2021, we were partnering with providers to care for 129,099 Lives under Clover Management, which included 67,281 Medicare Advantage members and 61,818 aligned DCE Beneficiaries. The number of Lives under Clover Management as of September 30, 2021, was nearly double the number of Lives under Clover Management as of January 1, 2021.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Geographic Expansion</w:t>
      </w:r>
    </w:p>
    <w:p>
      <w:pPr>
        <w:spacing w:after="0" w:line="162" w:lineRule="exact"/>
        <w:rPr>
          <w:sz w:val="20"/>
          <w:szCs w:val="20"/>
          <w:color w:val="auto"/>
        </w:rPr>
      </w:pPr>
    </w:p>
    <w:p>
      <w:pPr>
        <w:ind w:right="40" w:firstLine="297"/>
        <w:spacing w:after="0" w:line="325" w:lineRule="auto"/>
        <w:rPr>
          <w:sz w:val="20"/>
          <w:szCs w:val="20"/>
          <w:color w:val="auto"/>
        </w:rPr>
      </w:pPr>
      <w:r>
        <w:rPr>
          <w:rFonts w:ascii="Arial" w:cs="Arial" w:eastAsia="Arial" w:hAnsi="Arial"/>
          <w:sz w:val="15"/>
          <w:szCs w:val="15"/>
          <w:color w:val="auto"/>
        </w:rPr>
        <w:t>We are making our MA plans available in an additional 101 counties and an additional state beginning in 2022. The expansion will make our MA plans available in a total of 209 counties across nine states. Together, these markets represent approximately 5.2 million available Medicare lives as of August 2021.</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Warrant Redemption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September 14, 2021, we issued a press release announcing the results of the completed redemption of all of our outstanding public warrants (the “Public</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Warrants”) and private placements warrants (the “Private Placement Warrants” and, together with the Public Warrants, the “Warrants”) to purchase shares of our common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stock that were issued under the Warrant Agreement, dated as of April 21, 2020, by and between the Corporation (f/k/a Social Capital Hedosophia Holdings Corp. III) and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Continental Stock Transfer &amp; Trust Company, as warrant agent. Prior to the redemption date, 33,932 Public Warrants were exercised for cash at an exercise price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$11.50 per share of common stock, and 26,716,041 were exercised on a cashless basis in exchange for an aggregate of 6,685,865 shares of Class A common stock, in each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case in accordance with the terms of the Warrant Agreement, representing 96.9% of the Public Warrants. The remaining unexercised 849,965 Public Warrants were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redeemed by the Corporation for $0.1 million. In addition, all of the Private Placement Warrants were exercised on a cashless basis in exchange for an aggregate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2,722,399 shares of Class A common stock, in accordance with the terms of the Warrant Agreement. Total cash proceeds generated from exercises of the Warrants were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$0.4 million. In connection with the redemption, the Public Warrants were delisted, and no Warrants were outstanding at September 30, 2021.</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CMS Stars</w:t>
      </w:r>
    </w:p>
    <w:p>
      <w:pPr>
        <w:spacing w:after="0" w:line="162"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auto"/>
        </w:rPr>
        <w:t>On October 8, 2021, we announced that CMS assigned Clover’s PPO plan 3.5 stars on the Medicare Star Ratings for its MA plans for the 2020 measurement year. Over 90% of our MA membership is served through our PPO plan. The higher rating could positively impact the reimbursement rate for our PPO plan beginning in 2023 as well as potentially positively impact the plan’s image in the market. Higher-rated plans may offer enhanced benefits and additional enrollment opportunities compared to lower-rated plans. CMS assigns plans ratings each year, and the Star Ratings system is subject to change annually by CMS, and there is no guarantee that we will be able to improve or maintain our plans’ current Star Ratings. We believe we have the potential to achieve industry-leading growth levels through these and potential future Star Ratings improvements. We estimate that the impact of the 3.5 Star Rating for our PPO plans would have benefited our non-GAAP normalized Medicare Advantage MCR by 300 to 500 basis points in the third quarter of 2021, and we estimate that an increase to a 4.0 Star Rating would have provided a benefit of an incremental 500-700 basis points.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62" w:lineRule="exact"/>
        <w:rPr>
          <w:sz w:val="20"/>
          <w:szCs w:val="20"/>
          <w:color w:val="auto"/>
        </w:rPr>
      </w:pPr>
    </w:p>
    <w:p>
      <w:pPr>
        <w:ind w:right="20" w:firstLine="297"/>
        <w:spacing w:after="0" w:line="285" w:lineRule="auto"/>
        <w:rPr>
          <w:sz w:val="20"/>
          <w:szCs w:val="20"/>
          <w:color w:val="auto"/>
        </w:rPr>
      </w:pPr>
      <w:r>
        <w:rPr>
          <w:rFonts w:ascii="Arial" w:cs="Arial" w:eastAsia="Arial" w:hAnsi="Arial"/>
          <w:sz w:val="15"/>
          <w:szCs w:val="15"/>
          <w:color w:val="auto"/>
        </w:rPr>
        <w:t>On January 7, 2021, we consummated the previously announced domestication and mergers (the “Business Combination”) pursuant to that certain Agreement and Plan of Merger, dated October 5, 2020 (the “Merger Agreement”), by and among Social Capital Hedosophia Holdings Corp III, a Cayman Islands exempted company (SCH), Asclepius Merger Sub Inc., a Delaware corporation and a direct wholly owned subsidiary of SCH, and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For more information, see Note 3 (Business Combination) to Financial Statements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3" w:lineRule="exact"/>
        <w:rPr>
          <w:sz w:val="20"/>
          <w:szCs w:val="20"/>
          <w:color w:val="auto"/>
        </w:rPr>
      </w:pPr>
    </w:p>
    <w:p>
      <w:pPr>
        <w:ind w:right="120" w:firstLine="297"/>
        <w:spacing w:after="0" w:line="292" w:lineRule="auto"/>
        <w:rPr>
          <w:sz w:val="20"/>
          <w:szCs w:val="20"/>
          <w:color w:val="auto"/>
        </w:rPr>
      </w:pPr>
      <w:r>
        <w:rPr>
          <w:rFonts w:ascii="Arial" w:cs="Arial" w:eastAsia="Arial" w:hAnsi="Arial"/>
          <w:sz w:val="15"/>
          <w:szCs w:val="15"/>
          <w:color w:val="auto"/>
        </w:rPr>
        <w:t>The Business Combination was accounted for as a reverse recapitalization in accordance with accounting principles generally accepted in the United States of America (GAAP). Under the guidance in Accounting Standards Codification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are disclosed in our periodic reports filed with the SEC.</w:t>
      </w:r>
    </w:p>
    <w:p>
      <w:pPr>
        <w:spacing w:after="0" w:line="100"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The Business Combination has had a significant impact on our reported financial position and results as a consequence of the reverse recapitalization. The most significant change in our reported financial position and results is an estimated net increase in cash (as compared to our consolidated balance sheet at December 31, 2020) of approximately $670.0 million, which includes approximately $400.0 million in proceeds from the PIPE Investment, offset by additional transaction costs incurred in connection with the Business Combination. The estimated transaction costs for the Business Combination were approximately $61.0 million, of which $29.0 million represented deferred underwriter fees related to the initial public offering of SCH.</w:t>
      </w:r>
    </w:p>
    <w:p>
      <w:pPr>
        <w:spacing w:after="0" w:line="118" w:lineRule="exact"/>
        <w:rPr>
          <w:sz w:val="20"/>
          <w:szCs w:val="20"/>
          <w:color w:val="auto"/>
        </w:rPr>
      </w:pPr>
    </w:p>
    <w:p>
      <w:pPr>
        <w:ind w:firstLine="297"/>
        <w:spacing w:after="0" w:line="300" w:lineRule="auto"/>
        <w:rPr>
          <w:sz w:val="20"/>
          <w:szCs w:val="20"/>
          <w:color w:val="auto"/>
        </w:rPr>
      </w:pPr>
      <w:r>
        <w:rPr>
          <w:rFonts w:ascii="Arial" w:cs="Arial" w:eastAsia="Arial" w:hAnsi="Arial"/>
          <w:sz w:val="15"/>
          <w:szCs w:val="15"/>
          <w:color w:val="auto"/>
        </w:rPr>
        <w:t>As a result of the Business Combination, we became the successor to a public company, which required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95"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For additional information regarding the impacts of the Business Combination, see Note 3 (Business Combination), Note 9 (Notes and Securities Payable), Note 10 (Warrants Payable), and Note 14 (Convertible Preferred Stock) to Financial Statements included in this prospectus.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62" w:lineRule="exact"/>
        <w:rPr>
          <w:sz w:val="20"/>
          <w:szCs w:val="20"/>
          <w:color w:val="auto"/>
        </w:rPr>
      </w:pPr>
    </w:p>
    <w:p>
      <w:pPr>
        <w:ind w:right="60" w:firstLine="297"/>
        <w:spacing w:after="0" w:line="263" w:lineRule="auto"/>
        <w:rPr>
          <w:sz w:val="20"/>
          <w:szCs w:val="20"/>
          <w:color w:val="auto"/>
        </w:rPr>
      </w:pPr>
      <w:r>
        <w:rPr>
          <w:rFonts w:ascii="Arial" w:cs="Arial" w:eastAsia="Arial" w:hAnsi="Arial"/>
          <w:sz w:val="16"/>
          <w:szCs w:val="16"/>
          <w:color w:val="auto"/>
        </w:rPr>
        <w:t>The societal and economic impact of the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 Current uncertainties relating to the COVID-19 pandemic that could impact our future results include the development of new COVID-19 variants, such as the “Delta” variant, and the potential for further deferrals of elective or preventive care due to additional COVID-19 outbreaks and resulting stay-at-home orders, which in turn could result in exacerbated health conditions, higher future medical costs, and/or a reduction in risk adjustments and benchmarks against which future CMS bids will be assessed.</w:t>
      </w:r>
    </w:p>
    <w:p>
      <w:pPr>
        <w:spacing w:after="0" w:line="122"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(Clover Home Care) to provide care remotely, pivoting our post-hospital discharge program to video and telephonic encounters, and helping members receive their prescription medications at home.</w:t>
      </w:r>
    </w:p>
    <w:p>
      <w:pPr>
        <w:spacing w:after="0" w:line="118" w:lineRule="exact"/>
        <w:rPr>
          <w:sz w:val="20"/>
          <w:szCs w:val="20"/>
          <w:color w:val="auto"/>
        </w:rPr>
      </w:pPr>
    </w:p>
    <w:p>
      <w:pPr>
        <w:jc w:val="both"/>
        <w:ind w:right="260" w:firstLine="297"/>
        <w:spacing w:after="0" w:line="274" w:lineRule="auto"/>
        <w:rPr>
          <w:sz w:val="20"/>
          <w:szCs w:val="20"/>
          <w:color w:val="auto"/>
        </w:rPr>
      </w:pPr>
      <w:r>
        <w:rPr>
          <w:rFonts w:ascii="Arial" w:cs="Arial" w:eastAsia="Arial" w:hAnsi="Arial"/>
          <w:sz w:val="16"/>
          <w:szCs w:val="16"/>
          <w:color w:val="auto"/>
        </w:rPr>
        <w:t>Additionally, we rapidly enhanced our Clover Assistant platform to focus on video and telephonic visits to ensure that our members received appropriate levels of care despite their inability to physically visit a provider’s office. In total, we pivoted from 100.0% in-person Clover Assistant visits before the COVID-19 pandemic to 82.0% and 64.0% virtual Clover Assistant visits during the months of April and May 2020, respectively.</w:t>
      </w:r>
    </w:p>
    <w:p>
      <w:pPr>
        <w:spacing w:after="0" w:line="112" w:lineRule="exact"/>
        <w:rPr>
          <w:sz w:val="20"/>
          <w:szCs w:val="20"/>
          <w:color w:val="auto"/>
        </w:rPr>
      </w:pPr>
    </w:p>
    <w:p>
      <w:pPr>
        <w:jc w:val="both"/>
        <w:ind w:right="460" w:firstLine="297"/>
        <w:spacing w:after="0" w:line="274" w:lineRule="auto"/>
        <w:rPr>
          <w:sz w:val="20"/>
          <w:szCs w:val="20"/>
          <w:color w:val="auto"/>
        </w:rPr>
      </w:pPr>
      <w:r>
        <w:rPr>
          <w:rFonts w:ascii="Arial" w:cs="Arial" w:eastAsia="Arial" w:hAnsi="Arial"/>
          <w:sz w:val="16"/>
          <w:szCs w:val="16"/>
          <w:color w:val="auto"/>
        </w:rPr>
        <w:t>To ensure the safety of our members, we have implemented multi-channel member communications to support COVID-19 vaccination access and availability, provider network support for telehealth adoption by Clover Home Care practices and, most recently, the provision of in-home COVID-19 vaccinations for our most vulnerable members.</w:t>
      </w:r>
    </w:p>
    <w:p>
      <w:pPr>
        <w:spacing w:after="0" w:line="112" w:lineRule="exact"/>
        <w:rPr>
          <w:sz w:val="20"/>
          <w:szCs w:val="20"/>
          <w:color w:val="auto"/>
        </w:rPr>
      </w:pPr>
    </w:p>
    <w:p>
      <w:pPr>
        <w:ind w:right="80" w:firstLine="297"/>
        <w:spacing w:after="0" w:line="325" w:lineRule="auto"/>
        <w:rPr>
          <w:sz w:val="20"/>
          <w:szCs w:val="20"/>
          <w:color w:val="auto"/>
        </w:rPr>
      </w:pPr>
      <w:r>
        <w:rPr>
          <w:rFonts w:ascii="Arial" w:cs="Arial" w:eastAsia="Arial" w:hAnsi="Arial"/>
          <w:sz w:val="15"/>
          <w:szCs w:val="15"/>
          <w:color w:val="auto"/>
        </w:rPr>
        <w:t>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3" w:lineRule="exact"/>
        <w:rPr>
          <w:sz w:val="20"/>
          <w:szCs w:val="20"/>
          <w:color w:val="auto"/>
        </w:rPr>
      </w:pPr>
    </w:p>
    <w:p>
      <w:pPr>
        <w:ind w:left="1" w:right="120"/>
        <w:spacing w:after="0" w:line="280" w:lineRule="auto"/>
        <w:rPr>
          <w:sz w:val="20"/>
          <w:szCs w:val="20"/>
          <w:color w:val="auto"/>
        </w:rPr>
      </w:pPr>
      <w:r>
        <w:rPr>
          <w:rFonts w:ascii="Arial" w:cs="Arial" w:eastAsia="Arial" w:hAnsi="Arial"/>
          <w:sz w:val="15"/>
          <w:szCs w:val="15"/>
          <w:color w:val="auto"/>
        </w:rPr>
        <w:t>receiving necessary care. During the three months ended September 30, 2021, we incurred elevated costs as compared to the prior-year period to care for those members who have contracted the virus. While the direct costs of testing and treatment related to COVID-19 have declined in recent months, the indirect costs attributable to the COVID-19 pandemic have increased. Deferral of services and increased costs related to conditions that were exacerbated by a lack of diagnoses and treatment in the earlier periods of the pandemic have contributed to increased utilization during the three months ended September 30, 2021. We will continue to monitor the pandemic’s impact on our members.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114"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quarterly information presented in the following table illustrates the financial results for our MA segment operations as impacted by COVID-19:</w:t>
      </w:r>
    </w:p>
    <w:p>
      <w:pPr>
        <w:spacing w:after="0" w:line="205" w:lineRule="exact"/>
        <w:rPr>
          <w:sz w:val="20"/>
          <w:szCs w:val="20"/>
          <w:color w:val="auto"/>
        </w:rPr>
      </w:pPr>
    </w:p>
    <w:p>
      <w:pPr>
        <w:ind w:left="5761"/>
        <w:spacing w:after="0"/>
        <w:rPr>
          <w:sz w:val="20"/>
          <w:szCs w:val="20"/>
          <w:color w:val="auto"/>
        </w:rPr>
      </w:pPr>
      <w:r>
        <w:rPr>
          <w:rFonts w:ascii="Arial" w:cs="Arial" w:eastAsia="Arial" w:hAnsi="Arial"/>
          <w:sz w:val="8"/>
          <w:szCs w:val="8"/>
          <w:b w:val="1"/>
          <w:bCs w:val="1"/>
          <w:color w:val="auto"/>
        </w:rPr>
        <w:t>Three Months Ended</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23"/>
        </w:trPr>
        <w:tc>
          <w:tcPr>
            <w:tcW w:w="10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gridSpan w:val="4"/>
          </w:tcPr>
          <w:p>
            <w:pPr>
              <w:jc w:val="right"/>
              <w:ind w:right="293"/>
              <w:spacing w:after="0"/>
              <w:rPr>
                <w:sz w:val="20"/>
                <w:szCs w:val="20"/>
                <w:color w:val="auto"/>
              </w:rPr>
            </w:pPr>
            <w:r>
              <w:rPr>
                <w:rFonts w:ascii="Arial" w:cs="Arial" w:eastAsia="Arial" w:hAnsi="Arial"/>
                <w:sz w:val="8"/>
                <w:szCs w:val="8"/>
                <w:b w:val="1"/>
                <w:bCs w:val="1"/>
                <w:color w:val="auto"/>
              </w:rPr>
              <w:t>September 30, 2021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3"/>
          </w:tcPr>
          <w:p>
            <w:pPr>
              <w:jc w:val="right"/>
              <w:ind w:right="393"/>
              <w:spacing w:after="0"/>
              <w:rPr>
                <w:sz w:val="20"/>
                <w:szCs w:val="20"/>
                <w:color w:val="auto"/>
              </w:rPr>
            </w:pPr>
            <w:r>
              <w:rPr>
                <w:rFonts w:ascii="Arial" w:cs="Arial" w:eastAsia="Arial" w:hAnsi="Arial"/>
                <w:sz w:val="8"/>
                <w:szCs w:val="8"/>
                <w:b w:val="1"/>
                <w:bCs w:val="1"/>
                <w:color w:val="auto"/>
              </w:rPr>
              <w:t>June 30, 2021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gridSpan w:val="3"/>
          </w:tcPr>
          <w:p>
            <w:pPr>
              <w:jc w:val="right"/>
              <w:ind w:right="372"/>
              <w:spacing w:after="0"/>
              <w:rPr>
                <w:sz w:val="20"/>
                <w:szCs w:val="20"/>
                <w:color w:val="auto"/>
              </w:rPr>
            </w:pPr>
            <w:r>
              <w:rPr>
                <w:rFonts w:ascii="Arial" w:cs="Arial" w:eastAsia="Arial" w:hAnsi="Arial"/>
                <w:sz w:val="8"/>
                <w:szCs w:val="8"/>
                <w:b w:val="1"/>
                <w:bCs w:val="1"/>
                <w:color w:val="auto"/>
              </w:rPr>
              <w:t>March 31, 2021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8"/>
                <w:szCs w:val="8"/>
                <w:b w:val="1"/>
                <w:bCs w:val="1"/>
                <w:color w:val="auto"/>
              </w:rPr>
              <w:t>December 31, 2020</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gridSpan w:val="3"/>
          </w:tcPr>
          <w:p>
            <w:pPr>
              <w:jc w:val="right"/>
              <w:ind w:right="313"/>
              <w:spacing w:after="0"/>
              <w:rPr>
                <w:sz w:val="20"/>
                <w:szCs w:val="20"/>
                <w:color w:val="auto"/>
              </w:rPr>
            </w:pPr>
            <w:r>
              <w:rPr>
                <w:rFonts w:ascii="Arial" w:cs="Arial" w:eastAsia="Arial" w:hAnsi="Arial"/>
                <w:sz w:val="8"/>
                <w:szCs w:val="8"/>
                <w:b w:val="1"/>
                <w:bCs w:val="1"/>
                <w:color w:val="auto"/>
              </w:rPr>
              <w:t>September 30, 2020</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gridSpan w:val="3"/>
          </w:tcPr>
          <w:p>
            <w:pPr>
              <w:jc w:val="right"/>
              <w:ind w:right="413"/>
              <w:spacing w:after="0"/>
              <w:rPr>
                <w:sz w:val="20"/>
                <w:szCs w:val="20"/>
                <w:color w:val="auto"/>
              </w:rPr>
            </w:pPr>
            <w:r>
              <w:rPr>
                <w:rFonts w:ascii="Arial" w:cs="Arial" w:eastAsia="Arial" w:hAnsi="Arial"/>
                <w:sz w:val="8"/>
                <w:szCs w:val="8"/>
                <w:b w:val="1"/>
                <w:bCs w:val="1"/>
                <w:color w:val="auto"/>
              </w:rPr>
              <w:t>June 30, 2020</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gridSpan w:val="3"/>
          </w:tcPr>
          <w:p>
            <w:pPr>
              <w:jc w:val="right"/>
              <w:ind w:right="373"/>
              <w:spacing w:after="0"/>
              <w:rPr>
                <w:sz w:val="20"/>
                <w:szCs w:val="20"/>
                <w:color w:val="auto"/>
              </w:rPr>
            </w:pPr>
            <w:r>
              <w:rPr>
                <w:rFonts w:ascii="Arial" w:cs="Arial" w:eastAsia="Arial" w:hAnsi="Arial"/>
                <w:sz w:val="8"/>
                <w:szCs w:val="8"/>
                <w:b w:val="1"/>
                <w:bCs w:val="1"/>
                <w:color w:val="auto"/>
              </w:rPr>
              <w:t>March 31, 2020</w:t>
            </w: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10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Arial" w:cs="Arial" w:eastAsia="Arial" w:hAnsi="Arial"/>
                <w:sz w:val="8"/>
                <w:szCs w:val="8"/>
                <w:b w:val="1"/>
                <w:bCs w:val="1"/>
                <w:color w:val="auto"/>
              </w:rPr>
              <w:t xml:space="preserve">PMPM </w:t>
            </w:r>
            <w:r>
              <w:rPr>
                <w:rFonts w:ascii="Arial" w:cs="Arial" w:eastAsia="Arial" w:hAnsi="Arial"/>
                <w:sz w:val="10"/>
                <w:szCs w:val="10"/>
                <w:b w:val="1"/>
                <w:bCs w:val="1"/>
                <w:color w:val="auto"/>
                <w:vertAlign w:val="superscript"/>
              </w:rPr>
              <w:t>(1)</w:t>
            </w:r>
          </w:p>
        </w:tc>
        <w:tc>
          <w:tcPr>
            <w:tcW w:w="160" w:type="dxa"/>
            <w:vAlign w:val="bottom"/>
          </w:tcPr>
          <w:p>
            <w:pPr>
              <w:spacing w:after="0"/>
              <w:rPr>
                <w:sz w:val="10"/>
                <w:szCs w:val="10"/>
                <w:color w:val="auto"/>
              </w:rPr>
            </w:pPr>
          </w:p>
        </w:tc>
        <w:tc>
          <w:tcPr>
            <w:tcW w:w="580" w:type="dxa"/>
            <w:vAlign w:val="bottom"/>
          </w:tcPr>
          <w:p>
            <w:pPr>
              <w:jc w:val="right"/>
              <w:ind w:right="254"/>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8"/>
                <w:szCs w:val="8"/>
                <w:b w:val="1"/>
                <w:bCs w:val="1"/>
                <w:color w:val="auto"/>
              </w:rPr>
              <w:t xml:space="preserve">PMPM </w:t>
            </w:r>
            <w:r>
              <w:rPr>
                <w:rFonts w:ascii="Arial" w:cs="Arial" w:eastAsia="Arial" w:hAnsi="Arial"/>
                <w:sz w:val="10"/>
                <w:szCs w:val="10"/>
                <w:b w:val="1"/>
                <w:bCs w:val="1"/>
                <w:color w:val="auto"/>
                <w:vertAlign w:val="superscript"/>
              </w:rPr>
              <w:t>(1)</w:t>
            </w:r>
          </w:p>
        </w:tc>
        <w:tc>
          <w:tcPr>
            <w:tcW w:w="160" w:type="dxa"/>
            <w:vAlign w:val="bottom"/>
          </w:tcPr>
          <w:p>
            <w:pPr>
              <w:spacing w:after="0"/>
              <w:rPr>
                <w:sz w:val="10"/>
                <w:szCs w:val="10"/>
                <w:color w:val="auto"/>
              </w:rPr>
            </w:pPr>
          </w:p>
        </w:tc>
        <w:tc>
          <w:tcPr>
            <w:tcW w:w="580" w:type="dxa"/>
            <w:vAlign w:val="bottom"/>
          </w:tcPr>
          <w:p>
            <w:pPr>
              <w:jc w:val="right"/>
              <w:ind w:right="254"/>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Arial" w:cs="Arial" w:eastAsia="Arial" w:hAnsi="Arial"/>
                <w:sz w:val="8"/>
                <w:szCs w:val="8"/>
                <w:b w:val="1"/>
                <w:bCs w:val="1"/>
                <w:color w:val="auto"/>
              </w:rPr>
              <w:t xml:space="preserve">PMPM </w:t>
            </w:r>
            <w:r>
              <w:rPr>
                <w:rFonts w:ascii="Arial" w:cs="Arial" w:eastAsia="Arial" w:hAnsi="Arial"/>
                <w:sz w:val="10"/>
                <w:szCs w:val="10"/>
                <w:b w:val="1"/>
                <w:bCs w:val="1"/>
                <w:color w:val="auto"/>
                <w:vertAlign w:val="superscript"/>
              </w:rPr>
              <w:t>(1)</w:t>
            </w:r>
          </w:p>
        </w:tc>
        <w:tc>
          <w:tcPr>
            <w:tcW w:w="160" w:type="dxa"/>
            <w:vAlign w:val="bottom"/>
          </w:tcPr>
          <w:p>
            <w:pPr>
              <w:spacing w:after="0"/>
              <w:rPr>
                <w:sz w:val="10"/>
                <w:szCs w:val="10"/>
                <w:color w:val="auto"/>
              </w:rPr>
            </w:pPr>
          </w:p>
        </w:tc>
        <w:tc>
          <w:tcPr>
            <w:tcW w:w="580" w:type="dxa"/>
            <w:vAlign w:val="bottom"/>
          </w:tcPr>
          <w:p>
            <w:pPr>
              <w:jc w:val="right"/>
              <w:ind w:right="274"/>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8"/>
                <w:szCs w:val="8"/>
                <w:b w:val="1"/>
                <w:bCs w:val="1"/>
                <w:color w:val="auto"/>
              </w:rPr>
              <w:t xml:space="preserve">PMPM </w:t>
            </w:r>
            <w:r>
              <w:rPr>
                <w:rFonts w:ascii="Arial" w:cs="Arial" w:eastAsia="Arial" w:hAnsi="Arial"/>
                <w:sz w:val="10"/>
                <w:szCs w:val="10"/>
                <w:b w:val="1"/>
                <w:bCs w:val="1"/>
                <w:color w:val="auto"/>
                <w:vertAlign w:val="superscript"/>
              </w:rPr>
              <w:t>(1)</w:t>
            </w:r>
          </w:p>
        </w:tc>
        <w:tc>
          <w:tcPr>
            <w:tcW w:w="240" w:type="dxa"/>
            <w:vAlign w:val="bottom"/>
          </w:tcPr>
          <w:p>
            <w:pPr>
              <w:spacing w:after="0"/>
              <w:rPr>
                <w:sz w:val="10"/>
                <w:szCs w:val="10"/>
                <w:color w:val="auto"/>
              </w:rPr>
            </w:pPr>
          </w:p>
        </w:tc>
        <w:tc>
          <w:tcPr>
            <w:tcW w:w="500" w:type="dxa"/>
            <w:vAlign w:val="bottom"/>
          </w:tcPr>
          <w:p>
            <w:pPr>
              <w:jc w:val="right"/>
              <w:ind w:right="254"/>
              <w:spacing w:after="0"/>
              <w:rPr>
                <w:sz w:val="20"/>
                <w:szCs w:val="20"/>
                <w:color w:val="auto"/>
              </w:rPr>
            </w:pPr>
            <w:r>
              <w:rPr>
                <w:rFonts w:ascii="Arial" w:cs="Arial" w:eastAsia="Arial" w:hAnsi="Arial"/>
                <w:sz w:val="8"/>
                <w:szCs w:val="8"/>
                <w:b w:val="1"/>
                <w:bCs w:val="1"/>
                <w:color w:val="auto"/>
                <w:w w:val="93"/>
              </w:rPr>
              <w:t>Total</w:t>
            </w:r>
          </w:p>
        </w:tc>
        <w:tc>
          <w:tcPr>
            <w:tcW w:w="14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Arial" w:cs="Arial" w:eastAsia="Arial" w:hAnsi="Arial"/>
                <w:sz w:val="8"/>
                <w:szCs w:val="8"/>
                <w:b w:val="1"/>
                <w:bCs w:val="1"/>
                <w:color w:val="auto"/>
              </w:rPr>
              <w:t xml:space="preserve">PMPM </w:t>
            </w:r>
            <w:r>
              <w:rPr>
                <w:rFonts w:ascii="Arial" w:cs="Arial" w:eastAsia="Arial" w:hAnsi="Arial"/>
                <w:sz w:val="10"/>
                <w:szCs w:val="10"/>
                <w:b w:val="1"/>
                <w:bCs w:val="1"/>
                <w:color w:val="auto"/>
                <w:vertAlign w:val="superscript"/>
              </w:rPr>
              <w:t>(1)</w:t>
            </w:r>
          </w:p>
        </w:tc>
        <w:tc>
          <w:tcPr>
            <w:tcW w:w="160" w:type="dxa"/>
            <w:vAlign w:val="bottom"/>
          </w:tcPr>
          <w:p>
            <w:pPr>
              <w:spacing w:after="0"/>
              <w:rPr>
                <w:sz w:val="10"/>
                <w:szCs w:val="10"/>
                <w:color w:val="auto"/>
              </w:rPr>
            </w:pPr>
          </w:p>
        </w:tc>
        <w:tc>
          <w:tcPr>
            <w:tcW w:w="600" w:type="dxa"/>
            <w:vAlign w:val="bottom"/>
          </w:tcPr>
          <w:p>
            <w:pPr>
              <w:jc w:val="right"/>
              <w:ind w:right="274"/>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8"/>
                <w:szCs w:val="8"/>
                <w:b w:val="1"/>
                <w:bCs w:val="1"/>
                <w:color w:val="auto"/>
              </w:rPr>
              <w:t xml:space="preserve">PMPM </w:t>
            </w:r>
            <w:r>
              <w:rPr>
                <w:rFonts w:ascii="Arial" w:cs="Arial" w:eastAsia="Arial" w:hAnsi="Arial"/>
                <w:sz w:val="10"/>
                <w:szCs w:val="10"/>
                <w:b w:val="1"/>
                <w:bCs w:val="1"/>
                <w:color w:val="auto"/>
                <w:vertAlign w:val="superscript"/>
              </w:rPr>
              <w:t>(1)</w:t>
            </w:r>
          </w:p>
        </w:tc>
        <w:tc>
          <w:tcPr>
            <w:tcW w:w="160" w:type="dxa"/>
            <w:vAlign w:val="bottom"/>
          </w:tcPr>
          <w:p>
            <w:pPr>
              <w:spacing w:after="0"/>
              <w:rPr>
                <w:sz w:val="10"/>
                <w:szCs w:val="10"/>
                <w:color w:val="auto"/>
              </w:rPr>
            </w:pPr>
          </w:p>
        </w:tc>
        <w:tc>
          <w:tcPr>
            <w:tcW w:w="580" w:type="dxa"/>
            <w:vAlign w:val="bottom"/>
          </w:tcPr>
          <w:p>
            <w:pPr>
              <w:jc w:val="right"/>
              <w:ind w:right="254"/>
              <w:spacing w:after="0"/>
              <w:rPr>
                <w:sz w:val="20"/>
                <w:szCs w:val="20"/>
                <w:color w:val="auto"/>
              </w:rPr>
            </w:pPr>
            <w:r>
              <w:rPr>
                <w:rFonts w:ascii="Arial" w:cs="Arial" w:eastAsia="Arial" w:hAnsi="Arial"/>
                <w:sz w:val="8"/>
                <w:szCs w:val="8"/>
                <w:b w:val="1"/>
                <w:bCs w:val="1"/>
                <w:color w:val="auto"/>
              </w:rPr>
              <w:t>Total</w:t>
            </w:r>
          </w:p>
        </w:tc>
        <w:tc>
          <w:tcPr>
            <w:tcW w:w="160" w:type="dxa"/>
            <w:vAlign w:val="bottom"/>
          </w:tcPr>
          <w:p>
            <w:pPr>
              <w:spacing w:after="0"/>
              <w:rPr>
                <w:sz w:val="10"/>
                <w:szCs w:val="10"/>
                <w:color w:val="auto"/>
              </w:rPr>
            </w:pPr>
          </w:p>
        </w:tc>
        <w:tc>
          <w:tcPr>
            <w:tcW w:w="480" w:type="dxa"/>
            <w:vAlign w:val="bottom"/>
          </w:tcPr>
          <w:p>
            <w:pPr>
              <w:jc w:val="right"/>
              <w:ind w:right="73"/>
              <w:spacing w:after="0"/>
              <w:rPr>
                <w:sz w:val="20"/>
                <w:szCs w:val="20"/>
                <w:color w:val="auto"/>
              </w:rPr>
            </w:pPr>
            <w:r>
              <w:rPr>
                <w:rFonts w:ascii="Arial" w:cs="Arial" w:eastAsia="Arial" w:hAnsi="Arial"/>
                <w:sz w:val="8"/>
                <w:szCs w:val="8"/>
                <w:b w:val="1"/>
                <w:bCs w:val="1"/>
                <w:color w:val="auto"/>
                <w:w w:val="98"/>
              </w:rPr>
              <w:t xml:space="preserve">PMPM </w:t>
            </w:r>
            <w:r>
              <w:rPr>
                <w:rFonts w:ascii="Arial" w:cs="Arial" w:eastAsia="Arial" w:hAnsi="Arial"/>
                <w:sz w:val="10"/>
                <w:szCs w:val="10"/>
                <w:b w:val="1"/>
                <w:bCs w:val="1"/>
                <w:color w:val="auto"/>
                <w:w w:val="98"/>
                <w:vertAlign w:val="superscript"/>
              </w:rPr>
              <w:t>(1)</w:t>
            </w: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gridSpan w:val="8"/>
          </w:tcPr>
          <w:p>
            <w:pPr>
              <w:jc w:val="right"/>
              <w:spacing w:after="0"/>
              <w:rPr>
                <w:sz w:val="20"/>
                <w:szCs w:val="20"/>
                <w:color w:val="auto"/>
              </w:rPr>
            </w:pPr>
            <w:r>
              <w:rPr>
                <w:rFonts w:ascii="Arial" w:cs="Arial" w:eastAsia="Arial" w:hAnsi="Arial"/>
                <w:sz w:val="10"/>
                <w:szCs w:val="10"/>
                <w:b w:val="1"/>
                <w:bCs w:val="1"/>
                <w:color w:val="auto"/>
              </w:rPr>
              <w:t>(dollars in thousands, except PMPM amounts)</w:t>
            </w: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w w:val="97"/>
              </w:rPr>
              <w:t>Premiums earned, net   $</w:t>
            </w:r>
          </w:p>
        </w:tc>
        <w:tc>
          <w:tcPr>
            <w:tcW w:w="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0"/>
                <w:szCs w:val="10"/>
                <w:color w:val="auto"/>
              </w:rPr>
              <w:t>203,657</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0"/>
                <w:szCs w:val="10"/>
                <w:color w:val="auto"/>
              </w:rPr>
              <w:t>1,012</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0"/>
                <w:szCs w:val="10"/>
                <w:color w:val="auto"/>
              </w:rPr>
              <w:t>195,357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0"/>
                <w:szCs w:val="10"/>
                <w:color w:val="auto"/>
              </w:rPr>
              <w:t>199,376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1,005</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0"/>
                <w:szCs w:val="10"/>
                <w:color w:val="auto"/>
              </w:rPr>
              <w:t>164,598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0"/>
                <w:szCs w:val="10"/>
                <w:color w:val="auto"/>
              </w:rPr>
              <w:t>950</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0"/>
                <w:szCs w:val="10"/>
                <w:color w:val="auto"/>
                <w:w w:val="88"/>
              </w:rPr>
              <w:t>167,075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0"/>
                <w:szCs w:val="10"/>
                <w:color w:val="auto"/>
              </w:rPr>
              <w:t>972</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0"/>
                <w:szCs w:val="10"/>
                <w:color w:val="auto"/>
              </w:rPr>
              <w:t>170,315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0"/>
                <w:szCs w:val="10"/>
                <w:color w:val="auto"/>
              </w:rPr>
              <w:t>1,000</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0"/>
                <w:szCs w:val="10"/>
                <w:color w:val="auto"/>
              </w:rPr>
              <w:t>163,710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984</w:t>
            </w:r>
          </w:p>
        </w:tc>
        <w:tc>
          <w:tcPr>
            <w:tcW w:w="0" w:type="dxa"/>
            <w:vAlign w:val="bottom"/>
          </w:tcPr>
          <w:p>
            <w:pPr>
              <w:spacing w:after="0"/>
              <w:rPr>
                <w:sz w:val="1"/>
                <w:szCs w:val="1"/>
                <w:color w:val="auto"/>
              </w:rPr>
            </w:pPr>
          </w:p>
        </w:tc>
      </w:tr>
      <w:tr>
        <w:trPr>
          <w:trHeight w:val="99"/>
        </w:trPr>
        <w:tc>
          <w:tcPr>
            <w:tcW w:w="114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Net medical claims</w:t>
            </w:r>
          </w:p>
        </w:tc>
        <w:tc>
          <w:tcPr>
            <w:tcW w:w="520" w:type="dxa"/>
            <w:vAlign w:val="bottom"/>
            <w:vMerge w:val="restart"/>
          </w:tcPr>
          <w:p>
            <w:pPr>
              <w:jc w:val="right"/>
              <w:ind w:right="74"/>
              <w:spacing w:after="0"/>
              <w:rPr>
                <w:sz w:val="20"/>
                <w:szCs w:val="20"/>
                <w:color w:val="auto"/>
              </w:rPr>
            </w:pPr>
            <w:r>
              <w:rPr>
                <w:rFonts w:ascii="Arial" w:cs="Arial" w:eastAsia="Arial" w:hAnsi="Arial"/>
                <w:sz w:val="10"/>
                <w:szCs w:val="10"/>
                <w:color w:val="auto"/>
              </w:rPr>
              <w:t>208,661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0"/>
                <w:szCs w:val="10"/>
                <w:color w:val="auto"/>
              </w:rPr>
              <w:t>1,037</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0"/>
                <w:szCs w:val="10"/>
                <w:color w:val="auto"/>
              </w:rPr>
              <w:t>216,785</w:t>
            </w:r>
          </w:p>
        </w:tc>
        <w:tc>
          <w:tcPr>
            <w:tcW w:w="14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1,087</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0"/>
                <w:szCs w:val="10"/>
                <w:color w:val="auto"/>
              </w:rPr>
              <w:t>214,432</w:t>
            </w:r>
          </w:p>
        </w:tc>
        <w:tc>
          <w:tcPr>
            <w:tcW w:w="140" w:type="dxa"/>
            <w:vAlign w:val="bottom"/>
          </w:tcPr>
          <w:p>
            <w:pPr>
              <w:spacing w:after="0"/>
              <w:rPr>
                <w:sz w:val="8"/>
                <w:szCs w:val="8"/>
                <w:color w:val="auto"/>
              </w:rPr>
            </w:pPr>
          </w:p>
        </w:tc>
        <w:tc>
          <w:tcPr>
            <w:tcW w:w="500" w:type="dxa"/>
            <w:vAlign w:val="bottom"/>
            <w:vMerge w:val="restart"/>
          </w:tcPr>
          <w:p>
            <w:pPr>
              <w:jc w:val="right"/>
              <w:ind w:right="12"/>
              <w:spacing w:after="0"/>
              <w:rPr>
                <w:sz w:val="20"/>
                <w:szCs w:val="20"/>
                <w:color w:val="auto"/>
              </w:rPr>
            </w:pPr>
            <w:r>
              <w:rPr>
                <w:rFonts w:ascii="Arial" w:cs="Arial" w:eastAsia="Arial" w:hAnsi="Arial"/>
                <w:sz w:val="10"/>
                <w:szCs w:val="10"/>
                <w:color w:val="auto"/>
              </w:rPr>
              <w:t>1,081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0"/>
                <w:szCs w:val="10"/>
                <w:color w:val="auto"/>
              </w:rPr>
              <w:t>179,928</w:t>
            </w:r>
          </w:p>
        </w:tc>
        <w:tc>
          <w:tcPr>
            <w:tcW w:w="140" w:type="dxa"/>
            <w:vAlign w:val="bottom"/>
          </w:tcPr>
          <w:p>
            <w:pPr>
              <w:spacing w:after="0"/>
              <w:rPr>
                <w:sz w:val="8"/>
                <w:szCs w:val="8"/>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0"/>
                <w:szCs w:val="10"/>
                <w:color w:val="auto"/>
              </w:rPr>
              <w:t>1,034</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0"/>
                <w:szCs w:val="10"/>
                <w:color w:val="auto"/>
                <w:w w:val="88"/>
              </w:rPr>
              <w:t>144,846</w:t>
            </w:r>
          </w:p>
        </w:tc>
        <w:tc>
          <w:tcPr>
            <w:tcW w:w="140" w:type="dxa"/>
            <w:vAlign w:val="bottom"/>
          </w:tcPr>
          <w:p>
            <w:pPr>
              <w:spacing w:after="0"/>
              <w:rPr>
                <w:sz w:val="8"/>
                <w:szCs w:val="8"/>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0"/>
                <w:szCs w:val="10"/>
                <w:color w:val="auto"/>
              </w:rPr>
              <w:t>842</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0"/>
                <w:szCs w:val="10"/>
                <w:color w:val="auto"/>
              </w:rPr>
              <w:t>119,366</w:t>
            </w:r>
          </w:p>
        </w:tc>
        <w:tc>
          <w:tcPr>
            <w:tcW w:w="140" w:type="dxa"/>
            <w:vAlign w:val="bottom"/>
          </w:tcPr>
          <w:p>
            <w:pPr>
              <w:spacing w:after="0"/>
              <w:rPr>
                <w:sz w:val="8"/>
                <w:szCs w:val="8"/>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0"/>
                <w:szCs w:val="10"/>
                <w:color w:val="auto"/>
              </w:rPr>
              <w:t>701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0"/>
                <w:szCs w:val="10"/>
                <w:color w:val="auto"/>
              </w:rPr>
              <w:t>146,328</w:t>
            </w: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880</w:t>
            </w:r>
          </w:p>
        </w:tc>
        <w:tc>
          <w:tcPr>
            <w:tcW w:w="0" w:type="dxa"/>
            <w:vAlign w:val="bottom"/>
          </w:tcPr>
          <w:p>
            <w:pPr>
              <w:spacing w:after="0"/>
              <w:rPr>
                <w:sz w:val="1"/>
                <w:szCs w:val="1"/>
                <w:color w:val="auto"/>
              </w:rPr>
            </w:pPr>
          </w:p>
        </w:tc>
      </w:tr>
      <w:tr>
        <w:trPr>
          <w:trHeight w:val="148"/>
        </w:trPr>
        <w:tc>
          <w:tcPr>
            <w:tcW w:w="1140" w:type="dxa"/>
            <w:vAlign w:val="bottom"/>
            <w:gridSpan w:val="2"/>
          </w:tcPr>
          <w:p>
            <w:pPr>
              <w:ind w:left="160"/>
              <w:spacing w:after="0"/>
              <w:rPr>
                <w:sz w:val="20"/>
                <w:szCs w:val="20"/>
                <w:color w:val="auto"/>
              </w:rPr>
            </w:pPr>
            <w:r>
              <w:rPr>
                <w:rFonts w:ascii="Arial" w:cs="Arial" w:eastAsia="Arial" w:hAnsi="Arial"/>
                <w:sz w:val="10"/>
                <w:szCs w:val="10"/>
                <w:color w:val="auto"/>
              </w:rPr>
              <w:t xml:space="preserve">incurred </w:t>
            </w:r>
            <w:r>
              <w:rPr>
                <w:rFonts w:ascii="Arial" w:cs="Arial" w:eastAsia="Arial" w:hAnsi="Arial"/>
                <w:sz w:val="12"/>
                <w:szCs w:val="12"/>
                <w:color w:val="auto"/>
                <w:vertAlign w:val="superscript"/>
              </w:rPr>
              <w:t>(2)</w:t>
            </w: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140" w:type="dxa"/>
            <w:vAlign w:val="bottom"/>
            <w:gridSpan w:val="2"/>
            <w:shd w:val="clear" w:color="auto" w:fill="CCEEFF"/>
          </w:tcPr>
          <w:p>
            <w:pPr>
              <w:ind w:left="20"/>
              <w:spacing w:after="0" w:line="100" w:lineRule="exact"/>
              <w:rPr>
                <w:sz w:val="20"/>
                <w:szCs w:val="20"/>
                <w:color w:val="auto"/>
              </w:rPr>
            </w:pPr>
            <w:r>
              <w:rPr>
                <w:rFonts w:ascii="Arial" w:cs="Arial" w:eastAsia="Arial" w:hAnsi="Arial"/>
                <w:sz w:val="10"/>
                <w:szCs w:val="10"/>
                <w:color w:val="auto"/>
              </w:rPr>
              <w:t>Medical care ratio, net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102.5 %</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0"/>
                <w:szCs w:val="10"/>
                <w:color w:val="auto"/>
              </w:rPr>
              <w:t>— %</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111.0 %</w:t>
            </w:r>
          </w:p>
        </w:tc>
        <w:tc>
          <w:tcPr>
            <w:tcW w:w="14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107.6 %</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34"/>
              <w:spacing w:after="0"/>
              <w:rPr>
                <w:sz w:val="20"/>
                <w:szCs w:val="20"/>
                <w:color w:val="auto"/>
              </w:rPr>
            </w:pPr>
            <w:r>
              <w:rPr>
                <w:rFonts w:ascii="Arial" w:cs="Arial" w:eastAsia="Arial" w:hAnsi="Arial"/>
                <w:sz w:val="10"/>
                <w:szCs w:val="10"/>
                <w:color w:val="auto"/>
              </w:rPr>
              <w:t>109.3 %</w:t>
            </w:r>
          </w:p>
        </w:tc>
        <w:tc>
          <w:tcPr>
            <w:tcW w:w="14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86.7 %</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34"/>
              <w:spacing w:after="0"/>
              <w:rPr>
                <w:sz w:val="20"/>
                <w:szCs w:val="20"/>
                <w:color w:val="auto"/>
              </w:rPr>
            </w:pPr>
            <w:r>
              <w:rPr>
                <w:rFonts w:ascii="Arial" w:cs="Arial" w:eastAsia="Arial" w:hAnsi="Arial"/>
                <w:sz w:val="10"/>
                <w:szCs w:val="10"/>
                <w:color w:val="auto"/>
              </w:rPr>
              <w:t>70.1 %</w:t>
            </w:r>
          </w:p>
        </w:tc>
        <w:tc>
          <w:tcPr>
            <w:tcW w:w="14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4"/>
              <w:spacing w:after="0"/>
              <w:rPr>
                <w:sz w:val="20"/>
                <w:szCs w:val="20"/>
                <w:color w:val="auto"/>
              </w:rPr>
            </w:pPr>
            <w:r>
              <w:rPr>
                <w:rFonts w:ascii="Arial" w:cs="Arial" w:eastAsia="Arial" w:hAnsi="Arial"/>
                <w:sz w:val="10"/>
                <w:szCs w:val="10"/>
                <w:color w:val="auto"/>
              </w:rPr>
              <w:t>89.4 %</w:t>
            </w:r>
          </w:p>
        </w:tc>
        <w:tc>
          <w:tcPr>
            <w:tcW w:w="1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14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 xml:space="preserve">(MCR) </w:t>
            </w:r>
            <w:r>
              <w:rPr>
                <w:rFonts w:ascii="Arial" w:cs="Arial" w:eastAsia="Arial" w:hAnsi="Arial"/>
                <w:sz w:val="12"/>
                <w:szCs w:val="12"/>
                <w:color w:val="auto"/>
                <w:vertAlign w:val="superscript"/>
              </w:rPr>
              <w:t>(3)</w:t>
            </w: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460" w:hanging="301"/>
        <w:spacing w:after="0" w:line="238" w:lineRule="auto"/>
        <w:tabs>
          <w:tab w:leader="none" w:pos="2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Calculated per member per month (PMPM) figures are based on the applicable amount divided by member months in the given period. Member months represents the number of months members are enrolled in a Clover Health Plan in the period.</w:t>
      </w:r>
    </w:p>
    <w:p>
      <w:pPr>
        <w:ind w:left="281" w:hanging="281"/>
        <w:spacing w:after="0" w:line="238" w:lineRule="auto"/>
        <w:tabs>
          <w:tab w:leader="none" w:pos="281" w:val="left"/>
        </w:tabs>
        <w:numPr>
          <w:ilvl w:val="0"/>
          <w:numId w:val="34"/>
        </w:numPr>
        <w:rPr>
          <w:rFonts w:ascii="Arial" w:cs="Arial" w:eastAsia="Arial" w:hAnsi="Arial"/>
          <w:sz w:val="13"/>
          <w:szCs w:val="13"/>
          <w:color w:val="auto"/>
        </w:rPr>
      </w:pPr>
      <w:r>
        <w:rPr>
          <w:rFonts w:ascii="Arial" w:cs="Arial" w:eastAsia="Arial" w:hAnsi="Arial"/>
          <w:sz w:val="13"/>
          <w:szCs w:val="13"/>
          <w:color w:val="auto"/>
        </w:rPr>
        <w:t>Net medical claims incurred related to MA only.</w:t>
      </w:r>
    </w:p>
    <w:p>
      <w:pPr>
        <w:ind w:left="281" w:hanging="281"/>
        <w:spacing w:after="0"/>
        <w:tabs>
          <w:tab w:leader="none" w:pos="281"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Defined as our total net medical claims incurred divided by premiums earned, net.</w:t>
      </w:r>
    </w:p>
    <w:p>
      <w:pPr>
        <w:spacing w:after="0" w:line="141" w:lineRule="exact"/>
        <w:rPr>
          <w:sz w:val="20"/>
          <w:szCs w:val="20"/>
          <w:color w:val="auto"/>
        </w:rPr>
      </w:pPr>
    </w:p>
    <w:p>
      <w:pPr>
        <w:ind w:left="1" w:right="180" w:firstLine="297"/>
        <w:spacing w:after="0" w:line="283" w:lineRule="auto"/>
        <w:rPr>
          <w:sz w:val="20"/>
          <w:szCs w:val="20"/>
          <w:color w:val="auto"/>
        </w:rPr>
      </w:pPr>
      <w:r>
        <w:rPr>
          <w:rFonts w:ascii="Arial" w:cs="Arial" w:eastAsia="Arial" w:hAnsi="Arial"/>
          <w:sz w:val="15"/>
          <w:szCs w:val="15"/>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of 2020. In second quarter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Since fourth quarter 2020, we have continued to incur medical claims related to COVID-19, while seeing increased utilization related to services that were deferred and increased costs related to conditions that were exacerbated by a lack of diagnoses and treatment in the earlier periods of the pandemic. We believe that the impact of COVID-19 on our MCR is moderating and that there is potential for us to achieve industry-level margins over the medium and long term.</w:t>
      </w:r>
    </w:p>
    <w:p>
      <w:pPr>
        <w:spacing w:after="0" w:line="109" w:lineRule="exact"/>
        <w:rPr>
          <w:sz w:val="20"/>
          <w:szCs w:val="20"/>
          <w:color w:val="auto"/>
        </w:rPr>
      </w:pPr>
    </w:p>
    <w:p>
      <w:pPr>
        <w:jc w:val="both"/>
        <w:ind w:left="1" w:right="20" w:firstLine="297"/>
        <w:spacing w:after="0" w:line="268" w:lineRule="auto"/>
        <w:rPr>
          <w:sz w:val="20"/>
          <w:szCs w:val="20"/>
          <w:color w:val="auto"/>
        </w:rPr>
      </w:pPr>
      <w:r>
        <w:rPr>
          <w:rFonts w:ascii="Arial" w:cs="Arial" w:eastAsia="Arial" w:hAnsi="Arial"/>
          <w:sz w:val="16"/>
          <w:szCs w:val="16"/>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For additional information regarding the risks to our business and results of operations related to the COVID-19 pandemic, see the section entitled “Risk Factors” of this Prospectus.</w:t>
      </w:r>
    </w:p>
    <w:p>
      <w:pPr>
        <w:spacing w:after="0" w:line="118" w:lineRule="exact"/>
        <w:rPr>
          <w:sz w:val="20"/>
          <w:szCs w:val="20"/>
          <w:color w:val="auto"/>
        </w:rPr>
      </w:pPr>
    </w:p>
    <w:p>
      <w:pPr>
        <w:ind w:left="1" w:firstLine="297"/>
        <w:spacing w:after="0" w:line="292" w:lineRule="auto"/>
        <w:rPr>
          <w:sz w:val="20"/>
          <w:szCs w:val="20"/>
          <w:color w:val="auto"/>
        </w:rPr>
      </w:pPr>
      <w:r>
        <w:rPr>
          <w:rFonts w:ascii="Arial" w:cs="Arial" w:eastAsia="Arial" w:hAnsi="Arial"/>
          <w:sz w:val="15"/>
          <w:szCs w:val="15"/>
          <w:color w:val="auto"/>
        </w:rPr>
        <w:t>In order to provide investors with a view into our financial performance and operations without the temporary distortion caused by the COVID-19 pandemic, we have supplementally included measures of non-GAAP normalized MA MCR below. In calculating non-GAAP normalized MA MCR, we subtract or add, as applicable, direct COVID-related costs, including utilization deferred in prior periods, an estimate of the net effect of care deferred or eliminated by the COVID-19 environment, an estimate of other adjustments in the current period which relate to prior period dates of service, and an estimate of the COVID-19 pandemic’s impact on our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76" w:name="page77"/>
    <w:bookmarkEnd w:id="76"/>
    <w:p>
      <w:pPr>
        <w:spacing w:after="0" w:line="2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revenue, which management believes has been impacted by lower risk adjustment scores in 2021 due to reduced utilization and less thorough and accurate documentation of our members’ clinical utilization in 2020 due to the COVID-19 environment. The non-GAAP normalized MA MCR calculation represents management’s current estimates and assumptions regarding the impacts of the COVID-19 pandemic on our financial results and remains subject to significant uncertainties, including the ultimate severity, magnitude and duration of the COVID-19 pandemic, including the development of new COVID-19 variants, and the potential for further deferrals of elective or preventive care due to additional COVID-19 outbreaks and stay-at-home orders and the resulting impact on future medical complications, future medical costs and/or a reduction in risk adjustments and benchmarks against which future CMS bids will be assessed.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2440" w:type="dxa"/>
            <w:vAlign w:val="bottom"/>
          </w:tcPr>
          <w:p>
            <w:pPr>
              <w:jc w:val="right"/>
              <w:ind w:right="303"/>
              <w:spacing w:after="0"/>
              <w:rPr>
                <w:sz w:val="20"/>
                <w:szCs w:val="20"/>
                <w:color w:val="auto"/>
              </w:rPr>
            </w:pPr>
            <w:r>
              <w:rPr>
                <w:rFonts w:ascii="Arial" w:cs="Arial" w:eastAsia="Arial" w:hAnsi="Arial"/>
                <w:sz w:val="12"/>
                <w:szCs w:val="12"/>
                <w:b w:val="1"/>
                <w:bCs w:val="1"/>
                <w:color w:val="auto"/>
              </w:rPr>
              <w:t>Three Months Ended</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340" w:type="dxa"/>
            <w:vAlign w:val="bottom"/>
          </w:tcPr>
          <w:p>
            <w:pPr>
              <w:spacing w:after="0"/>
              <w:rPr>
                <w:sz w:val="12"/>
                <w:szCs w:val="12"/>
                <w:color w:val="auto"/>
              </w:rPr>
            </w:pPr>
          </w:p>
        </w:tc>
        <w:tc>
          <w:tcPr>
            <w:tcW w:w="1560" w:type="dxa"/>
            <w:vAlign w:val="bottom"/>
          </w:tcPr>
          <w:p>
            <w:pPr>
              <w:jc w:val="right"/>
              <w:ind w:right="263"/>
              <w:spacing w:after="0"/>
              <w:rPr>
                <w:sz w:val="20"/>
                <w:szCs w:val="20"/>
                <w:color w:val="auto"/>
              </w:rPr>
            </w:pPr>
            <w:r>
              <w:rPr>
                <w:rFonts w:ascii="Arial" w:cs="Arial" w:eastAsia="Arial" w:hAnsi="Arial"/>
                <w:sz w:val="12"/>
                <w:szCs w:val="12"/>
                <w:b w:val="1"/>
                <w:bCs w:val="1"/>
                <w:color w:val="auto"/>
              </w:rPr>
              <w:t>Nine Months Ended</w:t>
            </w:r>
          </w:p>
        </w:tc>
        <w:tc>
          <w:tcPr>
            <w:tcW w:w="1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4"/>
              </w:rPr>
              <w:t>Year Ended December 31, 2020</w:t>
            </w:r>
          </w:p>
        </w:tc>
        <w:tc>
          <w:tcPr>
            <w:tcW w:w="0" w:type="dxa"/>
            <w:vAlign w:val="bottom"/>
          </w:tcPr>
          <w:p>
            <w:pPr>
              <w:spacing w:after="0"/>
              <w:rPr>
                <w:sz w:val="1"/>
                <w:szCs w:val="1"/>
                <w:color w:val="auto"/>
              </w:rPr>
            </w:pPr>
          </w:p>
        </w:tc>
      </w:tr>
      <w:tr>
        <w:trPr>
          <w:trHeight w:val="167"/>
        </w:trPr>
        <w:tc>
          <w:tcPr>
            <w:tcW w:w="38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363"/>
              <w:spacing w:after="0"/>
              <w:rPr>
                <w:sz w:val="20"/>
                <w:szCs w:val="20"/>
                <w:color w:val="auto"/>
              </w:rPr>
            </w:pPr>
            <w:r>
              <w:rPr>
                <w:rFonts w:ascii="Arial" w:cs="Arial" w:eastAsia="Arial" w:hAnsi="Arial"/>
                <w:sz w:val="12"/>
                <w:szCs w:val="12"/>
                <w:b w:val="1"/>
                <w:bCs w:val="1"/>
                <w:color w:val="auto"/>
              </w:rPr>
              <w:t>September 30, 2021</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September 30, 2020</w:t>
            </w: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83"/>
              <w:spacing w:after="0"/>
              <w:rPr>
                <w:sz w:val="20"/>
                <w:szCs w:val="20"/>
                <w:color w:val="auto"/>
              </w:rPr>
            </w:pPr>
            <w:r>
              <w:rPr>
                <w:rFonts w:ascii="Arial" w:cs="Arial" w:eastAsia="Arial" w:hAnsi="Arial"/>
                <w:sz w:val="12"/>
                <w:szCs w:val="12"/>
                <w:b w:val="1"/>
                <w:bCs w:val="1"/>
                <w:color w:val="auto"/>
              </w:rPr>
              <w:t>September 30, 2021</w:t>
            </w:r>
          </w:p>
        </w:tc>
        <w:tc>
          <w:tcPr>
            <w:tcW w:w="1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 GAAP MCR</w:t>
            </w:r>
          </w:p>
        </w:tc>
        <w:tc>
          <w:tcPr>
            <w:tcW w:w="244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102.5 %</w:t>
            </w:r>
          </w:p>
        </w:tc>
        <w:tc>
          <w:tcPr>
            <w:tcW w:w="16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86.7 %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107.1 %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88.7 %</w:t>
            </w:r>
          </w:p>
        </w:tc>
        <w:tc>
          <w:tcPr>
            <w:tcW w:w="0" w:type="dxa"/>
            <w:vAlign w:val="bottom"/>
          </w:tcPr>
          <w:p>
            <w:pPr>
              <w:spacing w:after="0"/>
              <w:rPr>
                <w:sz w:val="1"/>
                <w:szCs w:val="1"/>
                <w:color w:val="auto"/>
              </w:rPr>
            </w:pP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COVID costs</w:t>
            </w:r>
          </w:p>
        </w:tc>
        <w:tc>
          <w:tcPr>
            <w:tcW w:w="24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 %</w:t>
            </w:r>
          </w:p>
        </w:tc>
        <w:tc>
          <w:tcPr>
            <w:tcW w:w="16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(2.3)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Unrealized 2020 risk adjustment</w:t>
            </w:r>
          </w:p>
        </w:tc>
        <w:tc>
          <w:tcPr>
            <w:tcW w:w="2440" w:type="dxa"/>
            <w:vAlign w:val="bottom"/>
          </w:tcPr>
          <w:p>
            <w:pPr>
              <w:jc w:val="right"/>
              <w:ind w:right="43"/>
              <w:spacing w:after="0"/>
              <w:rPr>
                <w:sz w:val="20"/>
                <w:szCs w:val="20"/>
                <w:color w:val="auto"/>
              </w:rPr>
            </w:pPr>
            <w:r>
              <w:rPr>
                <w:rFonts w:ascii="Arial" w:cs="Arial" w:eastAsia="Arial" w:hAnsi="Arial"/>
                <w:sz w:val="16"/>
                <w:szCs w:val="16"/>
                <w:color w:val="auto"/>
              </w:rPr>
              <w:t>(3.8) %</w:t>
            </w:r>
          </w:p>
        </w:tc>
        <w:tc>
          <w:tcPr>
            <w:tcW w:w="1660" w:type="dxa"/>
            <w:vAlign w:val="bottom"/>
            <w:gridSpan w:val="2"/>
          </w:tcPr>
          <w:p>
            <w:pPr>
              <w:jc w:val="right"/>
              <w:ind w:right="78"/>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(3.8) %</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period development and other</w:t>
            </w:r>
          </w:p>
        </w:tc>
        <w:tc>
          <w:tcPr>
            <w:tcW w:w="24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Excess (reduced) utilization due to COVID</w:t>
            </w:r>
          </w:p>
        </w:tc>
        <w:tc>
          <w:tcPr>
            <w:tcW w:w="2440" w:type="dxa"/>
            <w:vAlign w:val="bottom"/>
          </w:tcPr>
          <w:p>
            <w:pPr>
              <w:jc w:val="right"/>
              <w:ind w:right="43"/>
              <w:spacing w:after="0"/>
              <w:rPr>
                <w:sz w:val="20"/>
                <w:szCs w:val="20"/>
                <w:color w:val="auto"/>
              </w:rPr>
            </w:pPr>
            <w:r>
              <w:rPr>
                <w:rFonts w:ascii="Arial" w:cs="Arial" w:eastAsia="Arial" w:hAnsi="Arial"/>
                <w:sz w:val="16"/>
                <w:szCs w:val="16"/>
                <w:color w:val="auto"/>
              </w:rPr>
              <w:t>(3.7) %</w:t>
            </w: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(0.2) %</w:t>
            </w:r>
          </w:p>
        </w:tc>
        <w:tc>
          <w:tcPr>
            <w:tcW w:w="160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 Normalized MCR (Non-GAAP)</w:t>
            </w:r>
          </w:p>
        </w:tc>
        <w:tc>
          <w:tcPr>
            <w:tcW w:w="244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94.8 %</w:t>
            </w:r>
          </w:p>
        </w:tc>
        <w:tc>
          <w:tcPr>
            <w:tcW w:w="16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96.4 %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96.6 %</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Measures of Our Operating Segments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Operating Segments</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We manage our business with two reportable segments: Medicare Advantage and Direct Contracting. The reportable segments are distinguished based on the healthcare delivery business model. Our MA segment is an insurance business model that focuses on leveraging the Clover Assistant at the point of care. Our DC segment is similar to a cost management and care coordination model accounted for as a performance guarantee, where Clover is responsible for coordinating care, managing costs, and providing support to providers and their DCE Beneficiaries through the use of Clover Assistant.</w:t>
      </w:r>
    </w:p>
    <w:p>
      <w:pPr>
        <w:spacing w:after="0" w:line="118" w:lineRule="exact"/>
        <w:rPr>
          <w:sz w:val="20"/>
          <w:szCs w:val="20"/>
          <w:color w:val="auto"/>
        </w:rPr>
      </w:pPr>
    </w:p>
    <w:p>
      <w:pPr>
        <w:ind w:right="200" w:firstLine="297"/>
        <w:spacing w:after="0" w:line="268" w:lineRule="auto"/>
        <w:rPr>
          <w:sz w:val="20"/>
          <w:szCs w:val="20"/>
          <w:color w:val="auto"/>
        </w:rPr>
      </w:pPr>
      <w:r>
        <w:rPr>
          <w:rFonts w:ascii="Arial" w:cs="Arial" w:eastAsia="Arial" w:hAnsi="Arial"/>
          <w:sz w:val="16"/>
          <w:szCs w:val="16"/>
          <w:color w:val="auto"/>
        </w:rPr>
        <w:t>These segment groupings are consistent with information used by our Chief Executive Officer, the Corporation’s chief operating decision maker, to assess performance and allocate resources. The Medicare Advantage segment consists of MA plans that generally provide access to a wide network of primary care providers, specialists and hospitals. The Direct Contracting segment consists of our operations in connection with the DC Model, which provides options aimed at reducing expenditures and preserving or enhancing quality of care for DCE Beneficiaries.</w:t>
      </w:r>
    </w:p>
    <w:p>
      <w:pPr>
        <w:spacing w:after="0" w:line="118"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Medicare Advantage</w:t>
      </w:r>
    </w:p>
    <w:p>
      <w:pPr>
        <w:spacing w:after="0" w:line="162" w:lineRule="exact"/>
        <w:rPr>
          <w:sz w:val="20"/>
          <w:szCs w:val="20"/>
          <w:color w:val="auto"/>
        </w:rPr>
      </w:pPr>
    </w:p>
    <w:p>
      <w:pPr>
        <w:ind w:right="400" w:firstLine="297"/>
        <w:spacing w:after="0" w:line="274" w:lineRule="auto"/>
        <w:rPr>
          <w:sz w:val="20"/>
          <w:szCs w:val="20"/>
          <w:color w:val="auto"/>
        </w:rPr>
      </w:pPr>
      <w:r>
        <w:rPr>
          <w:rFonts w:ascii="Arial" w:cs="Arial" w:eastAsia="Arial" w:hAnsi="Arial"/>
          <w:sz w:val="16"/>
          <w:szCs w:val="16"/>
          <w:color w:val="auto"/>
        </w:rPr>
        <w:t>Through its MA operating segment, the Corporation provides PPO and HMO plans that generally provide access to a wide network of primary care providers, specialists and hospitals. We seek to improve care and lower costs by empowering physicians with data-driven, personalized insights at the point of care through our software platform, the Clover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59" w:lineRule="exact"/>
        <w:rPr>
          <w:sz w:val="20"/>
          <w:szCs w:val="20"/>
          <w:color w:val="auto"/>
        </w:rPr>
      </w:pPr>
    </w:p>
    <w:tbl>
      <w:tblPr>
        <w:tblLayout w:type="fixed"/>
        <w:tblInd w:w="101"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2"/>
                <w:szCs w:val="12"/>
                <w:b w:val="1"/>
                <w:bCs w:val="1"/>
                <w:color w:val="auto"/>
              </w:rPr>
              <w:t>Nine Months Ended September 30,</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2"/>
                <w:szCs w:val="12"/>
                <w:b w:val="1"/>
                <w:bCs w:val="1"/>
                <w:color w:val="auto"/>
                <w:w w:val="98"/>
              </w:rPr>
              <w:t>Years Ended 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5"/>
        </w:trPr>
        <w:tc>
          <w:tcPr>
            <w:tcW w:w="2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PMPM</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PMPM</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PMPM</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PMPM</w:t>
            </w:r>
          </w:p>
        </w:tc>
      </w:tr>
      <w:tr>
        <w:trPr>
          <w:trHeight w:val="165"/>
        </w:trPr>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40" w:type="dxa"/>
            <w:vAlign w:val="bottom"/>
            <w:gridSpan w:val="9"/>
          </w:tcPr>
          <w:p>
            <w:pPr>
              <w:ind w:left="120"/>
              <w:spacing w:after="0"/>
              <w:rPr>
                <w:sz w:val="20"/>
                <w:szCs w:val="20"/>
                <w:color w:val="auto"/>
              </w:rPr>
            </w:pPr>
            <w:r>
              <w:rPr>
                <w:rFonts w:ascii="Arial" w:cs="Arial" w:eastAsia="Arial" w:hAnsi="Arial"/>
                <w:sz w:val="12"/>
                <w:szCs w:val="12"/>
                <w:color w:val="auto"/>
              </w:rPr>
              <w:t>(Premium and expense amounts in thousands, except PMPM amounts)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2"/>
        </w:trPr>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Medicare Advantage Data:</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Members as of period end (#)</w:t>
            </w:r>
          </w:p>
        </w:tc>
        <w:tc>
          <w:tcPr>
            <w:tcW w:w="2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67,281</w:t>
            </w:r>
          </w:p>
        </w:tc>
        <w:tc>
          <w:tcPr>
            <w:tcW w:w="18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57,503</w:t>
            </w:r>
          </w:p>
        </w:tc>
        <w:tc>
          <w:tcPr>
            <w:tcW w:w="180" w:type="dxa"/>
            <w:vAlign w:val="bottom"/>
          </w:tcPr>
          <w:p>
            <w:pPr>
              <w:spacing w:after="0"/>
              <w:rPr>
                <w:sz w:val="15"/>
                <w:szCs w:val="15"/>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58,056</w:t>
            </w:r>
          </w:p>
        </w:tc>
        <w:tc>
          <w:tcPr>
            <w:tcW w:w="18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42,592</w:t>
            </w:r>
          </w:p>
        </w:tc>
        <w:tc>
          <w:tcPr>
            <w:tcW w:w="18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N/A</w:t>
            </w:r>
          </w:p>
        </w:tc>
      </w:tr>
      <w:tr>
        <w:trPr>
          <w:trHeight w:val="189"/>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Premiums earned, gross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598,760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501,483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666,297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457,758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927</w:t>
            </w: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Premiums earned, net</w:t>
            </w:r>
          </w:p>
        </w:tc>
        <w:tc>
          <w:tcPr>
            <w:tcW w:w="2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598,390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501,100</w:t>
            </w:r>
          </w:p>
        </w:tc>
        <w:tc>
          <w:tcPr>
            <w:tcW w:w="1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665,698</w:t>
            </w:r>
          </w:p>
        </w:tc>
        <w:tc>
          <w:tcPr>
            <w:tcW w:w="1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456,926</w:t>
            </w:r>
          </w:p>
        </w:tc>
        <w:tc>
          <w:tcPr>
            <w:tcW w:w="1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925</w:t>
            </w:r>
          </w:p>
        </w:tc>
      </w:tr>
      <w:tr>
        <w:trPr>
          <w:trHeight w:val="189"/>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Medical claim expense incurred, gross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641,300</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411,243</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590,951</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452,261</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916</w:t>
            </w: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Net medical claims incurred</w:t>
            </w:r>
          </w:p>
        </w:tc>
        <w:tc>
          <w:tcPr>
            <w:tcW w:w="2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640,624</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410,540</w:t>
            </w:r>
          </w:p>
        </w:tc>
        <w:tc>
          <w:tcPr>
            <w:tcW w:w="1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590,468</w:t>
            </w:r>
          </w:p>
        </w:tc>
        <w:tc>
          <w:tcPr>
            <w:tcW w:w="1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450,645</w:t>
            </w:r>
          </w:p>
        </w:tc>
        <w:tc>
          <w:tcPr>
            <w:tcW w:w="180" w:type="dxa"/>
            <w:vAlign w:val="bottom"/>
          </w:tcPr>
          <w:p>
            <w:pPr>
              <w:spacing w:after="0"/>
              <w:rPr>
                <w:sz w:val="15"/>
                <w:szCs w:val="15"/>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912</w:t>
            </w:r>
          </w:p>
        </w:tc>
      </w:tr>
      <w:tr>
        <w:trPr>
          <w:trHeight w:val="189"/>
        </w:trPr>
        <w:tc>
          <w:tcPr>
            <w:tcW w:w="250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Medical care ratio, gross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107.1 %</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82.0 %</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88.7 %</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98.8 %</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w:t>
            </w:r>
          </w:p>
        </w:tc>
      </w:tr>
      <w:tr>
        <w:trPr>
          <w:trHeight w:val="179"/>
        </w:trPr>
        <w:tc>
          <w:tcPr>
            <w:tcW w:w="2500" w:type="dxa"/>
            <w:vAlign w:val="bottom"/>
          </w:tcPr>
          <w:p>
            <w:pPr>
              <w:spacing w:after="0"/>
              <w:rPr>
                <w:sz w:val="20"/>
                <w:szCs w:val="20"/>
                <w:color w:val="auto"/>
              </w:rPr>
            </w:pPr>
            <w:r>
              <w:rPr>
                <w:rFonts w:ascii="Arial" w:cs="Arial" w:eastAsia="Arial" w:hAnsi="Arial"/>
                <w:sz w:val="14"/>
                <w:szCs w:val="14"/>
                <w:color w:val="auto"/>
              </w:rPr>
              <w:t>Medical care ratio, net</w:t>
            </w:r>
          </w:p>
        </w:tc>
        <w:tc>
          <w:tcPr>
            <w:tcW w:w="28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107.1</w:t>
            </w:r>
          </w:p>
        </w:tc>
        <w:tc>
          <w:tcPr>
            <w:tcW w:w="18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81.9</w:t>
            </w:r>
          </w:p>
        </w:tc>
        <w:tc>
          <w:tcPr>
            <w:tcW w:w="180" w:type="dxa"/>
            <w:vAlign w:val="bottom"/>
          </w:tcPr>
          <w:p>
            <w:pPr>
              <w:spacing w:after="0"/>
              <w:rPr>
                <w:sz w:val="15"/>
                <w:szCs w:val="15"/>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88.7</w:t>
            </w:r>
          </w:p>
        </w:tc>
        <w:tc>
          <w:tcPr>
            <w:tcW w:w="180" w:type="dxa"/>
            <w:vAlign w:val="bottom"/>
          </w:tcPr>
          <w:p>
            <w:pPr>
              <w:spacing w:after="0"/>
              <w:rPr>
                <w:sz w:val="15"/>
                <w:szCs w:val="15"/>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98.6</w:t>
            </w:r>
          </w:p>
        </w:tc>
        <w:tc>
          <w:tcPr>
            <w:tcW w:w="180" w:type="dxa"/>
            <w:vAlign w:val="bottom"/>
          </w:tcPr>
          <w:p>
            <w:pPr>
              <w:spacing w:after="0"/>
              <w:rPr>
                <w:sz w:val="15"/>
                <w:szCs w:val="15"/>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N/A</w:t>
            </w:r>
          </w:p>
        </w:tc>
      </w:tr>
    </w:tbl>
    <w:p>
      <w:pPr>
        <w:spacing w:after="0" w:line="77"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281" w:hanging="281"/>
        <w:spacing w:after="0"/>
        <w:tabs>
          <w:tab w:leader="none" w:pos="281"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Defined as our total gross medical claims incurred divided by premiums earned, gross.</w:t>
      </w:r>
    </w:p>
    <w:p>
      <w:pPr>
        <w:spacing w:after="0" w:line="141"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Membership and Associated Premiums Earned and Medical Claim Expenses</w:t>
      </w:r>
    </w:p>
    <w:p>
      <w:pPr>
        <w:spacing w:after="0" w:line="162" w:lineRule="exact"/>
        <w:rPr>
          <w:sz w:val="20"/>
          <w:szCs w:val="20"/>
          <w:color w:val="auto"/>
        </w:rPr>
      </w:pPr>
    </w:p>
    <w:p>
      <w:pPr>
        <w:ind w:left="1" w:right="40" w:firstLine="297"/>
        <w:spacing w:after="0" w:line="262" w:lineRule="auto"/>
        <w:rPr>
          <w:sz w:val="20"/>
          <w:szCs w:val="20"/>
          <w:color w:val="auto"/>
        </w:rPr>
      </w:pPr>
      <w:r>
        <w:rPr>
          <w:rFonts w:ascii="Arial" w:cs="Arial" w:eastAsia="Arial" w:hAnsi="Arial"/>
          <w:sz w:val="16"/>
          <w:szCs w:val="16"/>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124"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Premiums Earned, Gross</w:t>
      </w:r>
    </w:p>
    <w:p>
      <w:pPr>
        <w:spacing w:after="0" w:line="162" w:lineRule="exact"/>
        <w:rPr>
          <w:sz w:val="20"/>
          <w:szCs w:val="20"/>
          <w:color w:val="auto"/>
        </w:rPr>
      </w:pPr>
    </w:p>
    <w:p>
      <w:pPr>
        <w:ind w:left="1" w:firstLine="297"/>
        <w:spacing w:after="0" w:line="292" w:lineRule="auto"/>
        <w:rPr>
          <w:sz w:val="20"/>
          <w:szCs w:val="20"/>
          <w:color w:val="auto"/>
        </w:rPr>
      </w:pPr>
      <w:r>
        <w:rPr>
          <w:rFonts w:ascii="Arial" w:cs="Arial" w:eastAsia="Arial" w:hAnsi="Arial"/>
          <w:sz w:val="15"/>
          <w:szCs w:val="15"/>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w:t>
      </w:r>
    </w:p>
    <w:p>
      <w:pPr>
        <w:spacing w:after="0" w:line="100"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Premiums Earned, Net</w:t>
      </w:r>
    </w:p>
    <w:p>
      <w:pPr>
        <w:spacing w:after="0" w:line="162" w:lineRule="exact"/>
        <w:rPr>
          <w:sz w:val="20"/>
          <w:szCs w:val="20"/>
          <w:color w:val="auto"/>
        </w:rPr>
      </w:pPr>
    </w:p>
    <w:p>
      <w:pPr>
        <w:jc w:val="both"/>
        <w:ind w:left="1" w:firstLine="297"/>
        <w:spacing w:after="0" w:line="330" w:lineRule="auto"/>
        <w:rPr>
          <w:sz w:val="20"/>
          <w:szCs w:val="20"/>
          <w:color w:val="auto"/>
        </w:rPr>
      </w:pPr>
      <w:r>
        <w:rPr>
          <w:rFonts w:ascii="Arial" w:cs="Arial" w:eastAsia="Arial" w:hAnsi="Arial"/>
          <w:sz w:val="14"/>
          <w:szCs w:val="14"/>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(ACA).</w:t>
      </w:r>
    </w:p>
    <w:p>
      <w:pPr>
        <w:spacing w:after="0" w:line="78" w:lineRule="exact"/>
        <w:rPr>
          <w:sz w:val="20"/>
          <w:szCs w:val="20"/>
          <w:color w:val="auto"/>
        </w:rPr>
      </w:pPr>
    </w:p>
    <w:p>
      <w:pPr>
        <w:ind w:left="1" w:firstLine="297"/>
        <w:spacing w:after="0" w:line="292" w:lineRule="auto"/>
        <w:rPr>
          <w:sz w:val="20"/>
          <w:szCs w:val="20"/>
          <w:color w:val="auto"/>
        </w:rPr>
      </w:pPr>
      <w:r>
        <w:rPr>
          <w:rFonts w:ascii="Arial" w:cs="Arial" w:eastAsia="Arial" w:hAnsi="Arial"/>
          <w:sz w:val="15"/>
          <w:szCs w:val="15"/>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00" w:lineRule="exact"/>
        <w:rPr>
          <w:sz w:val="20"/>
          <w:szCs w:val="20"/>
          <w:color w:val="auto"/>
        </w:rPr>
      </w:pPr>
    </w:p>
    <w:p>
      <w:pPr>
        <w:ind w:left="1" w:right="600" w:firstLine="297"/>
        <w:spacing w:after="0" w:line="290" w:lineRule="auto"/>
        <w:rPr>
          <w:sz w:val="20"/>
          <w:szCs w:val="20"/>
          <w:color w:val="auto"/>
        </w:rPr>
      </w:pPr>
      <w:r>
        <w:rPr>
          <w:rFonts w:ascii="Arial" w:cs="Arial" w:eastAsia="Arial" w:hAnsi="Arial"/>
          <w:sz w:val="16"/>
          <w:szCs w:val="16"/>
          <w:color w:val="auto"/>
        </w:rPr>
        <w:t>Premiums ceded is the amount of premiums earned, gross ceded to reinsurers. From time to time, we enter into reinsurance contracts to limit our exposure to potential losses as well as to provide additional capacity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78" w:name="page79"/>
    <w:bookmarkEnd w:id="78"/>
    <w:p>
      <w:pPr>
        <w:spacing w:after="0" w:line="23" w:lineRule="exact"/>
        <w:rPr>
          <w:sz w:val="20"/>
          <w:szCs w:val="20"/>
          <w:color w:val="auto"/>
        </w:rPr>
      </w:pPr>
    </w:p>
    <w:p>
      <w:pPr>
        <w:jc w:val="both"/>
        <w:ind w:left="1" w:right="40"/>
        <w:spacing w:after="0" w:line="274" w:lineRule="auto"/>
        <w:rPr>
          <w:sz w:val="20"/>
          <w:szCs w:val="20"/>
          <w:color w:val="auto"/>
        </w:rPr>
      </w:pPr>
      <w:r>
        <w:rPr>
          <w:rFonts w:ascii="Arial" w:cs="Arial" w:eastAsia="Arial" w:hAnsi="Arial"/>
          <w:sz w:val="16"/>
          <w:szCs w:val="16"/>
          <w:color w:val="auto"/>
        </w:rPr>
        <w:t>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Gross Medical Claims Incurred</w:t>
      </w:r>
    </w:p>
    <w:p>
      <w:pPr>
        <w:spacing w:after="0" w:line="162" w:lineRule="exact"/>
        <w:rPr>
          <w:sz w:val="20"/>
          <w:szCs w:val="20"/>
          <w:color w:val="auto"/>
        </w:rPr>
      </w:pPr>
    </w:p>
    <w:p>
      <w:pPr>
        <w:ind w:left="1" w:right="20" w:firstLine="297"/>
        <w:spacing w:after="0" w:line="274" w:lineRule="auto"/>
        <w:rPr>
          <w:sz w:val="20"/>
          <w:szCs w:val="20"/>
          <w:color w:val="auto"/>
        </w:rPr>
      </w:pPr>
      <w:r>
        <w:rPr>
          <w:rFonts w:ascii="Arial" w:cs="Arial" w:eastAsia="Arial" w:hAnsi="Arial"/>
          <w:sz w:val="16"/>
          <w:szCs w:val="16"/>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12" w:lineRule="exact"/>
        <w:rPr>
          <w:sz w:val="20"/>
          <w:szCs w:val="20"/>
          <w:color w:val="auto"/>
        </w:rPr>
      </w:pPr>
    </w:p>
    <w:p>
      <w:pPr>
        <w:ind w:left="1" w:right="60" w:firstLine="297"/>
        <w:spacing w:after="0" w:line="290" w:lineRule="auto"/>
        <w:rPr>
          <w:sz w:val="20"/>
          <w:szCs w:val="20"/>
          <w:color w:val="auto"/>
        </w:rPr>
      </w:pPr>
      <w:r>
        <w:rPr>
          <w:rFonts w:ascii="Arial" w:cs="Arial" w:eastAsia="Arial" w:hAnsi="Arial"/>
          <w:sz w:val="16"/>
          <w:szCs w:val="16"/>
          <w:color w:val="auto"/>
        </w:rPr>
        <w:t>Gross medical claims incurred excludes the effects of medical claims and associated costs ceded to reinsurers, and therefore should not be used as a substitute for net claims incurred, total expenses or any other measure presented in accordance with GAAP.</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Net Medical Claims Incurred (Medicare Advantage)</w:t>
      </w:r>
    </w:p>
    <w:p>
      <w:pPr>
        <w:spacing w:after="0" w:line="162" w:lineRule="exact"/>
        <w:rPr>
          <w:sz w:val="20"/>
          <w:szCs w:val="20"/>
          <w:color w:val="auto"/>
        </w:rPr>
      </w:pPr>
    </w:p>
    <w:p>
      <w:pPr>
        <w:jc w:val="both"/>
        <w:ind w:left="1" w:right="140" w:firstLine="297"/>
        <w:spacing w:after="0" w:line="274" w:lineRule="auto"/>
        <w:rPr>
          <w:sz w:val="20"/>
          <w:szCs w:val="20"/>
          <w:color w:val="auto"/>
        </w:rPr>
      </w:pPr>
      <w:r>
        <w:rPr>
          <w:rFonts w:ascii="Arial" w:cs="Arial" w:eastAsia="Arial" w:hAnsi="Arial"/>
          <w:sz w:val="16"/>
          <w:szCs w:val="16"/>
          <w:color w:val="auto"/>
        </w:rPr>
        <w:t>Net medical claims incurred are our medical expenses and consists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Medical Care Ratio, Gross and Net</w:t>
      </w:r>
    </w:p>
    <w:p>
      <w:pPr>
        <w:spacing w:after="0" w:line="162" w:lineRule="exact"/>
        <w:rPr>
          <w:sz w:val="20"/>
          <w:szCs w:val="20"/>
          <w:color w:val="auto"/>
        </w:rPr>
      </w:pPr>
    </w:p>
    <w:p>
      <w:pPr>
        <w:jc w:val="both"/>
        <w:ind w:left="1" w:right="180" w:firstLine="297"/>
        <w:spacing w:after="0" w:line="274" w:lineRule="auto"/>
        <w:rPr>
          <w:sz w:val="20"/>
          <w:szCs w:val="20"/>
          <w:color w:val="auto"/>
        </w:rPr>
      </w:pPr>
      <w:r>
        <w:rPr>
          <w:rFonts w:ascii="Arial" w:cs="Arial" w:eastAsia="Arial" w:hAnsi="Arial"/>
          <w:sz w:val="16"/>
          <w:szCs w:val="16"/>
          <w:color w:val="auto"/>
        </w:rPr>
        <w:t>We calculate our medical care ratio by dividing total net medical claim expenses incurred by premiums earned, in each case on a gross or net basis, as the case may be, in a given period. We believe our MCR is an indicator of our gross margin for our MA plans and the ability of our Clover Assistant platform to capture and analyze data over time to generate actionable insights for returning members to improve care and reduce medical expenses.</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Direct Contracting</w:t>
      </w:r>
    </w:p>
    <w:p>
      <w:pPr>
        <w:spacing w:after="0" w:line="162" w:lineRule="exact"/>
        <w:rPr>
          <w:sz w:val="20"/>
          <w:szCs w:val="20"/>
          <w:color w:val="auto"/>
        </w:rPr>
      </w:pPr>
    </w:p>
    <w:p>
      <w:pPr>
        <w:ind w:left="1" w:firstLine="297"/>
        <w:spacing w:after="0" w:line="268" w:lineRule="auto"/>
        <w:rPr>
          <w:sz w:val="20"/>
          <w:szCs w:val="20"/>
          <w:color w:val="auto"/>
        </w:rPr>
      </w:pPr>
      <w:r>
        <w:rPr>
          <w:rFonts w:ascii="Arial" w:cs="Arial" w:eastAsia="Arial" w:hAnsi="Arial"/>
          <w:sz w:val="16"/>
          <w:szCs w:val="16"/>
          <w:color w:val="auto"/>
        </w:rPr>
        <w:t>Our DC segment consists of operations in connection with the DC Model. provides a variety of programs aimed at reducing expenditures and preserving or enhancing quality of care for DCE Beneficiaries. We measure Direct Contracting revenue and medical claims on a per-beneficiary per-month (PBPM) basis. In the aggregate, we view these as important metrics to assess our financial performance, including our ability to reduce expenditures and preserve or enhance quality of care for DCE Beneficiaries.</w:t>
      </w:r>
    </w:p>
    <w:p>
      <w:pPr>
        <w:spacing w:after="0" w:line="370"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438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3"/>
                <w:szCs w:val="13"/>
                <w:b w:val="1"/>
                <w:bCs w:val="1"/>
                <w:color w:val="auto"/>
              </w:rPr>
              <w:t>Nine Months Ended September 30, 2021</w:t>
            </w:r>
          </w:p>
        </w:tc>
        <w:tc>
          <w:tcPr>
            <w:tcW w:w="1800" w:type="dxa"/>
            <w:vAlign w:val="bottom"/>
            <w:tcBorders>
              <w:bottom w:val="single" w:sz="8" w:color="auto"/>
            </w:tcBorders>
          </w:tcPr>
          <w:p>
            <w:pPr>
              <w:spacing w:after="0"/>
              <w:rPr>
                <w:sz w:val="15"/>
                <w:szCs w:val="15"/>
                <w:color w:val="auto"/>
              </w:rPr>
            </w:pPr>
          </w:p>
        </w:tc>
      </w:tr>
      <w:tr>
        <w:trPr>
          <w:trHeight w:val="168"/>
        </w:trPr>
        <w:tc>
          <w:tcPr>
            <w:tcW w:w="5000" w:type="dxa"/>
            <w:vAlign w:val="bottom"/>
          </w:tcPr>
          <w:p>
            <w:pPr>
              <w:spacing w:after="0"/>
              <w:rPr>
                <w:sz w:val="14"/>
                <w:szCs w:val="14"/>
                <w:color w:val="auto"/>
              </w:rPr>
            </w:pPr>
          </w:p>
        </w:tc>
        <w:tc>
          <w:tcPr>
            <w:tcW w:w="3180" w:type="dxa"/>
            <w:vAlign w:val="bottom"/>
            <w:tcBorders>
              <w:bottom w:val="single" w:sz="8" w:color="auto"/>
            </w:tcBorders>
          </w:tcPr>
          <w:p>
            <w:pPr>
              <w:jc w:val="right"/>
              <w:ind w:right="1405"/>
              <w:spacing w:after="0"/>
              <w:rPr>
                <w:sz w:val="20"/>
                <w:szCs w:val="20"/>
                <w:color w:val="auto"/>
              </w:rPr>
            </w:pPr>
            <w:r>
              <w:rPr>
                <w:rFonts w:ascii="Arial" w:cs="Arial" w:eastAsia="Arial" w:hAnsi="Arial"/>
                <w:sz w:val="13"/>
                <w:szCs w:val="13"/>
                <w:b w:val="1"/>
                <w:bCs w:val="1"/>
                <w:color w:val="auto"/>
              </w:rPr>
              <w:t>Total</w:t>
            </w:r>
          </w:p>
        </w:tc>
        <w:tc>
          <w:tcPr>
            <w:tcW w:w="1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1201"/>
              <w:spacing w:after="0"/>
              <w:rPr>
                <w:sz w:val="20"/>
                <w:szCs w:val="20"/>
                <w:color w:val="auto"/>
              </w:rPr>
            </w:pPr>
            <w:r>
              <w:rPr>
                <w:rFonts w:ascii="Arial" w:cs="Arial" w:eastAsia="Arial" w:hAnsi="Arial"/>
                <w:sz w:val="13"/>
                <w:szCs w:val="13"/>
                <w:b w:val="1"/>
                <w:bCs w:val="1"/>
                <w:color w:val="auto"/>
              </w:rPr>
              <w:t>PBPM</w:t>
            </w:r>
          </w:p>
        </w:tc>
      </w:tr>
      <w:tr>
        <w:trPr>
          <w:trHeight w:val="169"/>
        </w:trPr>
        <w:tc>
          <w:tcPr>
            <w:tcW w:w="5000" w:type="dxa"/>
            <w:vAlign w:val="bottom"/>
          </w:tcPr>
          <w:p>
            <w:pPr>
              <w:ind w:left="20"/>
              <w:spacing w:after="0" w:line="169" w:lineRule="exact"/>
              <w:rPr>
                <w:sz w:val="20"/>
                <w:szCs w:val="20"/>
                <w:color w:val="auto"/>
              </w:rPr>
            </w:pPr>
            <w:r>
              <w:rPr>
                <w:rFonts w:ascii="Arial" w:cs="Arial" w:eastAsia="Arial" w:hAnsi="Arial"/>
                <w:sz w:val="13"/>
                <w:szCs w:val="13"/>
                <w:b w:val="1"/>
                <w:bCs w:val="1"/>
                <w:color w:val="auto"/>
              </w:rPr>
              <w:t xml:space="preserve">Direct Contracting Data </w:t>
            </w:r>
            <w:r>
              <w:rPr>
                <w:rFonts w:ascii="Arial" w:cs="Arial" w:eastAsia="Arial" w:hAnsi="Arial"/>
                <w:sz w:val="17"/>
                <w:szCs w:val="17"/>
                <w:b w:val="1"/>
                <w:bCs w:val="1"/>
                <w:color w:val="auto"/>
                <w:vertAlign w:val="superscript"/>
              </w:rPr>
              <w:t>(1)</w:t>
            </w:r>
          </w:p>
        </w:tc>
        <w:tc>
          <w:tcPr>
            <w:tcW w:w="6180" w:type="dxa"/>
            <w:vAlign w:val="bottom"/>
            <w:gridSpan w:val="3"/>
          </w:tcPr>
          <w:p>
            <w:pPr>
              <w:jc w:val="right"/>
              <w:ind w:right="1201"/>
              <w:spacing w:after="0"/>
              <w:rPr>
                <w:sz w:val="20"/>
                <w:szCs w:val="20"/>
                <w:color w:val="auto"/>
              </w:rPr>
            </w:pPr>
            <w:r>
              <w:rPr>
                <w:rFonts w:ascii="Arial" w:cs="Arial" w:eastAsia="Arial" w:hAnsi="Arial"/>
                <w:sz w:val="13"/>
                <w:szCs w:val="13"/>
                <w:color w:val="auto"/>
              </w:rPr>
              <w:t>(Revenue and claims amounts in thousands, except PBPM amounts)</w:t>
            </w:r>
          </w:p>
        </w:tc>
      </w:tr>
      <w:tr>
        <w:trPr>
          <w:trHeight w:val="210"/>
        </w:trPr>
        <w:tc>
          <w:tcPr>
            <w:tcW w:w="5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Beneficiaries as of period end (#)</w:t>
            </w:r>
          </w:p>
        </w:tc>
        <w:tc>
          <w:tcPr>
            <w:tcW w:w="31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61,818</w:t>
            </w:r>
          </w:p>
        </w:tc>
        <w:tc>
          <w:tcPr>
            <w:tcW w:w="1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0"/>
        </w:trPr>
        <w:tc>
          <w:tcPr>
            <w:tcW w:w="5000" w:type="dxa"/>
            <w:vAlign w:val="bottom"/>
          </w:tcPr>
          <w:p>
            <w:pPr>
              <w:ind w:left="80"/>
              <w:spacing w:after="0"/>
              <w:rPr>
                <w:sz w:val="20"/>
                <w:szCs w:val="20"/>
                <w:color w:val="auto"/>
              </w:rPr>
            </w:pPr>
            <w:r>
              <w:rPr>
                <w:rFonts w:ascii="Arial" w:cs="Arial" w:eastAsia="Arial" w:hAnsi="Arial"/>
                <w:sz w:val="16"/>
                <w:szCs w:val="16"/>
                <w:color w:val="auto"/>
              </w:rPr>
              <w:t>Direct Contracting revenue</w:t>
            </w:r>
          </w:p>
        </w:tc>
        <w:tc>
          <w:tcPr>
            <w:tcW w:w="3180" w:type="dxa"/>
            <w:vAlign w:val="bottom"/>
          </w:tcPr>
          <w:p>
            <w:pPr>
              <w:jc w:val="right"/>
              <w:ind w:right="185"/>
              <w:spacing w:after="0"/>
              <w:rPr>
                <w:sz w:val="20"/>
                <w:szCs w:val="20"/>
                <w:color w:val="auto"/>
              </w:rPr>
            </w:pPr>
            <w:r>
              <w:rPr>
                <w:rFonts w:ascii="Arial" w:cs="Arial" w:eastAsia="Arial" w:hAnsi="Arial"/>
                <w:sz w:val="16"/>
                <w:szCs w:val="16"/>
                <w:color w:val="auto"/>
              </w:rPr>
              <w:t>439,020</w:t>
            </w:r>
          </w:p>
        </w:tc>
        <w:tc>
          <w:tcPr>
            <w:tcW w:w="1200" w:type="dxa"/>
            <w:vAlign w:val="bottom"/>
          </w:tcPr>
          <w:p>
            <w:pPr>
              <w:jc w:val="right"/>
              <w:ind w:right="978"/>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1"/>
        </w:trPr>
        <w:tc>
          <w:tcPr>
            <w:tcW w:w="5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medical claims incurred</w:t>
            </w:r>
          </w:p>
        </w:tc>
        <w:tc>
          <w:tcPr>
            <w:tcW w:w="31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469,972</w:t>
            </w:r>
          </w:p>
        </w:tc>
        <w:tc>
          <w:tcPr>
            <w:tcW w:w="1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78"/>
        </w:trPr>
        <w:tc>
          <w:tcPr>
            <w:tcW w:w="5000" w:type="dxa"/>
            <w:vAlign w:val="bottom"/>
          </w:tcPr>
          <w:p>
            <w:pPr>
              <w:ind w:left="80"/>
              <w:spacing w:after="0"/>
              <w:rPr>
                <w:sz w:val="20"/>
                <w:szCs w:val="20"/>
                <w:color w:val="auto"/>
              </w:rPr>
            </w:pPr>
            <w:r>
              <w:rPr>
                <w:rFonts w:ascii="Arial" w:cs="Arial" w:eastAsia="Arial" w:hAnsi="Arial"/>
                <w:sz w:val="16"/>
                <w:szCs w:val="16"/>
                <w:color w:val="auto"/>
              </w:rPr>
              <w:t>Direct Contracting margin</w:t>
            </w:r>
            <w:r>
              <w:rPr>
                <w:rFonts w:ascii="Arial" w:cs="Arial" w:eastAsia="Arial" w:hAnsi="Arial"/>
                <w:sz w:val="21"/>
                <w:szCs w:val="21"/>
                <w:color w:val="auto"/>
                <w:vertAlign w:val="superscript"/>
              </w:rPr>
              <w:t>(2)</w:t>
            </w:r>
          </w:p>
        </w:tc>
        <w:tc>
          <w:tcPr>
            <w:tcW w:w="3180" w:type="dxa"/>
            <w:vAlign w:val="bottom"/>
          </w:tcPr>
          <w:p>
            <w:pPr>
              <w:jc w:val="right"/>
              <w:ind w:right="5"/>
              <w:spacing w:after="0"/>
              <w:rPr>
                <w:sz w:val="20"/>
                <w:szCs w:val="20"/>
                <w:color w:val="auto"/>
              </w:rPr>
            </w:pPr>
            <w:r>
              <w:rPr>
                <w:rFonts w:ascii="Arial" w:cs="Arial" w:eastAsia="Arial" w:hAnsi="Arial"/>
                <w:sz w:val="16"/>
                <w:szCs w:val="16"/>
                <w:color w:val="auto"/>
              </w:rPr>
              <w:t>107.1 %</w:t>
            </w:r>
          </w:p>
        </w:tc>
        <w:tc>
          <w:tcPr>
            <w:tcW w:w="1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81" w:hanging="281"/>
        <w:spacing w:after="0"/>
        <w:tabs>
          <w:tab w:leader="none" w:pos="281"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began participating in Direct Contracting in April 2021.</w:t>
      </w:r>
    </w:p>
    <w:p>
      <w:pPr>
        <w:ind w:left="281" w:hanging="281"/>
        <w:spacing w:after="0"/>
        <w:tabs>
          <w:tab w:leader="none" w:pos="281"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Defined as net medical claims incurred divided by Direct Contracting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79" w:name="page80"/>
    <w:bookmarkEnd w:id="79"/>
    <w:p>
      <w:pPr>
        <w:spacing w:after="0" w:line="23"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Additionally, our Direct Contracting margin for the three months ended September 30, 2021 was 102.7%, which represented an over 900 basis point improvement sequentially from the prior quarter.</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Beneficiaries</w:t>
      </w:r>
    </w:p>
    <w:p>
      <w:pPr>
        <w:spacing w:after="0" w:line="162"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A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Direct Contracting Revenue</w:t>
      </w:r>
    </w:p>
    <w:p>
      <w:pPr>
        <w:spacing w:after="0" w:line="162" w:lineRule="exact"/>
        <w:rPr>
          <w:sz w:val="20"/>
          <w:szCs w:val="20"/>
          <w:color w:val="auto"/>
        </w:rPr>
      </w:pPr>
    </w:p>
    <w:p>
      <w:pPr>
        <w:ind w:right="20" w:firstLine="297"/>
        <w:spacing w:after="0" w:line="283" w:lineRule="auto"/>
        <w:rPr>
          <w:sz w:val="20"/>
          <w:szCs w:val="20"/>
          <w:color w:val="auto"/>
        </w:rPr>
      </w:pPr>
      <w:r>
        <w:rPr>
          <w:rFonts w:ascii="Arial" w:cs="Arial" w:eastAsia="Arial" w:hAnsi="Arial"/>
          <w:sz w:val="15"/>
          <w:szCs w:val="15"/>
          <w:color w:val="auto"/>
        </w:rPr>
        <w:t>Direct Contracting revenue represents CMS’s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as applicable. Premiums and recoupments incurred in direct relation to the DC Model are recognized as a reduction or increase in Direct Contracting revenue, as applicable. We believe Direct Contracting revenue provides useful insight into the gross economic benefit generated by our business operations and allows us to evaluate our performance without regard to changes in our underlying reinsurance structure.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Medical Claims Incurred (Direct Contracting)</w:t>
      </w:r>
    </w:p>
    <w:p>
      <w:pPr>
        <w:spacing w:after="0" w:line="162" w:lineRule="exact"/>
        <w:rPr>
          <w:sz w:val="20"/>
          <w:szCs w:val="20"/>
          <w:color w:val="auto"/>
        </w:rPr>
      </w:pPr>
    </w:p>
    <w:p>
      <w:pPr>
        <w:ind w:right="120" w:firstLine="297"/>
        <w:spacing w:after="0" w:line="268" w:lineRule="auto"/>
        <w:rPr>
          <w:sz w:val="20"/>
          <w:szCs w:val="20"/>
          <w:color w:val="auto"/>
        </w:rPr>
      </w:pPr>
      <w:r>
        <w:rPr>
          <w:rFonts w:ascii="Arial" w:cs="Arial" w:eastAsia="Arial" w:hAnsi="Arial"/>
          <w:sz w:val="16"/>
          <w:szCs w:val="16"/>
          <w:color w:val="auto"/>
        </w:rPr>
        <w:t>Net medical claims incurred consists of the total incurred expense that CMS and we will remit for medical services provided on behalf of DCE Beneficiaries during the months in which they are alignment eligible and aligned to the DCE. Additionally, net medical claims incurred is inclusive of fees paid to providers for Clover Assistant usage, care coordination, and any shared savings or shared loss agreements with providers. Net medical claims incurred is presented on our Condensed Consolidated Statements of Operations and Comprehensive Loss in accordance with GAAP.</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Direct Contracting Margin (DCM)</w:t>
      </w:r>
    </w:p>
    <w:p>
      <w:pPr>
        <w:spacing w:after="0" w:line="162" w:lineRule="exact"/>
        <w:rPr>
          <w:sz w:val="20"/>
          <w:szCs w:val="20"/>
          <w:color w:val="auto"/>
        </w:rPr>
      </w:pPr>
    </w:p>
    <w:p>
      <w:pPr>
        <w:ind w:right="80" w:firstLine="297"/>
        <w:spacing w:after="0" w:line="366" w:lineRule="auto"/>
        <w:rPr>
          <w:sz w:val="20"/>
          <w:szCs w:val="20"/>
          <w:color w:val="auto"/>
        </w:rPr>
      </w:pPr>
      <w:r>
        <w:rPr>
          <w:rFonts w:ascii="Arial" w:cs="Arial" w:eastAsia="Arial" w:hAnsi="Arial"/>
          <w:sz w:val="14"/>
          <w:szCs w:val="14"/>
          <w:color w:val="auto"/>
        </w:rPr>
        <w:t>We calculate our DCM by dividing net medical claims incurred by Direct Contracting revenue in a given period. We believe our DCM is an indicator of our gross profitability and the ability to capture and analyze data over time to generate actionable insights for returning beneficiaries to improve care and reduce medical expenses.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66"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In addition to the components described below, additional components of our results of operations include Premiums Earned, net, Direct Contracting revenue and Net Medical Claims Incurred, which are described in the “Key Performance Measures of Our Operating Segments” section above.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Other Income</w:t>
      </w:r>
    </w:p>
    <w:p>
      <w:pPr>
        <w:spacing w:after="0" w:line="16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Other income primarily consists of income earned from rental agreements with third parties for subleases of our leased office facilities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w:t>
      </w:r>
    </w:p>
    <w:p>
      <w:pPr>
        <w:spacing w:after="0" w:line="118"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Other income also includes interest earned from fixed-maturity securities, short-term securities and other investments, the gains or losses on sales and maturities of investments. Our cash and invested assets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Salaries and Benefits</w:t>
      </w:r>
    </w:p>
    <w:p>
      <w:pPr>
        <w:spacing w:after="0" w:line="162" w:lineRule="exact"/>
        <w:rPr>
          <w:sz w:val="20"/>
          <w:szCs w:val="20"/>
          <w:color w:val="auto"/>
        </w:rPr>
      </w:pPr>
    </w:p>
    <w:p>
      <w:pPr>
        <w:ind w:right="580" w:firstLine="297"/>
        <w:spacing w:after="0" w:line="290" w:lineRule="auto"/>
        <w:rPr>
          <w:sz w:val="20"/>
          <w:szCs w:val="20"/>
          <w:color w:val="auto"/>
        </w:rPr>
      </w:pPr>
      <w:r>
        <w:rPr>
          <w:rFonts w:ascii="Arial" w:cs="Arial" w:eastAsia="Arial" w:hAnsi="Arial"/>
          <w:sz w:val="16"/>
          <w:szCs w:val="16"/>
          <w:color w:val="auto"/>
        </w:rPr>
        <w:t>Salaries and benefits consist of salaries, sales commissions, stock-based compensation expense, employee benefit costs, severance costs and payroll taxes for employees.</w:t>
      </w:r>
    </w:p>
    <w:p>
      <w:pPr>
        <w:spacing w:after="0" w:line="99"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162"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00" w:lineRule="exact"/>
        <w:rPr>
          <w:sz w:val="20"/>
          <w:szCs w:val="20"/>
          <w:color w:val="auto"/>
        </w:rPr>
      </w:pPr>
    </w:p>
    <w:p>
      <w:pPr>
        <w:jc w:val="both"/>
        <w:ind w:right="500" w:firstLine="297"/>
        <w:spacing w:after="0" w:line="274" w:lineRule="auto"/>
        <w:rPr>
          <w:sz w:val="20"/>
          <w:szCs w:val="20"/>
          <w:color w:val="auto"/>
        </w:rPr>
      </w:pPr>
      <w:r>
        <w:rPr>
          <w:rFonts w:ascii="Arial" w:cs="Arial" w:eastAsia="Arial" w:hAnsi="Arial"/>
          <w:sz w:val="16"/>
          <w:szCs w:val="16"/>
          <w:color w:val="auto"/>
        </w:rPr>
        <w:t>We are subject to the ACA, which established insurance industry assessments, including an annual health insurance industry fee. The annual health insurance industry fee was suspended in 2019. In 2020, the fee incurred and paid by the Corporation was approximately $8.0 million. The fee has been permanently repealed beginning in 2021.</w:t>
      </w:r>
    </w:p>
    <w:p>
      <w:pPr>
        <w:spacing w:after="0" w:line="112" w:lineRule="exact"/>
        <w:rPr>
          <w:sz w:val="20"/>
          <w:szCs w:val="20"/>
          <w:color w:val="auto"/>
        </w:rPr>
      </w:pPr>
    </w:p>
    <w:p>
      <w:pPr>
        <w:ind w:right="200" w:firstLine="297"/>
        <w:spacing w:after="0" w:line="292" w:lineRule="auto"/>
        <w:rPr>
          <w:sz w:val="20"/>
          <w:szCs w:val="20"/>
          <w:color w:val="auto"/>
        </w:rPr>
      </w:pPr>
      <w:r>
        <w:rPr>
          <w:rFonts w:ascii="Arial" w:cs="Arial" w:eastAsia="Arial" w:hAnsi="Arial"/>
          <w:sz w:val="15"/>
          <w:szCs w:val="15"/>
          <w:color w:val="auto"/>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 Deficiency Reserve Expense (Benefit)</w:t>
      </w:r>
    </w:p>
    <w:p>
      <w:pPr>
        <w:spacing w:after="0" w:line="162" w:lineRule="exact"/>
        <w:rPr>
          <w:sz w:val="20"/>
          <w:szCs w:val="20"/>
          <w:color w:val="auto"/>
        </w:rPr>
      </w:pPr>
    </w:p>
    <w:p>
      <w:pPr>
        <w:ind w:right="120" w:firstLine="297"/>
        <w:spacing w:after="0" w:line="264" w:lineRule="auto"/>
        <w:rPr>
          <w:sz w:val="20"/>
          <w:szCs w:val="20"/>
          <w:color w:val="auto"/>
        </w:rPr>
      </w:pPr>
      <w:r>
        <w:rPr>
          <w:rFonts w:ascii="Arial" w:cs="Arial" w:eastAsia="Arial" w:hAnsi="Arial"/>
          <w:sz w:val="16"/>
          <w:szCs w:val="16"/>
          <w:color w:val="auto"/>
        </w:rPr>
        <w:t>Premium deficiency reserves are established to the extent that the sum of expected future costs, claim adjustment expenses, and maintenance costs exceeds related future premiums. We assess the profitability of our contracts with CMS to identify those contracts where current operating results or forecasts indicate probable future losses. Premium deficiency reserve expense (benefit)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62" w:lineRule="exact"/>
        <w:rPr>
          <w:sz w:val="20"/>
          <w:szCs w:val="20"/>
          <w:color w:val="auto"/>
        </w:rPr>
      </w:pPr>
    </w:p>
    <w:p>
      <w:pPr>
        <w:ind w:right="260" w:firstLine="297"/>
        <w:spacing w:after="0" w:line="290" w:lineRule="auto"/>
        <w:rPr>
          <w:sz w:val="20"/>
          <w:szCs w:val="20"/>
          <w:color w:val="auto"/>
        </w:rPr>
      </w:pPr>
      <w:r>
        <w:rPr>
          <w:rFonts w:ascii="Arial" w:cs="Arial" w:eastAsia="Arial" w:hAnsi="Arial"/>
          <w:sz w:val="16"/>
          <w:szCs w:val="16"/>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Other Expense</w:t>
      </w:r>
    </w:p>
    <w:p>
      <w:pPr>
        <w:spacing w:after="0" w:line="162" w:lineRule="exact"/>
        <w:rPr>
          <w:sz w:val="20"/>
          <w:szCs w:val="20"/>
          <w:color w:val="auto"/>
        </w:rPr>
      </w:pPr>
    </w:p>
    <w:p>
      <w:pPr>
        <w:ind w:right="300" w:firstLine="297"/>
        <w:spacing w:after="0" w:line="274" w:lineRule="auto"/>
        <w:rPr>
          <w:sz w:val="20"/>
          <w:szCs w:val="20"/>
          <w:color w:val="auto"/>
        </w:rPr>
      </w:pPr>
      <w:r>
        <w:rPr>
          <w:rFonts w:ascii="Arial" w:cs="Arial" w:eastAsia="Arial" w:hAnsi="Arial"/>
          <w:sz w:val="16"/>
          <w:szCs w:val="16"/>
          <w:color w:val="auto"/>
        </w:rPr>
        <w:t>Other expense consists primarily of debt issuance costs incurred in connection with the issuance of an aggregate of $373.8 million initial principal amount of convertible securities (Convertible Securities) in February, March, May, and August 2019. The Convertible Securities were converted into shares of the Corporation’s Class B common stock upon the completion of the Business Combination on January 7, 2021.</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Change in Fair Value of Warrants Payable</w:t>
      </w:r>
    </w:p>
    <w:p>
      <w:pPr>
        <w:spacing w:after="0" w:line="162"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Change in fair value of warrants payable is related to a mark-to-market adjustment associated with warrants to purchase our capital stock. In connection with the Closing, the warrants of Legacy Clover automatically converted into shares of Class B Common Stock, and we are no longer required to re-measure the value of those warrants. Change in fair value of warrants payable for our Public Warrants and Private Placement Warrants assumed in connection with the Business Combination reflects the mark-to-market adjustment associated with warrants to purchase our Class A Common Stock from January 7, 2021, through the end of the reporting period. The change in fair value of warrants payable is inclusive of the warrant amortization expense associated with the warrants payable in each period.</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2"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Interest expense consists mostly of interest expense associated with our previously outstanding non-convertible notes (Term Loan Notes) under a term loan facility entered into by the Corporation on March 21, 2017, for an aggregate principal amount of $60.0 million (the “Loan Facility”). All remaining principal and accrued interest under the Loan Facility was voluntarily paid, and the facility was terminated, as of June 29, 2021.</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Amortization of Notes and Securities Discounts</w:t>
      </w:r>
    </w:p>
    <w:p>
      <w:pPr>
        <w:spacing w:after="0" w:line="162" w:lineRule="exact"/>
        <w:rPr>
          <w:sz w:val="20"/>
          <w:szCs w:val="20"/>
          <w:color w:val="auto"/>
        </w:rPr>
      </w:pPr>
    </w:p>
    <w:p>
      <w:pPr>
        <w:ind w:right="280" w:firstLine="297"/>
        <w:spacing w:after="0" w:line="290" w:lineRule="auto"/>
        <w:rPr>
          <w:sz w:val="20"/>
          <w:szCs w:val="20"/>
          <w:color w:val="auto"/>
        </w:rPr>
      </w:pPr>
      <w:r>
        <w:rPr>
          <w:rFonts w:ascii="Arial" w:cs="Arial" w:eastAsia="Arial" w:hAnsi="Arial"/>
          <w:sz w:val="16"/>
          <w:szCs w:val="16"/>
          <w:color w:val="auto"/>
        </w:rPr>
        <w:t>Amortization of notes and securities discounts consists of amortization of the debt discount associated with the Convertible Securities, warrants and debt issuance costs associated with the Term Loan Notes.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Loss on Derivative</w:t>
      </w:r>
    </w:p>
    <w:p>
      <w:pPr>
        <w:spacing w:after="0" w:line="162" w:lineRule="exact"/>
        <w:rPr>
          <w:sz w:val="20"/>
          <w:szCs w:val="20"/>
          <w:color w:val="auto"/>
        </w:rPr>
      </w:pPr>
    </w:p>
    <w:p>
      <w:pPr>
        <w:ind w:right="740" w:firstLine="297"/>
        <w:spacing w:after="0" w:line="290" w:lineRule="auto"/>
        <w:rPr>
          <w:sz w:val="20"/>
          <w:szCs w:val="20"/>
          <w:color w:val="auto"/>
        </w:rPr>
      </w:pPr>
      <w:r>
        <w:rPr>
          <w:rFonts w:ascii="Arial" w:cs="Arial" w:eastAsia="Arial" w:hAnsi="Arial"/>
          <w:sz w:val="16"/>
          <w:szCs w:val="16"/>
          <w:color w:val="auto"/>
        </w:rPr>
        <w:t>(Gain) loss on derivative consisted of (gain) loss on embedded derivatives contained in the Convertible Securities. The embedded derivatives related to the conversion features of the Convertible Securities, which reflected a premium above the principal and accrued interest thereon.</w:t>
      </w:r>
    </w:p>
    <w:p>
      <w:pPr>
        <w:spacing w:after="0" w:line="99"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We recorded a gain or loss on derivative based on changes in fair value of the embedded derivatives contained in the Convertible Securities. The carrying amounts of these embedded derivatives were recorded at fair value at issuance, marked-to-market as of each balance sheet date, and changes in fair value were reported as either income or expense during the period.</w:t>
      </w:r>
    </w:p>
    <w:p>
      <w:pPr>
        <w:spacing w:after="0" w:line="112" w:lineRule="exact"/>
        <w:rPr>
          <w:sz w:val="20"/>
          <w:szCs w:val="20"/>
          <w:color w:val="auto"/>
        </w:rPr>
      </w:pPr>
    </w:p>
    <w:p>
      <w:pPr>
        <w:ind w:right="140" w:firstLine="297"/>
        <w:spacing w:after="0" w:line="292" w:lineRule="auto"/>
        <w:rPr>
          <w:sz w:val="20"/>
          <w:szCs w:val="20"/>
          <w:color w:val="auto"/>
        </w:rPr>
      </w:pPr>
      <w:r>
        <w:rPr>
          <w:rFonts w:ascii="Arial" w:cs="Arial" w:eastAsia="Arial" w:hAnsi="Arial"/>
          <w:sz w:val="15"/>
          <w:szCs w:val="15"/>
          <w:color w:val="auto"/>
        </w:rPr>
        <w:t>To estimate the fair value attributable to these features, we estimated the value of the Convertible Securities (i) with the embedded derivatives and (ii) without the embedded derivatives. The incremental difference between the two values was then used to estimate the fair value of the embedded derivatives. A probability-weighted present value of expected future returns model was then used to estimate the value of the conversion features under various probable scenarios. The assumptions used to arrive at the estimated fair value generally included the stock price, strike price, volatility, risk-free rate, and time to maturity, among others.</w:t>
      </w:r>
    </w:p>
    <w:p>
      <w:pPr>
        <w:spacing w:after="0" w:line="100"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On January 7, 2021, in connection with the Closing, the Convertible Securities converted to shares of the Corporation’s common stock and the associated derivative liability was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Comparison of the Three Months Ended September 30, 2021 and 2020</w:t>
      </w:r>
    </w:p>
    <w:p>
      <w:pPr>
        <w:spacing w:after="0" w:line="16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The following table summarizes our consolidated results of operations for the three months ended September, 30, 2021 and 2020. The period-to-period comparison of results is not necessarily indicative of results for future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vMerge w:val="restart"/>
          </w:tcPr>
          <w:p>
            <w:pPr>
              <w:jc w:val="right"/>
              <w:ind w:right="5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51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ind w:left="200"/>
              <w:spacing w:after="0" w:line="111" w:lineRule="exact"/>
              <w:rPr>
                <w:sz w:val="20"/>
                <w:szCs w:val="20"/>
                <w:color w:val="auto"/>
              </w:rPr>
            </w:pPr>
            <w:r>
              <w:rPr>
                <w:rFonts w:ascii="Arial" w:cs="Arial" w:eastAsia="Arial" w:hAnsi="Arial"/>
                <w:sz w:val="12"/>
                <w:szCs w:val="12"/>
                <w:b w:val="1"/>
                <w:bCs w:val="1"/>
                <w:color w:val="auto"/>
              </w:rPr>
              <w:t>Change</w:t>
            </w:r>
          </w:p>
        </w:tc>
        <w:tc>
          <w:tcPr>
            <w:tcW w:w="1540" w:type="dxa"/>
            <w:vAlign w:val="bottom"/>
          </w:tcPr>
          <w:p>
            <w:pPr>
              <w:jc w:val="right"/>
              <w:ind w:right="480"/>
              <w:spacing w:after="0" w:line="111"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54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ind w:right="18"/>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20" w:type="dxa"/>
            <w:vAlign w:val="bottom"/>
          </w:tcPr>
          <w:p>
            <w:pPr>
              <w:ind w:left="220"/>
              <w:spacing w:after="0" w:line="161" w:lineRule="exact"/>
              <w:rPr>
                <w:sz w:val="20"/>
                <w:szCs w:val="20"/>
                <w:color w:val="auto"/>
              </w:rPr>
            </w:pPr>
            <w:r>
              <w:rPr>
                <w:rFonts w:ascii="Arial" w:cs="Arial" w:eastAsia="Arial" w:hAnsi="Arial"/>
                <w:sz w:val="16"/>
                <w:szCs w:val="16"/>
                <w:color w:val="auto"/>
                <w:w w:val="95"/>
              </w:rPr>
              <w:t>Premiums earned, net (Net of ceded premiums of $120 and $126 for the</w:t>
            </w: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203,657</w:t>
            </w:r>
          </w:p>
        </w:tc>
        <w:tc>
          <w:tcPr>
            <w:tcW w:w="100" w:type="dxa"/>
            <w:vAlign w:val="bottom"/>
          </w:tcPr>
          <w:p>
            <w:pPr>
              <w:spacing w:after="0"/>
              <w:rPr>
                <w:sz w:val="13"/>
                <w:szCs w:val="13"/>
                <w:color w:val="auto"/>
              </w:rPr>
            </w:pPr>
          </w:p>
        </w:tc>
        <w:tc>
          <w:tcPr>
            <w:tcW w:w="460" w:type="dxa"/>
            <w:vAlign w:val="bottom"/>
            <w:vMerge w:val="restart"/>
          </w:tcPr>
          <w:p>
            <w:pPr>
              <w:jc w:val="right"/>
              <w:ind w:right="278"/>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167,075</w:t>
            </w:r>
          </w:p>
        </w:tc>
        <w:tc>
          <w:tcPr>
            <w:tcW w:w="100" w:type="dxa"/>
            <w:vAlign w:val="bottom"/>
          </w:tcPr>
          <w:p>
            <w:pPr>
              <w:spacing w:after="0"/>
              <w:rPr>
                <w:sz w:val="13"/>
                <w:szCs w:val="13"/>
                <w:color w:val="auto"/>
              </w:rPr>
            </w:pPr>
          </w:p>
        </w:tc>
        <w:tc>
          <w:tcPr>
            <w:tcW w:w="280" w:type="dxa"/>
            <w:vAlign w:val="bottom"/>
            <w:vMerge w:val="restart"/>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36,582</w:t>
            </w:r>
          </w:p>
        </w:tc>
        <w:tc>
          <w:tcPr>
            <w:tcW w:w="10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10"/>
        </w:trPr>
        <w:tc>
          <w:tcPr>
            <w:tcW w:w="5120" w:type="dxa"/>
            <w:vAlign w:val="bottom"/>
          </w:tcPr>
          <w:p>
            <w:pPr>
              <w:ind w:left="360"/>
              <w:spacing w:after="0"/>
              <w:rPr>
                <w:sz w:val="20"/>
                <w:szCs w:val="20"/>
                <w:color w:val="auto"/>
              </w:rPr>
            </w:pPr>
            <w:r>
              <w:rPr>
                <w:rFonts w:ascii="Arial" w:cs="Arial" w:eastAsia="Arial" w:hAnsi="Arial"/>
                <w:sz w:val="16"/>
                <w:szCs w:val="16"/>
                <w:color w:val="auto"/>
              </w:rPr>
              <w:t>three months ended September 30, 2021 and 2020, respectively)</w:t>
            </w:r>
          </w:p>
        </w:tc>
        <w:tc>
          <w:tcPr>
            <w:tcW w:w="2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Contracting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427,163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258,094</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medical claims incurred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291,576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0"/>
        </w:trPr>
        <w:tc>
          <w:tcPr>
            <w:tcW w:w="5120" w:type="dxa"/>
            <w:vAlign w:val="bottom"/>
          </w:tcPr>
          <w:p>
            <w:pPr>
              <w:ind w:left="220"/>
              <w:spacing w:after="0"/>
              <w:rPr>
                <w:sz w:val="20"/>
                <w:szCs w:val="20"/>
                <w:color w:val="auto"/>
              </w:rPr>
            </w:pPr>
            <w:r>
              <w:rPr>
                <w:rFonts w:ascii="Arial" w:cs="Arial" w:eastAsia="Arial" w:hAnsi="Arial"/>
                <w:sz w:val="16"/>
                <w:szCs w:val="16"/>
                <w:color w:val="auto"/>
              </w:rPr>
              <w:t>Salaries and benefits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73,364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56,736</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0"/>
        </w:trPr>
        <w:tc>
          <w:tcPr>
            <w:tcW w:w="5120" w:type="dxa"/>
            <w:vAlign w:val="bottom"/>
          </w:tcPr>
          <w:p>
            <w:pPr>
              <w:ind w:left="220"/>
              <w:spacing w:after="0"/>
              <w:rPr>
                <w:sz w:val="20"/>
                <w:szCs w:val="20"/>
                <w:color w:val="auto"/>
              </w:rPr>
            </w:pPr>
            <w:r>
              <w:rPr>
                <w:rFonts w:ascii="Arial" w:cs="Arial" w:eastAsia="Arial" w:hAnsi="Arial"/>
                <w:sz w:val="16"/>
                <w:szCs w:val="16"/>
                <w:color w:val="auto"/>
              </w:rPr>
              <w:t>Premium deficiency reserve expense (benefit)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21,533</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2789.2</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576,416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385,729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(149,253)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(127,635)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590.4</w:t>
            </w:r>
          </w:p>
        </w:tc>
        <w:tc>
          <w:tcPr>
            <w:tcW w:w="0" w:type="dxa"/>
            <w:vAlign w:val="bottom"/>
          </w:tcPr>
          <w:p>
            <w:pPr>
              <w:spacing w:after="0"/>
              <w:rPr>
                <w:sz w:val="1"/>
                <w:szCs w:val="1"/>
                <w:color w:val="auto"/>
              </w:rPr>
            </w:pPr>
          </w:p>
        </w:tc>
      </w:tr>
      <w:tr>
        <w:trPr>
          <w:trHeight w:val="136"/>
        </w:trPr>
        <w:tc>
          <w:tcPr>
            <w:tcW w:w="5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warrants payable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(135,181)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10"/>
        </w:trPr>
        <w:tc>
          <w:tcPr>
            <w:tcW w:w="51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notes and securities discount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10"/>
        </w:trPr>
        <w:tc>
          <w:tcPr>
            <w:tcW w:w="5120" w:type="dxa"/>
            <w:vAlign w:val="bottom"/>
          </w:tcPr>
          <w:p>
            <w:pPr>
              <w:ind w:left="220"/>
              <w:spacing w:after="0"/>
              <w:rPr>
                <w:sz w:val="20"/>
                <w:szCs w:val="20"/>
                <w:color w:val="auto"/>
              </w:rPr>
            </w:pPr>
            <w:r>
              <w:rPr>
                <w:rFonts w:ascii="Arial" w:cs="Arial" w:eastAsia="Arial" w:hAnsi="Arial"/>
                <w:sz w:val="16"/>
                <w:szCs w:val="16"/>
                <w:color w:val="auto"/>
              </w:rPr>
              <w:t>Gain on derivative</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(68,081)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68,081</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6090920</wp:posOffset>
            </wp:positionH>
            <wp:positionV relativeFrom="paragraph">
              <wp:posOffset>-22860</wp:posOffset>
            </wp:positionV>
            <wp:extent cx="6286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-22860</wp:posOffset>
            </wp:positionV>
            <wp:extent cx="6286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-22860</wp:posOffset>
            </wp:positionV>
            <wp:extent cx="6286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-172085</wp:posOffset>
            </wp:positionV>
            <wp:extent cx="6286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-172085</wp:posOffset>
            </wp:positionV>
            <wp:extent cx="6286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-172085</wp:posOffset>
            </wp:positionV>
            <wp:extent cx="6286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-933450</wp:posOffset>
            </wp:positionV>
            <wp:extent cx="6286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-933450</wp:posOffset>
            </wp:positionV>
            <wp:extent cx="6286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-933450</wp:posOffset>
            </wp:positionV>
            <wp:extent cx="6286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-2016760</wp:posOffset>
            </wp:positionV>
            <wp:extent cx="6286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-2016760</wp:posOffset>
            </wp:positionV>
            <wp:extent cx="6286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-2016760</wp:posOffset>
            </wp:positionV>
            <wp:extent cx="6286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-2770505</wp:posOffset>
            </wp:positionV>
            <wp:extent cx="6286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 Not presented because the prior period amount is zero or the amount for the line item changed from a gain to a loss (or vice versa) and thus yields a result that is not meaningful.</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Premiums Earned, Net</w:t>
      </w:r>
    </w:p>
    <w:p>
      <w:pPr>
        <w:spacing w:after="0" w:line="162" w:lineRule="exact"/>
        <w:rPr>
          <w:sz w:val="20"/>
          <w:szCs w:val="20"/>
          <w:color w:val="auto"/>
        </w:rPr>
      </w:pPr>
    </w:p>
    <w:p>
      <w:pPr>
        <w:ind w:right="160" w:firstLine="297"/>
        <w:spacing w:after="0" w:line="268" w:lineRule="auto"/>
        <w:rPr>
          <w:sz w:val="20"/>
          <w:szCs w:val="20"/>
          <w:color w:val="auto"/>
        </w:rPr>
      </w:pPr>
      <w:r>
        <w:rPr>
          <w:rFonts w:ascii="Arial" w:cs="Arial" w:eastAsia="Arial" w:hAnsi="Arial"/>
          <w:sz w:val="16"/>
          <w:szCs w:val="16"/>
          <w:color w:val="auto"/>
        </w:rPr>
        <w:t>Premiums earned, net increased $36.6 million, or 21.9%, to $203.7 million for the three months ended September 30, 2021, compared to the three months ended September 30, 2020. The increase was mostly due to membership growth of 17.0% from 57,503 Medicare Advantage members at September 30, 2020, to 67,281 Medicare Advantage members at September 30, 2021. Additional risk adjustment revenue of $4.6 million was recognized during the three months ended September 30, 2021.</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Direct Contracting Revenue</w:t>
      </w:r>
    </w:p>
    <w:p>
      <w:pPr>
        <w:spacing w:after="0" w:line="162" w:lineRule="exact"/>
        <w:rPr>
          <w:sz w:val="20"/>
          <w:szCs w:val="20"/>
          <w:color w:val="auto"/>
        </w:rPr>
      </w:pPr>
    </w:p>
    <w:p>
      <w:pPr>
        <w:ind w:right="100" w:firstLine="297"/>
        <w:spacing w:after="0" w:line="325" w:lineRule="auto"/>
        <w:rPr>
          <w:sz w:val="20"/>
          <w:szCs w:val="20"/>
          <w:color w:val="auto"/>
        </w:rPr>
      </w:pPr>
      <w:r>
        <w:rPr>
          <w:rFonts w:ascii="Arial" w:cs="Arial" w:eastAsia="Arial" w:hAnsi="Arial"/>
          <w:sz w:val="15"/>
          <w:szCs w:val="15"/>
          <w:color w:val="auto"/>
        </w:rPr>
        <w:t>Our participation in Direct Contracting launched in April 2021. Revenue related to Direct Contracting was $222.6 million for the three months ended September 30, 2021. This revenue was attributable to the alignment of Original Medicare beneficiaries to our DCE, which numbered 61,818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Other Income</w:t>
      </w:r>
    </w:p>
    <w:p>
      <w:pPr>
        <w:spacing w:after="0" w:line="162" w:lineRule="exact"/>
        <w:rPr>
          <w:sz w:val="20"/>
          <w:szCs w:val="20"/>
          <w:color w:val="auto"/>
        </w:rPr>
      </w:pPr>
    </w:p>
    <w:p>
      <w:pPr>
        <w:jc w:val="both"/>
        <w:ind w:right="100" w:firstLine="297"/>
        <w:spacing w:after="0" w:line="274" w:lineRule="auto"/>
        <w:rPr>
          <w:sz w:val="20"/>
          <w:szCs w:val="20"/>
          <w:color w:val="auto"/>
        </w:rPr>
      </w:pPr>
      <w:r>
        <w:rPr>
          <w:rFonts w:ascii="Arial" w:cs="Arial" w:eastAsia="Arial" w:hAnsi="Arial"/>
          <w:sz w:val="16"/>
          <w:szCs w:val="16"/>
          <w:color w:val="auto"/>
        </w:rPr>
        <w:t>Other income decreased $1.1 million, or 56.9%, to $0.9 million for the three months ended September 30, 2021, compared to the three months ended September 30, 2020. The decrease was primarily due to lower net investment income of $0.6 million and decreased rental income of $0.2 million in the three months ended September 30, 2021.</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Medical Claims Incurred</w:t>
      </w:r>
    </w:p>
    <w:p>
      <w:pPr>
        <w:spacing w:after="0" w:line="162" w:lineRule="exact"/>
        <w:rPr>
          <w:sz w:val="20"/>
          <w:szCs w:val="20"/>
          <w:color w:val="auto"/>
        </w:rPr>
      </w:pPr>
    </w:p>
    <w:p>
      <w:pPr>
        <w:ind w:right="60" w:firstLine="297"/>
        <w:spacing w:after="0" w:line="287" w:lineRule="auto"/>
        <w:rPr>
          <w:sz w:val="20"/>
          <w:szCs w:val="20"/>
          <w:color w:val="auto"/>
        </w:rPr>
      </w:pPr>
      <w:r>
        <w:rPr>
          <w:rFonts w:ascii="Arial" w:cs="Arial" w:eastAsia="Arial" w:hAnsi="Arial"/>
          <w:sz w:val="15"/>
          <w:szCs w:val="15"/>
          <w:color w:val="auto"/>
        </w:rPr>
        <w:t>Net medical claims incurred increased $291.6 million, or 201.3%, to $436.4 million for the three months ended September 30, 2021, compared to the three months ended September 30, 2020. The increase was primarily due to the launch of Direct Contracting in April 2021, MA membership growth, and the impact from the COVID-19 pandemic. Notably, in third quarter 2020, our non-COVID-19 utilization of healthcare services was below historical benchmarks. Utilization was higher during the three months ended September 30, 2021, as compared to the three months ended September 30, 2020, due to deferral of services and increased costs related to conditions that were exacerbated by a lack of diagnoses and treatment in the earlier periods of the pandemic. See also “—Impact of COVID-19” above.</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Salaries and Benefits</w:t>
      </w:r>
    </w:p>
    <w:p>
      <w:pPr>
        <w:spacing w:after="0" w:line="162" w:lineRule="exact"/>
        <w:rPr>
          <w:sz w:val="20"/>
          <w:szCs w:val="20"/>
          <w:color w:val="auto"/>
        </w:rPr>
      </w:pPr>
    </w:p>
    <w:p>
      <w:pPr>
        <w:ind w:right="120" w:firstLine="297"/>
        <w:spacing w:after="0" w:line="274" w:lineRule="auto"/>
        <w:rPr>
          <w:sz w:val="20"/>
          <w:szCs w:val="20"/>
          <w:color w:val="auto"/>
        </w:rPr>
      </w:pPr>
      <w:r>
        <w:rPr>
          <w:rFonts w:ascii="Arial" w:cs="Arial" w:eastAsia="Arial" w:hAnsi="Arial"/>
          <w:sz w:val="16"/>
          <w:szCs w:val="16"/>
          <w:color w:val="auto"/>
        </w:rPr>
        <w:t>Salaries and benefits increased $56.7 million, or 341.2%, to $73.4 million for the three months ended September 30, 2021, compared to the three months ended September 30, 2020. The increase was primarily driven by higher stock-based compensation expense of $45.3 million due to increased headcount and additional awards issued in connection with the Business Combination.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62"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General and administrative expenses increased $15.9 million, or 53.3%, to $45.7 million for the three months ended September 30, 2021, compared to the three months ended September 30, 2020. The increase was driven in part by increases in professional fees to support our growth and additional costs related to operating as a public company. Software application expense also increased due to the continued development of platform and information technology capabilities within the organization. For the three months ended September 30, 2021, we also recognized $1.1 million in amortization expense related to deferred acquisition costs. There was no amortization expense related to deferred acquisition costs recognized for the three months ended September 30, 2020.</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 Deficiency Reserve Expense (Benefit)</w:t>
      </w:r>
    </w:p>
    <w:p>
      <w:pPr>
        <w:spacing w:after="0" w:line="162" w:lineRule="exact"/>
        <w:rPr>
          <w:sz w:val="20"/>
          <w:szCs w:val="20"/>
          <w:color w:val="auto"/>
        </w:rPr>
      </w:pPr>
    </w:p>
    <w:p>
      <w:pPr>
        <w:ind w:right="220" w:firstLine="297"/>
        <w:spacing w:after="0" w:line="268" w:lineRule="auto"/>
        <w:rPr>
          <w:sz w:val="20"/>
          <w:szCs w:val="20"/>
          <w:color w:val="auto"/>
        </w:rPr>
      </w:pPr>
      <w:r>
        <w:rPr>
          <w:rFonts w:ascii="Arial" w:cs="Arial" w:eastAsia="Arial" w:hAnsi="Arial"/>
          <w:sz w:val="16"/>
          <w:szCs w:val="16"/>
          <w:color w:val="auto"/>
        </w:rPr>
        <w:t>A $20.8 million premium deficiency reserve expense was recorded for the three months ended September 30, 2021, which includes amortization associated with a previously recorded reserve and a reserve deemed necessary for the remainder of 2021. For the three months ended September 30, 2020, there was a benefit of $0.8 million related to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Change in Fair Value of Warrants Payable</w:t>
      </w:r>
    </w:p>
    <w:p>
      <w:pPr>
        <w:spacing w:after="0" w:line="16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We reported an increase of $115.2 million on the change in fair value of warrants payable for the three months ended September 30, 2021, compared to a decrease of $20.0 million for the three months ended September 30, 2020. The increase was due to the mark-to-market adjustment in the three months ended September 30, 2021, of the Public Warrants and Private Placement Warrants. The decrease for the three months ended September 30, 2020, was related to an increase in the valuation of the legacy warrants during the period. For additional information, see Note 5 (Fair Value Measurements) and Note 10 (Warrants Payable) to Financial Statements in this report.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2"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Interest expense decreased $8.9 million, or 95.5%, to $0.4 million for the three months ended September 30, 2021, compared to the three months ended September 30, 2020, primarily related to the conversion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Convertible Securities to shares of the Corporation’s common stock in connection with the completion of the Business Combination on January 7, 2021.</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Amortization of Notes and Securities Discounts</w:t>
      </w:r>
    </w:p>
    <w:p>
      <w:pPr>
        <w:spacing w:after="0" w:line="162"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Amortization of notes and securities discounts decreased $4.4 million, or 99.7%, to an immaterial amount for the three months ended September 30, 2021, compared to the three months ended September 30, 2020. The decrease related to the completion of the Business Combination on January 7, 2021, whereby the unamortized discount associated with the August 2019 tranche of the Convertible Securities was accelerated.</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on Derivative</w:t>
      </w:r>
    </w:p>
    <w:p>
      <w:pPr>
        <w:spacing w:after="0" w:line="162" w:lineRule="exact"/>
        <w:rPr>
          <w:sz w:val="20"/>
          <w:szCs w:val="20"/>
          <w:color w:val="auto"/>
        </w:rPr>
      </w:pPr>
    </w:p>
    <w:p>
      <w:pPr>
        <w:jc w:val="both"/>
        <w:ind w:right="680" w:firstLine="297"/>
        <w:spacing w:after="0" w:line="274" w:lineRule="auto"/>
        <w:rPr>
          <w:sz w:val="20"/>
          <w:szCs w:val="20"/>
          <w:color w:val="auto"/>
        </w:rPr>
      </w:pPr>
      <w:r>
        <w:rPr>
          <w:rFonts w:ascii="Arial" w:cs="Arial" w:eastAsia="Arial" w:hAnsi="Arial"/>
          <w:sz w:val="16"/>
          <w:szCs w:val="16"/>
          <w:color w:val="auto"/>
        </w:rPr>
        <w:t>There was no gain on derivative for the three months ended September 30, 2021, compared to a $68.1 million gain on derivative for the three months ended September 30, 2020. The change related to the capital contribution treatment of the elimination of the derivative associated with the Convertible Securities upon completion of the Business Combination on January 7, 2021.</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Comparison of the Nine Months Ended September 30, 2021 and 2020</w:t>
      </w:r>
    </w:p>
    <w:p>
      <w:pPr>
        <w:spacing w:after="0" w:line="162"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The following table summarizes our consolidated results of operations for the nine months ended September 30, 2021 and 2020. The period-to-period comparison of results is not necessarily indicative of results for future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ind w:left="200"/>
              <w:spacing w:after="0"/>
              <w:rPr>
                <w:sz w:val="20"/>
                <w:szCs w:val="20"/>
                <w:color w:val="auto"/>
              </w:rPr>
            </w:pPr>
            <w:r>
              <w:rPr>
                <w:rFonts w:ascii="Arial" w:cs="Arial" w:eastAsia="Arial" w:hAnsi="Arial"/>
                <w:sz w:val="13"/>
                <w:szCs w:val="13"/>
                <w:b w:val="1"/>
                <w:bCs w:val="1"/>
                <w:color w:val="auto"/>
              </w:rPr>
              <w:t>Nine Months Ended September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vMerge w:val="restart"/>
          </w:tcPr>
          <w:p>
            <w:pPr>
              <w:jc w:val="right"/>
              <w:ind w:right="5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tcPr>
          <w:p>
            <w:pPr>
              <w:ind w:left="200"/>
              <w:spacing w:after="0" w:line="111" w:lineRule="exact"/>
              <w:rPr>
                <w:sz w:val="20"/>
                <w:szCs w:val="20"/>
                <w:color w:val="auto"/>
              </w:rPr>
            </w:pPr>
            <w:r>
              <w:rPr>
                <w:rFonts w:ascii="Arial" w:cs="Arial" w:eastAsia="Arial" w:hAnsi="Arial"/>
                <w:sz w:val="12"/>
                <w:szCs w:val="12"/>
                <w:b w:val="1"/>
                <w:bCs w:val="1"/>
                <w:color w:val="auto"/>
              </w:rPr>
              <w:t>Change</w:t>
            </w:r>
          </w:p>
        </w:tc>
        <w:tc>
          <w:tcPr>
            <w:tcW w:w="1540" w:type="dxa"/>
            <w:vAlign w:val="bottom"/>
          </w:tcPr>
          <w:p>
            <w:pPr>
              <w:jc w:val="right"/>
              <w:ind w:right="480"/>
              <w:spacing w:after="0" w:line="111"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54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5"/>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ind w:right="38"/>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00" w:type="dxa"/>
            <w:vAlign w:val="bottom"/>
          </w:tcPr>
          <w:p>
            <w:pPr>
              <w:ind w:left="220"/>
              <w:spacing w:after="0" w:line="161" w:lineRule="exact"/>
              <w:rPr>
                <w:sz w:val="20"/>
                <w:szCs w:val="20"/>
                <w:color w:val="auto"/>
              </w:rPr>
            </w:pPr>
            <w:r>
              <w:rPr>
                <w:rFonts w:ascii="Arial" w:cs="Arial" w:eastAsia="Arial" w:hAnsi="Arial"/>
                <w:sz w:val="16"/>
                <w:szCs w:val="16"/>
                <w:color w:val="auto"/>
                <w:w w:val="95"/>
              </w:rPr>
              <w:t>Premiums earned, net (Net of ceded premiums of $370 and $383 for the</w:t>
            </w:r>
          </w:p>
        </w:tc>
        <w:tc>
          <w:tcPr>
            <w:tcW w:w="300" w:type="dxa"/>
            <w:vAlign w:val="bottom"/>
            <w:vMerge w:val="restart"/>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598,390</w:t>
            </w:r>
          </w:p>
        </w:tc>
        <w:tc>
          <w:tcPr>
            <w:tcW w:w="100" w:type="dxa"/>
            <w:vAlign w:val="bottom"/>
          </w:tcPr>
          <w:p>
            <w:pPr>
              <w:spacing w:after="0"/>
              <w:rPr>
                <w:sz w:val="13"/>
                <w:szCs w:val="13"/>
                <w:color w:val="auto"/>
              </w:rPr>
            </w:pPr>
          </w:p>
        </w:tc>
        <w:tc>
          <w:tcPr>
            <w:tcW w:w="460" w:type="dxa"/>
            <w:vAlign w:val="bottom"/>
            <w:vMerge w:val="restart"/>
          </w:tcPr>
          <w:p>
            <w:pPr>
              <w:jc w:val="right"/>
              <w:ind w:right="278"/>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501,100</w:t>
            </w:r>
          </w:p>
        </w:tc>
        <w:tc>
          <w:tcPr>
            <w:tcW w:w="100" w:type="dxa"/>
            <w:vAlign w:val="bottom"/>
          </w:tcPr>
          <w:p>
            <w:pPr>
              <w:spacing w:after="0"/>
              <w:rPr>
                <w:sz w:val="13"/>
                <w:szCs w:val="13"/>
                <w:color w:val="auto"/>
              </w:rPr>
            </w:pPr>
          </w:p>
        </w:tc>
        <w:tc>
          <w:tcPr>
            <w:tcW w:w="300" w:type="dxa"/>
            <w:vAlign w:val="bottom"/>
            <w:vMerge w:val="restart"/>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97,290</w:t>
            </w:r>
          </w:p>
        </w:tc>
        <w:tc>
          <w:tcPr>
            <w:tcW w:w="10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10"/>
        </w:trPr>
        <w:tc>
          <w:tcPr>
            <w:tcW w:w="5100" w:type="dxa"/>
            <w:vAlign w:val="bottom"/>
          </w:tcPr>
          <w:p>
            <w:pPr>
              <w:ind w:left="360"/>
              <w:spacing w:after="0"/>
              <w:rPr>
                <w:sz w:val="20"/>
                <w:szCs w:val="20"/>
                <w:color w:val="auto"/>
              </w:rPr>
            </w:pPr>
            <w:r>
              <w:rPr>
                <w:rFonts w:ascii="Arial" w:cs="Arial" w:eastAsia="Arial" w:hAnsi="Arial"/>
                <w:sz w:val="16"/>
                <w:szCs w:val="16"/>
                <w:color w:val="auto"/>
              </w:rPr>
              <w:t>nine months ended September 30, 2021 and 2020, respectively</w:t>
            </w: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Contracting revenue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439,020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1,039,960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506,655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533,305</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190"/>
        </w:trPr>
        <w:tc>
          <w:tcPr>
            <w:tcW w:w="5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medical claims incurred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1,109,375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698,835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6"/>
                <w:szCs w:val="16"/>
                <w:color w:val="auto"/>
              </w:rPr>
              <w:t>Salaries and benefits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201,555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144,216</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6"/>
                <w:szCs w:val="16"/>
                <w:color w:val="auto"/>
              </w:rPr>
              <w:t>Premium deficiency reserve expense (benefit)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65,018</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6"/>
                <w:szCs w:val="16"/>
                <w:color w:val="auto"/>
              </w:rPr>
              <w:t>Other expense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1,490,163</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531,733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958,430</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(450,203)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(425,125)</w:t>
            </w:r>
          </w:p>
        </w:tc>
        <w:tc>
          <w:tcPr>
            <w:tcW w:w="100" w:type="dxa"/>
            <w:vAlign w:val="bottom"/>
          </w:tcPr>
          <w:p>
            <w:pPr>
              <w:spacing w:after="0"/>
              <w:rPr>
                <w:sz w:val="17"/>
                <w:szCs w:val="17"/>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1,695.2</w:t>
            </w:r>
          </w:p>
        </w:tc>
        <w:tc>
          <w:tcPr>
            <w:tcW w:w="0" w:type="dxa"/>
            <w:vAlign w:val="bottom"/>
          </w:tcPr>
          <w:p>
            <w:pPr>
              <w:spacing w:after="0"/>
              <w:rPr>
                <w:sz w:val="1"/>
                <w:szCs w:val="1"/>
                <w:color w:val="auto"/>
              </w:rPr>
            </w:pPr>
          </w:p>
        </w:tc>
      </w:tr>
      <w:tr>
        <w:trPr>
          <w:trHeight w:val="100"/>
        </w:trPr>
        <w:tc>
          <w:tcPr>
            <w:tcW w:w="5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6"/>
                <w:szCs w:val="16"/>
                <w:color w:val="auto"/>
              </w:rPr>
              <w:t>Change in fair value of warrants payable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(66,146)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(98,049)</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(307.3)</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6"/>
                <w:szCs w:val="16"/>
                <w:color w:val="auto"/>
              </w:rPr>
              <w:t>Amortization of notes and securities discount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derivative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87,475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(400,555)</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(390,554)</w:t>
            </w:r>
          </w:p>
        </w:tc>
        <w:tc>
          <w:tcPr>
            <w:tcW w:w="10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3,905.1 %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6090920</wp:posOffset>
            </wp:positionH>
            <wp:positionV relativeFrom="paragraph">
              <wp:posOffset>-1051560</wp:posOffset>
            </wp:positionV>
            <wp:extent cx="628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-1051560</wp:posOffset>
            </wp:positionV>
            <wp:extent cx="6286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-1051560</wp:posOffset>
            </wp:positionV>
            <wp:extent cx="6286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6090920</wp:posOffset>
            </wp:positionH>
            <wp:positionV relativeFrom="paragraph">
              <wp:posOffset>-2126615</wp:posOffset>
            </wp:positionV>
            <wp:extent cx="6286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-2126615</wp:posOffset>
            </wp:positionV>
            <wp:extent cx="6286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-2126615</wp:posOffset>
            </wp:positionV>
            <wp:extent cx="6286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-2880360</wp:posOffset>
            </wp:positionV>
            <wp:extent cx="6286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 Not presented because the prior period amount is zero or the amount for the line item changed from a gain to a loss (or vice versa) and thus yields a result that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Premiums Earned, Net</w:t>
      </w:r>
    </w:p>
    <w:p>
      <w:pPr>
        <w:spacing w:after="0" w:line="162" w:lineRule="exact"/>
        <w:rPr>
          <w:sz w:val="20"/>
          <w:szCs w:val="20"/>
          <w:color w:val="auto"/>
        </w:rPr>
      </w:pPr>
    </w:p>
    <w:p>
      <w:pPr>
        <w:ind w:right="160" w:firstLine="297"/>
        <w:spacing w:after="0" w:line="268" w:lineRule="auto"/>
        <w:rPr>
          <w:sz w:val="20"/>
          <w:szCs w:val="20"/>
          <w:color w:val="auto"/>
        </w:rPr>
      </w:pPr>
      <w:r>
        <w:rPr>
          <w:rFonts w:ascii="Arial" w:cs="Arial" w:eastAsia="Arial" w:hAnsi="Arial"/>
          <w:sz w:val="16"/>
          <w:szCs w:val="16"/>
          <w:color w:val="auto"/>
        </w:rPr>
        <w:t>Premiums earned, net increased $97.3 million, or 19.4%, to $598.4 million for the nine months ended September 30, 2021, compared to the nine months ended September 30, 2020. The increase was primarily due to membership growth of 17.0% from 57,503 Medicare Advantage members at September 30, 2020, to 67,281 Medicare Advantage members at September 30, 2021. Additional risk adjustment revenue of $7.7 million was recognized during the nine months ended September 30, 2021.</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Direct Contracting Revenue</w:t>
      </w:r>
    </w:p>
    <w:p>
      <w:pPr>
        <w:spacing w:after="0" w:line="162" w:lineRule="exact"/>
        <w:rPr>
          <w:sz w:val="20"/>
          <w:szCs w:val="20"/>
          <w:color w:val="auto"/>
        </w:rPr>
      </w:pPr>
    </w:p>
    <w:p>
      <w:pPr>
        <w:ind w:right="100" w:firstLine="297"/>
        <w:spacing w:after="0" w:line="325" w:lineRule="auto"/>
        <w:rPr>
          <w:sz w:val="20"/>
          <w:szCs w:val="20"/>
          <w:color w:val="auto"/>
        </w:rPr>
      </w:pPr>
      <w:r>
        <w:rPr>
          <w:rFonts w:ascii="Arial" w:cs="Arial" w:eastAsia="Arial" w:hAnsi="Arial"/>
          <w:sz w:val="15"/>
          <w:szCs w:val="15"/>
          <w:color w:val="auto"/>
        </w:rPr>
        <w:t>Our participation in Direct Contracting launched in April 2021. Revenue related to Direct Contracting was $439.0 million for the nine months ended September 30, 2021. This revenue was attributable to the alignment of Original Medicare beneficiaries to our DCE, which numbered 61,818 at September 30, 2021.</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Other Income</w:t>
      </w:r>
    </w:p>
    <w:p>
      <w:pPr>
        <w:spacing w:after="0" w:line="162" w:lineRule="exact"/>
        <w:rPr>
          <w:sz w:val="20"/>
          <w:szCs w:val="20"/>
          <w:color w:val="auto"/>
        </w:rPr>
      </w:pPr>
    </w:p>
    <w:p>
      <w:pPr>
        <w:ind w:right="160" w:firstLine="297"/>
        <w:spacing w:after="0" w:line="268" w:lineRule="auto"/>
        <w:rPr>
          <w:sz w:val="20"/>
          <w:szCs w:val="20"/>
          <w:color w:val="auto"/>
        </w:rPr>
      </w:pPr>
      <w:r>
        <w:rPr>
          <w:rFonts w:ascii="Arial" w:cs="Arial" w:eastAsia="Arial" w:hAnsi="Arial"/>
          <w:sz w:val="16"/>
          <w:szCs w:val="16"/>
          <w:color w:val="auto"/>
        </w:rPr>
        <w:t>Other income decreased $3.0 million, or 54.1%, to $2.6 million for the nine months ended September 30, 2021, compared to the nine months ended September 30, 2020. The decrease was primarily due to lower net investment income of $1.9 million and decreased rental income of $0.4 million during the nine months ended September 30, 2021, and the receipt of a $0.5 million state subsidy during the nine months ended September 30, 2020, that was not received in the nine months ended September 30, 2021.</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Medical Claims Incurred</w:t>
      </w:r>
    </w:p>
    <w:p>
      <w:pPr>
        <w:spacing w:after="0" w:line="162" w:lineRule="exact"/>
        <w:rPr>
          <w:sz w:val="20"/>
          <w:szCs w:val="20"/>
          <w:color w:val="auto"/>
        </w:rPr>
      </w:pPr>
    </w:p>
    <w:p>
      <w:pPr>
        <w:ind w:right="20" w:firstLine="297"/>
        <w:spacing w:after="0" w:line="274" w:lineRule="auto"/>
        <w:rPr>
          <w:sz w:val="20"/>
          <w:szCs w:val="20"/>
          <w:color w:val="auto"/>
        </w:rPr>
      </w:pPr>
      <w:r>
        <w:rPr>
          <w:rFonts w:ascii="Arial" w:cs="Arial" w:eastAsia="Arial" w:hAnsi="Arial"/>
          <w:sz w:val="16"/>
          <w:szCs w:val="16"/>
          <w:color w:val="auto"/>
        </w:rPr>
        <w:t>Net medical claims incurred increased $698.8 million, or 170.2%, to $1,109.4 million for the nine months ended September 30, 2021, compared to the nine months ended September 30, 2020. The increase was primarily due to the launch of Direct Contracting in April 2021, MA membership growth, and the impact from the COVID-19 pandemic as discussed in further detail immediately below.</w:t>
      </w:r>
    </w:p>
    <w:p>
      <w:pPr>
        <w:spacing w:after="0" w:line="112" w:lineRule="exact"/>
        <w:rPr>
          <w:sz w:val="20"/>
          <w:szCs w:val="20"/>
          <w:color w:val="auto"/>
        </w:rPr>
      </w:pPr>
    </w:p>
    <w:p>
      <w:pPr>
        <w:ind w:right="200" w:firstLine="297"/>
        <w:spacing w:after="0" w:line="264" w:lineRule="auto"/>
        <w:rPr>
          <w:sz w:val="20"/>
          <w:szCs w:val="20"/>
          <w:color w:val="auto"/>
        </w:rPr>
      </w:pPr>
      <w:r>
        <w:rPr>
          <w:rFonts w:ascii="Arial" w:cs="Arial" w:eastAsia="Arial" w:hAnsi="Arial"/>
          <w:sz w:val="16"/>
          <w:szCs w:val="16"/>
          <w:color w:val="auto"/>
        </w:rPr>
        <w:t>As background, 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the second quarter of 2020. In second quarter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Deferral of services and increased costs related to conditions that were exacerbated by a lack of diagnoses and treatment in the earlier periods of the pandemic contributed to increased utilization during the nine months ended September 30, 2021.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Salaries and Benefits</w:t>
      </w:r>
    </w:p>
    <w:p>
      <w:pPr>
        <w:spacing w:after="0" w:line="162" w:lineRule="exact"/>
        <w:rPr>
          <w:sz w:val="20"/>
          <w:szCs w:val="20"/>
          <w:color w:val="auto"/>
        </w:rPr>
      </w:pPr>
    </w:p>
    <w:p>
      <w:pPr>
        <w:ind w:right="200" w:firstLine="297"/>
        <w:spacing w:after="0" w:line="274" w:lineRule="auto"/>
        <w:rPr>
          <w:sz w:val="20"/>
          <w:szCs w:val="20"/>
          <w:color w:val="auto"/>
        </w:rPr>
      </w:pPr>
      <w:r>
        <w:rPr>
          <w:rFonts w:ascii="Arial" w:cs="Arial" w:eastAsia="Arial" w:hAnsi="Arial"/>
          <w:sz w:val="16"/>
          <w:szCs w:val="16"/>
          <w:color w:val="auto"/>
        </w:rPr>
        <w:t>Salaries and benefits increased $144.2 million, or 251.5%, to $201.6 million for the nine months ended September 30, 2021, compared to the nine months ended September 30, 2020. The increase was primarily driven by higher year-over-year stock-based compensation expense of $127.6 million due to increased headcount and additional awards issued in connection with the Business Combination.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62"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General and administrative expenses increased $50.2 million, or 62.9%, to $130.0 million for the nine months ended September 30, 2021, compared to the nine months ended September 30, 2020. The increase was driven in part by increases in professional fees to support our growth and additional costs related to operating as a public company. Software application expense also increased due to the continued development of platform and information technology capabilities within the organization. For the nine months ended September 30, 2021, we also recognized $9.6 million in amortization expense related to deferred acquisition costs. There was no amortization expense related to deferred acquisition costs recognized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6" w:name="page87"/>
    <w:bookmarkEnd w:id="86"/>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 Deficiency Reserve Expense (Benefit)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$48.7 million premium deficiency reserve expense was recorded for the nine months ended September 30, 2021. This expense includes amortization associated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with a previously recorded reserve and a reserve deemed necessary for the remainder of 2021. For the nine months ended September 30, 2020, there was a benefit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$16.4 million related to amortization associated with a reserve deemed necessary as of the end of fiscal year 2019 for fiscal year 2020. The change was primarily due to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management’s assessment of actual and anticipated experience related to the profitability of contracts.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Change in Fair Value of Warrants Payable</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reported an increase of $66.1 million on the change in fair value of warrants payable for the nine months ended September 30, 2021, compared to a decrease of $31.9 million for the nine months ended September 30, 2020. The increase for the nine months ended September 30, 2021, was due to the mark-to-market adjustment of the Public Warrants and Private Placement Warrants as of September 30, 2021, compared to the initial measurement value as of January 7, 2021. The decrease for the nine months ended September 30, 2020, was related to an increase in the valuation of the legacy warrants during the period. For additional information, see Note 5 (Fair Value Measurements) and Note 10 (Warrants Payable) to Financial Statements in this report.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2"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Interest expense decreased $22.7 million, or 89.0%, to $2.8 million for the nine months ended September 30, 2021, compared to the nine months ended September 30, 2020, primarily related to the conversion of the Convertible Securities to shares of the Corporation’s common stock in connection with the completion of the Business Combination on January 7, 2021.</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Amortization of Notes and Securities Discounts</w:t>
      </w:r>
    </w:p>
    <w:p>
      <w:pPr>
        <w:spacing w:after="0" w:line="162"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Amortization of notes and securities discounts decreased $1.3 million, or 8.4%, to $13.7 million for the nine months ended September 30, 2021, compared to the nine months ended September 30, 2020. The decrease primarily relates to the completion of the Business Combination on January 7, 2021, whereby the unamortized discount associated with the August 2019 tranche of the Convertible Securities was accelerated. The decrease was also driven by $0.6 million of amortization of debt discount associated with the Convertible Securities during the period from January 1, 2021, to January 7, 2021.</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on Derivative</w:t>
      </w:r>
    </w:p>
    <w:p>
      <w:pPr>
        <w:spacing w:after="0" w:line="162" w:lineRule="exact"/>
        <w:rPr>
          <w:sz w:val="20"/>
          <w:szCs w:val="20"/>
          <w:color w:val="auto"/>
        </w:rPr>
      </w:pPr>
    </w:p>
    <w:p>
      <w:pPr>
        <w:ind w:right="580" w:firstLine="297"/>
        <w:spacing w:after="0" w:line="274" w:lineRule="auto"/>
        <w:rPr>
          <w:sz w:val="20"/>
          <w:szCs w:val="20"/>
          <w:color w:val="auto"/>
        </w:rPr>
      </w:pPr>
      <w:r>
        <w:rPr>
          <w:rFonts w:ascii="Arial" w:cs="Arial" w:eastAsia="Arial" w:hAnsi="Arial"/>
          <w:sz w:val="16"/>
          <w:szCs w:val="16"/>
          <w:color w:val="auto"/>
        </w:rPr>
        <w:t>There was no gain on derivative for the nine months ended September 30, 2021, as compared to a $87.5 million gain on derivative for the nine months ended September 30, 2020. This change relates to the capital contribution treatment of the elimination of the derivative associated with the convertible securities upon completion of the Business Combination on January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3"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Comparison of the Years Ended December 31, 2020 and 2019</w:t>
      </w:r>
    </w:p>
    <w:p>
      <w:pPr>
        <w:spacing w:after="0" w:line="162" w:lineRule="exact"/>
        <w:rPr>
          <w:sz w:val="20"/>
          <w:szCs w:val="20"/>
          <w:color w:val="auto"/>
        </w:rPr>
      </w:pPr>
    </w:p>
    <w:p>
      <w:pPr>
        <w:ind w:left="1" w:right="420" w:firstLine="297"/>
        <w:spacing w:after="0" w:line="290" w:lineRule="auto"/>
        <w:rPr>
          <w:sz w:val="20"/>
          <w:szCs w:val="20"/>
          <w:color w:val="auto"/>
        </w:rPr>
      </w:pPr>
      <w:r>
        <w:rPr>
          <w:rFonts w:ascii="Arial" w:cs="Arial" w:eastAsia="Arial" w:hAnsi="Arial"/>
          <w:sz w:val="16"/>
          <w:szCs w:val="16"/>
          <w:color w:val="auto"/>
        </w:rPr>
        <w:t>The following tables summarize our consolidated results of operations for the periods presented and as a percentage of our total revenues for those periods. The period-to-period comparison of results is not necessarily indicative of results for future periods.</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3"/>
                <w:szCs w:val="13"/>
                <w:b w:val="1"/>
                <w:bCs w:val="1"/>
                <w:color w:val="auto"/>
              </w:rPr>
              <w:t>Years Ended December 31,</w:t>
            </w:r>
          </w:p>
        </w:tc>
        <w:tc>
          <w:tcPr>
            <w:tcW w:w="56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Change</w:t>
            </w:r>
          </w:p>
        </w:tc>
        <w:tc>
          <w:tcPr>
            <w:tcW w:w="1540" w:type="dxa"/>
            <w:vAlign w:val="bottom"/>
          </w:tcPr>
          <w:p>
            <w:pPr>
              <w:jc w:val="right"/>
              <w:ind w:right="47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5"/>
        </w:trPr>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720" w:type="dxa"/>
            <w:vAlign w:val="bottom"/>
          </w:tcPr>
          <w:p>
            <w:pPr>
              <w:ind w:left="220"/>
              <w:spacing w:after="0" w:line="161" w:lineRule="exact"/>
              <w:rPr>
                <w:sz w:val="20"/>
                <w:szCs w:val="20"/>
                <w:color w:val="auto"/>
              </w:rPr>
            </w:pPr>
            <w:r>
              <w:rPr>
                <w:rFonts w:ascii="Arial" w:cs="Arial" w:eastAsia="Arial" w:hAnsi="Arial"/>
                <w:sz w:val="16"/>
                <w:szCs w:val="16"/>
                <w:color w:val="auto"/>
                <w:w w:val="95"/>
              </w:rPr>
              <w:t>Premiums earned, net (Net of ceded premiums: 2020: $599; 2019:</w:t>
            </w:r>
          </w:p>
        </w:tc>
        <w:tc>
          <w:tcPr>
            <w:tcW w:w="380" w:type="dxa"/>
            <w:vAlign w:val="bottom"/>
            <w:vMerge w:val="restart"/>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665,698</w:t>
            </w:r>
          </w:p>
        </w:tc>
        <w:tc>
          <w:tcPr>
            <w:tcW w:w="100" w:type="dxa"/>
            <w:vAlign w:val="bottom"/>
          </w:tcPr>
          <w:p>
            <w:pPr>
              <w:spacing w:after="0"/>
              <w:rPr>
                <w:sz w:val="13"/>
                <w:szCs w:val="13"/>
                <w:color w:val="auto"/>
              </w:rPr>
            </w:pPr>
          </w:p>
        </w:tc>
        <w:tc>
          <w:tcPr>
            <w:tcW w:w="380" w:type="dxa"/>
            <w:vAlign w:val="bottom"/>
            <w:vMerge w:val="restart"/>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456,926</w:t>
            </w:r>
          </w:p>
        </w:tc>
        <w:tc>
          <w:tcPr>
            <w:tcW w:w="100" w:type="dxa"/>
            <w:vAlign w:val="bottom"/>
          </w:tcPr>
          <w:p>
            <w:pPr>
              <w:spacing w:after="0"/>
              <w:rPr>
                <w:sz w:val="13"/>
                <w:szCs w:val="13"/>
                <w:color w:val="auto"/>
              </w:rPr>
            </w:pPr>
          </w:p>
        </w:tc>
        <w:tc>
          <w:tcPr>
            <w:tcW w:w="560" w:type="dxa"/>
            <w:vAlign w:val="bottom"/>
            <w:vMerge w:val="restart"/>
          </w:tcPr>
          <w:p>
            <w:pPr>
              <w:jc w:val="right"/>
              <w:ind w:right="378"/>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208,772</w:t>
            </w:r>
          </w:p>
        </w:tc>
        <w:tc>
          <w:tcPr>
            <w:tcW w:w="10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4720" w:type="dxa"/>
            <w:vAlign w:val="bottom"/>
          </w:tcPr>
          <w:p>
            <w:pPr>
              <w:ind w:left="360"/>
              <w:spacing w:after="0"/>
              <w:rPr>
                <w:sz w:val="20"/>
                <w:szCs w:val="20"/>
                <w:color w:val="auto"/>
              </w:rPr>
            </w:pPr>
            <w:r>
              <w:rPr>
                <w:rFonts w:ascii="Arial" w:cs="Arial" w:eastAsia="Arial" w:hAnsi="Arial"/>
                <w:sz w:val="16"/>
                <w:szCs w:val="16"/>
                <w:color w:val="auto"/>
              </w:rPr>
              <w:t>$832)</w:t>
            </w:r>
          </w:p>
        </w:tc>
        <w:tc>
          <w:tcPr>
            <w:tcW w:w="3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Investment income, net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w w:val="98"/>
              </w:rPr>
              <w:t>(34)</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672,888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462,266</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210,622</w:t>
            </w:r>
          </w:p>
        </w:tc>
        <w:tc>
          <w:tcPr>
            <w:tcW w:w="1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6"/>
                <w:szCs w:val="16"/>
                <w:color w:val="auto"/>
              </w:rPr>
              <w:t>Expenses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medical claims incurred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139,823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line="210" w:lineRule="exact"/>
              <w:rPr>
                <w:sz w:val="20"/>
                <w:szCs w:val="20"/>
                <w:color w:val="auto"/>
              </w:rPr>
            </w:pPr>
            <w:r>
              <w:rPr>
                <w:rFonts w:ascii="Arial" w:cs="Arial" w:eastAsia="Arial" w:hAnsi="Arial"/>
                <w:sz w:val="16"/>
                <w:szCs w:val="16"/>
                <w:color w:val="auto"/>
              </w:rPr>
              <w:t>Salaries and benefits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91,626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(20,370)</w:t>
            </w:r>
          </w:p>
        </w:tc>
        <w:tc>
          <w:tcPr>
            <w:tcW w:w="10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Arial" w:cs="Arial" w:eastAsia="Arial" w:hAnsi="Arial"/>
                <w:sz w:val="16"/>
                <w:szCs w:val="16"/>
                <w:color w:val="auto"/>
                <w:w w:val="98"/>
              </w:rPr>
              <w:t>(22)</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rPr>
                <w:sz w:val="20"/>
                <w:szCs w:val="20"/>
                <w:color w:val="auto"/>
              </w:rPr>
            </w:pPr>
            <w:r>
              <w:rPr>
                <w:rFonts w:ascii="Arial" w:cs="Arial" w:eastAsia="Arial" w:hAnsi="Arial"/>
                <w:sz w:val="16"/>
                <w:szCs w:val="16"/>
                <w:color w:val="auto"/>
              </w:rPr>
              <w:t>Premium deficiency reserve (benefit)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(24,651)</w:t>
            </w:r>
          </w:p>
        </w:tc>
        <w:tc>
          <w:tcPr>
            <w:tcW w:w="10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rPr>
                <w:sz w:val="20"/>
                <w:szCs w:val="20"/>
                <w:color w:val="auto"/>
              </w:rPr>
            </w:pPr>
            <w:r>
              <w:rPr>
                <w:rFonts w:ascii="Arial" w:cs="Arial" w:eastAsia="Arial" w:hAnsi="Arial"/>
                <w:sz w:val="16"/>
                <w:szCs w:val="16"/>
                <w:color w:val="auto"/>
              </w:rPr>
              <w:t>Other expense</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expenses</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765,595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645,465</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120,130</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(92,707)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(183,199)</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90,492</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warrants expense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77,419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ind w:left="1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12,835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notes and securities discount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derivative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138,561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(232,312)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227,345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1" w:right="2040" w:hanging="1"/>
        <w:spacing w:after="0" w:line="247" w:lineRule="auto"/>
        <w:tabs>
          <w:tab w:leader="none" w:pos="29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Stock-based compensation expenses of $7.1 million and $3.3 million are included in salaries and benefits for the years ended December 31, 2020 and 2019, respectively. 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88" w:name="page89"/>
    <w:bookmarkEnd w:id="88"/>
    <w:p>
      <w:pPr>
        <w:spacing w:after="0" w:line="52" w:lineRule="exact"/>
        <w:rPr>
          <w:sz w:val="20"/>
          <w:szCs w:val="20"/>
          <w:color w:val="auto"/>
        </w:rPr>
      </w:pPr>
    </w:p>
    <w:p>
      <w:pPr>
        <w:ind w:left="878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w w:val="89"/>
              </w:rPr>
              <w:t>2019</w:t>
            </w:r>
          </w:p>
        </w:tc>
      </w:tr>
      <w:tr>
        <w:trPr>
          <w:trHeight w:val="165"/>
        </w:trPr>
        <w:tc>
          <w:tcPr>
            <w:tcW w:w="7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Totals as a % of Revenue</w:t>
            </w:r>
          </w:p>
        </w:tc>
        <w:tc>
          <w:tcPr>
            <w:tcW w:w="980" w:type="dxa"/>
            <w:vAlign w:val="bottom"/>
          </w:tcPr>
          <w:p>
            <w:pPr>
              <w:spacing w:after="0"/>
              <w:rPr>
                <w:sz w:val="14"/>
                <w:szCs w:val="14"/>
                <w:color w:val="auto"/>
              </w:rPr>
            </w:pPr>
          </w:p>
        </w:tc>
      </w:tr>
      <w:tr>
        <w:trPr>
          <w:trHeight w:val="212"/>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Premiums earned, net (Net of ceded premiums: 2020: $599; 2019:$832)</w:t>
            </w:r>
          </w:p>
        </w:tc>
        <w:tc>
          <w:tcPr>
            <w:tcW w:w="68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99 %</w:t>
            </w:r>
          </w:p>
        </w:tc>
      </w:tr>
      <w:tr>
        <w:trPr>
          <w:trHeight w:val="211"/>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Investment income, net</w:t>
            </w:r>
          </w:p>
        </w:tc>
        <w:tc>
          <w:tcPr>
            <w:tcW w:w="146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w:t>
            </w:r>
          </w:p>
        </w:tc>
      </w:tr>
      <w:tr>
        <w:trPr>
          <w:trHeight w:val="203"/>
        </w:trPr>
        <w:tc>
          <w:tcPr>
            <w:tcW w:w="78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r>
      <w:tr>
        <w:trPr>
          <w:trHeight w:val="190"/>
        </w:trPr>
        <w:tc>
          <w:tcPr>
            <w:tcW w:w="7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1"/>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medical claims incurred</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Salaries and benefits</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20</w:t>
            </w:r>
          </w:p>
        </w:tc>
      </w:tr>
      <w:tr>
        <w:trPr>
          <w:trHeight w:val="211"/>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Premium deficiency reserve (benefit) expense</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w:t>
            </w:r>
          </w:p>
        </w:tc>
      </w:tr>
      <w:tr>
        <w:trPr>
          <w:trHeight w:val="211"/>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60" w:type="dxa"/>
            <w:vAlign w:val="bottom"/>
            <w:gridSpan w:val="3"/>
            <w:shd w:val="clear" w:color="auto" w:fill="CCEEFF"/>
          </w:tcPr>
          <w:p>
            <w:pPr>
              <w:jc w:val="right"/>
              <w:ind w:right="9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Other expense</w:t>
            </w:r>
          </w:p>
        </w:tc>
        <w:tc>
          <w:tcPr>
            <w:tcW w:w="146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03"/>
        </w:trPr>
        <w:tc>
          <w:tcPr>
            <w:tcW w:w="78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expenses</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r>
      <w:tr>
        <w:trPr>
          <w:trHeight w:val="20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w:t>
            </w:r>
          </w:p>
        </w:tc>
      </w:tr>
      <w:tr>
        <w:trPr>
          <w:trHeight w:val="203"/>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warrants expense</w:t>
            </w: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w:t>
            </w:r>
          </w:p>
        </w:tc>
      </w:tr>
      <w:tr>
        <w:trPr>
          <w:trHeight w:val="211"/>
        </w:trPr>
        <w:tc>
          <w:tcPr>
            <w:tcW w:w="8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notes and securities discounts</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10"/>
        </w:trPr>
        <w:tc>
          <w:tcPr>
            <w:tcW w:w="8800" w:type="dxa"/>
            <w:vAlign w:val="bottom"/>
            <w:gridSpan w:val="2"/>
          </w:tcPr>
          <w:p>
            <w:pPr>
              <w:ind w:left="220"/>
              <w:spacing w:after="0"/>
              <w:rPr>
                <w:sz w:val="20"/>
                <w:szCs w:val="20"/>
                <w:color w:val="auto"/>
              </w:rPr>
            </w:pPr>
            <w:r>
              <w:rPr>
                <w:rFonts w:ascii="Arial" w:cs="Arial" w:eastAsia="Arial" w:hAnsi="Arial"/>
                <w:sz w:val="16"/>
                <w:szCs w:val="16"/>
                <w:color w:val="auto"/>
              </w:rPr>
              <w:t>(Gain) loss on derivative</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30</w:t>
            </w:r>
          </w:p>
        </w:tc>
      </w:tr>
      <w:tr>
        <w:trPr>
          <w:trHeight w:val="20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Premiums Earned, Net</w:t>
      </w:r>
    </w:p>
    <w:p>
      <w:pPr>
        <w:spacing w:after="0" w:line="162"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Premiums earned, net increased $208.8 million, or 46%, to $665.7 million for the year ended December 31, 2020, compared to the year ended December 31, 2019. The increase was primarily due to membership growth from 42,592 members at December 31, 2019, to 58,056 members at December 31, 2020. Premiums earned, net for the years ended December 31, 2020 and 2019, include the impact of $5.1 million and $1.7 million, respectively, of additional revenue from finalized risk adjustment payments related to 2019 and 2018 members, respectively.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Other Income</w:t>
      </w:r>
    </w:p>
    <w:p>
      <w:pPr>
        <w:spacing w:after="0" w:line="162" w:lineRule="exact"/>
        <w:rPr>
          <w:sz w:val="20"/>
          <w:szCs w:val="20"/>
          <w:color w:val="auto"/>
        </w:rPr>
      </w:pPr>
    </w:p>
    <w:p>
      <w:pPr>
        <w:ind w:right="480" w:firstLine="297"/>
        <w:spacing w:after="0" w:line="290" w:lineRule="auto"/>
        <w:rPr>
          <w:sz w:val="20"/>
          <w:szCs w:val="20"/>
          <w:color w:val="auto"/>
        </w:rPr>
      </w:pPr>
      <w:r>
        <w:rPr>
          <w:rFonts w:ascii="Arial" w:cs="Arial" w:eastAsia="Arial" w:hAnsi="Arial"/>
          <w:sz w:val="16"/>
          <w:szCs w:val="16"/>
          <w:color w:val="auto"/>
        </w:rPr>
        <w:t>Other income increased $3.4 million to $4.2 million for the year ended December 31, 2020, compared to the year ended December 31, 2019. The increase was primarily due to increases in rental income from subleases of $2.4 million and miscellaneous income of $0.7 million.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Investment Income, Net</w:t>
      </w:r>
    </w:p>
    <w:p>
      <w:pPr>
        <w:spacing w:after="0" w:line="162" w:lineRule="exact"/>
        <w:rPr>
          <w:sz w:val="20"/>
          <w:szCs w:val="20"/>
          <w:color w:val="auto"/>
        </w:rPr>
      </w:pPr>
    </w:p>
    <w:p>
      <w:pPr>
        <w:ind w:right="100" w:firstLine="297"/>
        <w:spacing w:after="0" w:line="300" w:lineRule="auto"/>
        <w:rPr>
          <w:sz w:val="20"/>
          <w:szCs w:val="20"/>
          <w:color w:val="auto"/>
        </w:rPr>
      </w:pPr>
      <w:r>
        <w:rPr>
          <w:rFonts w:ascii="Arial" w:cs="Arial" w:eastAsia="Arial" w:hAnsi="Arial"/>
          <w:sz w:val="15"/>
          <w:szCs w:val="15"/>
          <w:color w:val="auto"/>
        </w:rPr>
        <w:t>Investment income, net decreased $1.6 million, or 34%, to $3.0 million for the year ended December 31, 2020, compared to the year ended December 31, 2019. The decrease was primarily due to a lower average balance of short-term investments and investment securities during the year ended December 31, 2020, as well as lower short-term interest rates in 2020 relative to 2019. Investment balances were $58.8 million and $195.7 million as of December 31, 2020 and 2019, respectively.</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Medical Claims Incurred</w:t>
      </w:r>
    </w:p>
    <w:p>
      <w:pPr>
        <w:spacing w:after="0" w:line="162" w:lineRule="exact"/>
        <w:rPr>
          <w:sz w:val="20"/>
          <w:szCs w:val="20"/>
          <w:color w:val="auto"/>
        </w:rPr>
      </w:pPr>
    </w:p>
    <w:p>
      <w:pPr>
        <w:jc w:val="both"/>
        <w:ind w:right="140" w:firstLine="297"/>
        <w:spacing w:after="0" w:line="274" w:lineRule="auto"/>
        <w:rPr>
          <w:sz w:val="20"/>
          <w:szCs w:val="20"/>
          <w:color w:val="auto"/>
        </w:rPr>
      </w:pPr>
      <w:r>
        <w:rPr>
          <w:rFonts w:ascii="Arial" w:cs="Arial" w:eastAsia="Arial" w:hAnsi="Arial"/>
          <w:sz w:val="16"/>
          <w:szCs w:val="16"/>
          <w:color w:val="auto"/>
        </w:rPr>
        <w:t>Net medical claims incurred increased $139.8 million, or 31%, to $590.5 million for the year ended December 31, 2020, compared to the year ended December 31, 2019. The increase was primarily due to membership growth from 42,592 members at December 31, 2019, to 58,056 members at December 31, 2020, partially offset by reduced healthcare utilization in connection with the COVID-19 pandemic in the second, third, and fourth quarters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3" w:lineRule="exact"/>
        <w:rPr>
          <w:sz w:val="20"/>
          <w:szCs w:val="20"/>
          <w:color w:val="auto"/>
        </w:rPr>
      </w:pPr>
    </w:p>
    <w:p>
      <w:pPr>
        <w:ind w:right="220" w:firstLine="297"/>
        <w:spacing w:after="0" w:line="268" w:lineRule="auto"/>
        <w:rPr>
          <w:sz w:val="20"/>
          <w:szCs w:val="20"/>
          <w:color w:val="auto"/>
        </w:rPr>
      </w:pPr>
      <w:r>
        <w:rPr>
          <w:rFonts w:ascii="Arial" w:cs="Arial" w:eastAsia="Arial" w:hAnsi="Arial"/>
          <w:sz w:val="16"/>
          <w:szCs w:val="16"/>
          <w:color w:val="auto"/>
        </w:rPr>
        <w:t>Beginning in late March and early April 2020, the COVID-19 pandemic caused an increase in our inpatient hospital costs as members started to experience admissions related to the virus. The increase in hospital costs was ultimately more than fully offset by lower costs related to a reduction in outpatient and office-based utilization during the third quarter. See also “—Impact of COVID-19” above. During 2020, we experienced a reduction in utilization across all settings, including inpatient hospital admissions compared to the year ended December 31, 2019.</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Salaries and Benefits</w:t>
      </w:r>
    </w:p>
    <w:p>
      <w:pPr>
        <w:spacing w:after="0" w:line="162"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Salaries and benefits decreased $20.4 million, or 22%, to $71.3 million for the year ended December 31, 2020, compared to the year ended December 31, 2019. The decrease was primarily driven by a 11.2% reduction in full-time employees between December 31, 2019 and December 31, 2020, resulting in decreases in salaries and payroll taxes of $21.6 million, bonus payments of $1.6 million, and severance of $1.2 million, partially offset by increases in stock-based compensation expense of $3.8 million and Federal Insurance Contributions Act tax of $0.3 million.</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62" w:lineRule="exact"/>
        <w:rPr>
          <w:sz w:val="20"/>
          <w:szCs w:val="20"/>
          <w:color w:val="auto"/>
        </w:rPr>
      </w:pPr>
    </w:p>
    <w:p>
      <w:pPr>
        <w:ind w:right="20" w:firstLine="297"/>
        <w:spacing w:after="0" w:line="292" w:lineRule="auto"/>
        <w:rPr>
          <w:sz w:val="20"/>
          <w:szCs w:val="20"/>
          <w:color w:val="auto"/>
        </w:rPr>
      </w:pPr>
      <w:r>
        <w:rPr>
          <w:rFonts w:ascii="Arial" w:cs="Arial" w:eastAsia="Arial" w:hAnsi="Arial"/>
          <w:sz w:val="15"/>
          <w:szCs w:val="15"/>
          <w:color w:val="auto"/>
        </w:rPr>
        <w:t>General and administrative expenses increased $25.7 million, or 27%, to $120.4 million for the year ended December 31, 2020, compared to the year ended December 31, 2019. The increase was primarily driven by increases in legal and other professional fees of $15.8 million, the ACA’s health insurance industry fee of $8.0 million with no corresponding charge in 2019, commissions paid to outside brokers of $7.5 million, and contractor and consulting fees of $7.9 million. These increases were partially offset by a decrease in expenses associated with various membership-driven and overhead administrative costs of $13.5 million.</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 Deficiency Reserve (Benefit) Expense</w:t>
      </w:r>
    </w:p>
    <w:p>
      <w:pPr>
        <w:spacing w:after="0" w:line="162" w:lineRule="exact"/>
        <w:rPr>
          <w:sz w:val="20"/>
          <w:szCs w:val="20"/>
          <w:color w:val="auto"/>
        </w:rPr>
      </w:pPr>
    </w:p>
    <w:p>
      <w:pPr>
        <w:ind w:right="280" w:firstLine="297"/>
        <w:spacing w:after="0" w:line="274" w:lineRule="auto"/>
        <w:rPr>
          <w:sz w:val="20"/>
          <w:szCs w:val="20"/>
          <w:color w:val="auto"/>
        </w:rPr>
      </w:pPr>
      <w:r>
        <w:rPr>
          <w:rFonts w:ascii="Arial" w:cs="Arial" w:eastAsia="Arial" w:hAnsi="Arial"/>
          <w:sz w:val="16"/>
          <w:szCs w:val="16"/>
          <w:color w:val="auto"/>
        </w:rPr>
        <w:t>Premium deficiency reserve (benefit) expense amortization changed to a benefit of $17.1 million for the year ended December 31, 2020 from an expense of $7.5 million for the year ended December 31, 2019. The change to a benefit from an expense was primarily due to changes in actual and anticipated experience in management’s assessment of the profitability of contracts.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Change in Fair Value of Warrants Expense</w:t>
      </w:r>
    </w:p>
    <w:p>
      <w:pPr>
        <w:spacing w:after="0" w:line="16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6"/>
          <w:szCs w:val="16"/>
          <w:color w:val="auto"/>
        </w:rPr>
        <w:t>Change in fair value of warrants expense increased by $77.4 million to $80.3 million for the year ended December 31, 2020, compared to the year ended December 31, 2019. The increase was primarily due to a larger increase in the valuation of warrants in 2020 as compared to the valuation of warrants in 2019, driven by the change in beginning stock price, the estimated holding period, the volatility in the stock price and a change in the risk-free interest rate period over period, as well as the Closing transaction consummating subsequent to the year ended December 31, 2020.</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Interest expense increased $12.8 million, or 55%, to $36.0 million for the year ended December 31, 2020, compared to the year ended December 31, 2019, primarily related to higher stated interest in 2020 associated with convertible securities, partially offset by lower stated interest on the non-convertible securities in 2020 resulting from the decrease in principal balance. Interest expense associated with convertible securities and non-convertible securities increased $14.1 million and decreased $1.3 million, respectively, for the year ended December 31, 2020.</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Amortization of Notes and Securities Discounts</w:t>
      </w:r>
    </w:p>
    <w:p>
      <w:pPr>
        <w:spacing w:after="0" w:line="162"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Amortization of notes and securities discounts increased $5.2 million, or 33%, to $21.1 million for the year ended December 31, 2020, compared to the year ended December 31, 2019. The increase related to the amortization of debt discounts associated with the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0" w:name="page91"/>
    <w:bookmarkEnd w:id="90"/>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Loss on Derivative</w:t>
      </w:r>
    </w:p>
    <w:p>
      <w:pPr>
        <w:spacing w:after="0" w:line="162" w:lineRule="exact"/>
        <w:rPr>
          <w:sz w:val="20"/>
          <w:szCs w:val="20"/>
          <w:color w:val="auto"/>
        </w:rPr>
      </w:pPr>
    </w:p>
    <w:p>
      <w:pPr>
        <w:ind w:firstLine="297"/>
        <w:spacing w:after="0" w:line="325" w:lineRule="auto"/>
        <w:rPr>
          <w:sz w:val="20"/>
          <w:szCs w:val="20"/>
          <w:color w:val="auto"/>
        </w:rPr>
      </w:pPr>
      <w:r>
        <w:rPr>
          <w:rFonts w:ascii="Arial" w:cs="Arial" w:eastAsia="Arial" w:hAnsi="Arial"/>
          <w:sz w:val="15"/>
          <w:szCs w:val="15"/>
          <w:color w:val="auto"/>
        </w:rPr>
        <w:t>(Gain) loss on derivative changed to a gain of $93.8 million in 2020 from a loss of $138.6 million for the year ended December 31, 2019. The change to a gain from a loss year over year relates to the decrease in the derivative balance as a result of the completion of a qualified public offering (“QPO”) subsequent to December 31, 2020.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6"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As of September 30, 2021, we had cash, cash equivalents, and short-term investments of $420.7 million. Additionally, as of September 30, 2021, we had $168.0 million of available-for-sale and held-to-maturity investment securities, an outstanding balance of $21.6 million on convertible notes issued by an indirect, wholly-owned subsidiary, and no outstanding balance on our Term Loan Notes. Our cash equivalents, short-term investments, and investment securities consist primarily of money market funds and U.S. government debt securities.</w:t>
      </w:r>
    </w:p>
    <w:p>
      <w:pPr>
        <w:spacing w:after="0" w:line="118"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auto"/>
        </w:rPr>
        <w:t>Since inception, we have financed our operations primarily from the proceeds we received through private sales of equity securities, issuances of convertible notes, premiums earned under our MA plans, borrowings under our term loan facility and, most recently, with our Direct Contracting revenues. We expect that our cash, cash equivalents,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subsidiaries, two of which are subject to regulatory restrictions. We continue to maintain significant levels of aggregate excess statutory capital and surplus in our state-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regulated operating subsidiaries. Cash, cash equivalents, and short-term investments at the parent company were $236.0 million and $5.4 million as of September 30,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2021, and December 31, 2020, respectively. This increase at the parent company primarily reflects proceeds from the Business Combination offset by capital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contributions made to insurance subsidiaries, operating expenses, and repayment of debt. Our unregulated subsidiaries held $38.0 million and $44.6 million of cash, cash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equivalents, and short-term investments as of September 30, 2021, and December 31, 2020, respectively. Our regulated insurance subsidiaries held $146.7 million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$46.4 million of cash, cash equivalents, and short-term investments as of September 30, 2021, and December 31, 2020, respectively. Additionally, our regulated insurance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subsidiaries held $98.2 million and $54.7 million of available-for-sale and held-to-maturity investment securities as of September 30, 2021, and December 31, 2020,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respectively. Our use of operating cash derived from our non-insurance subsidiaries is generally not restricted by departments of insurance (or comparable state regulatory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agencies). Our regulated insurance subsidiaries have not paid dividends to the parent, and applicable insurance laws restrict the ability of our regulated insurance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subsidiary to declare and pay dividends to the parent. Insurance regulators have broad powers to prevent reduction of statutory surplus to inadequate levels, and there is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no assurance that dividends of the maximum amounts calculated under any applicable formula would be permitted. State insurance regulatory authorities that have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jurisdiction over the payment of dividends by our regulated insurance subsidiary may in the future adopt statutory provisions more restrictive than those currently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effect. For additional information, please refer to the parent company financial statements and accompanying notes in Schedule II—Parent Company Financial</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in our Consolidated Financial Statements included in the Form 8-K/A.</w:t>
      </w:r>
    </w:p>
    <w:p>
      <w:pPr>
        <w:spacing w:after="0" w:line="151" w:lineRule="exact"/>
        <w:rPr>
          <w:sz w:val="20"/>
          <w:szCs w:val="20"/>
          <w:color w:val="auto"/>
        </w:rPr>
      </w:pPr>
    </w:p>
    <w:p>
      <w:pPr>
        <w:ind w:right="440" w:firstLine="297"/>
        <w:spacing w:after="0" w:line="290" w:lineRule="auto"/>
        <w:rPr>
          <w:sz w:val="20"/>
          <w:szCs w:val="20"/>
          <w:color w:val="auto"/>
        </w:rPr>
      </w:pPr>
      <w:r>
        <w:rPr>
          <w:rFonts w:ascii="Arial" w:cs="Arial" w:eastAsia="Arial" w:hAnsi="Arial"/>
          <w:sz w:val="16"/>
          <w:szCs w:val="16"/>
          <w:color w:val="auto"/>
        </w:rPr>
        <w:t>For a detailed discussion of our regulatory requirements, including aggregate statutory capital and surplus as well as dividends paid from the subsidiaries to the parent, please refer to Notes 22, 23, and 24 to our Consolidated Financial Statements included in the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Cash Flows</w:t>
      </w:r>
    </w:p>
    <w:p>
      <w:pPr>
        <w:spacing w:after="0" w:line="166"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The following table summarizes our consolidated cash flows for the nine months ended September 30, 2021 and 2020, and the years ended December 31, 2020 and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60" w:type="dxa"/>
            <w:vAlign w:val="bottom"/>
            <w:gridSpan w:val="5"/>
          </w:tcPr>
          <w:p>
            <w:pPr>
              <w:ind w:left="200"/>
              <w:spacing w:after="0"/>
              <w:rPr>
                <w:sz w:val="20"/>
                <w:szCs w:val="20"/>
                <w:color w:val="auto"/>
              </w:rPr>
            </w:pPr>
            <w:r>
              <w:rPr>
                <w:rFonts w:ascii="Arial" w:cs="Arial" w:eastAsia="Arial" w:hAnsi="Arial"/>
                <w:sz w:val="13"/>
                <w:szCs w:val="13"/>
                <w:b w:val="1"/>
                <w:bCs w:val="1"/>
                <w:color w:val="auto"/>
              </w:rPr>
              <w:t>Nine Months Ended September 30,</w:t>
            </w:r>
          </w:p>
        </w:tc>
        <w:tc>
          <w:tcPr>
            <w:tcW w:w="2500" w:type="dxa"/>
            <w:vAlign w:val="bottom"/>
            <w:gridSpan w:val="2"/>
          </w:tcPr>
          <w:p>
            <w:pPr>
              <w:jc w:val="right"/>
              <w:ind w:right="642"/>
              <w:spacing w:after="0"/>
              <w:rPr>
                <w:sz w:val="20"/>
                <w:szCs w:val="20"/>
                <w:color w:val="auto"/>
              </w:rPr>
            </w:pPr>
            <w:r>
              <w:rPr>
                <w:rFonts w:ascii="Arial" w:cs="Arial" w:eastAsia="Arial" w:hAnsi="Arial"/>
                <w:sz w:val="13"/>
                <w:szCs w:val="13"/>
                <w:b w:val="1"/>
                <w:bCs w:val="1"/>
                <w:color w:val="auto"/>
              </w:rPr>
              <w:t>Years Ended December 31,</w:t>
            </w:r>
          </w:p>
        </w:tc>
      </w:tr>
      <w:tr>
        <w:trPr>
          <w:trHeight w:val="169"/>
        </w:trPr>
        <w:tc>
          <w:tcPr>
            <w:tcW w:w="51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3"/>
                <w:szCs w:val="13"/>
                <w:b w:val="1"/>
                <w:bCs w:val="1"/>
                <w:color w:val="auto"/>
              </w:rPr>
              <w:t>2020</w:t>
            </w: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2019</w:t>
            </w:r>
          </w:p>
        </w:tc>
      </w:tr>
      <w:tr>
        <w:trPr>
          <w:trHeight w:val="165"/>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3"/>
          </w:tcPr>
          <w:p>
            <w:pPr>
              <w:ind w:left="760"/>
              <w:spacing w:after="0"/>
              <w:rPr>
                <w:sz w:val="20"/>
                <w:szCs w:val="20"/>
                <w:color w:val="auto"/>
              </w:rPr>
            </w:pPr>
            <w:r>
              <w:rPr>
                <w:rFonts w:ascii="Arial" w:cs="Arial" w:eastAsia="Arial" w:hAnsi="Arial"/>
                <w:sz w:val="13"/>
                <w:szCs w:val="13"/>
                <w:b w:val="1"/>
                <w:bCs w:val="1"/>
                <w:color w:val="auto"/>
              </w:rPr>
              <w:t>(in thousands)</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Cash Flows Data</w:t>
            </w: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324"/>
              <w:spacing w:after="0"/>
              <w:rPr>
                <w:sz w:val="20"/>
                <w:szCs w:val="20"/>
                <w:color w:val="auto"/>
              </w:rPr>
            </w:pPr>
            <w:r>
              <w:rPr>
                <w:rFonts w:ascii="Arial" w:cs="Arial" w:eastAsia="Arial" w:hAnsi="Arial"/>
                <w:sz w:val="16"/>
                <w:szCs w:val="16"/>
                <w:color w:val="auto"/>
                <w:w w:val="93"/>
              </w:rPr>
              <w:t>(202,150)</w:t>
            </w:r>
          </w:p>
        </w:tc>
        <w:tc>
          <w:tcPr>
            <w:tcW w:w="3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424"/>
              <w:spacing w:after="0"/>
              <w:rPr>
                <w:sz w:val="20"/>
                <w:szCs w:val="20"/>
                <w:color w:val="auto"/>
              </w:rPr>
            </w:pPr>
            <w:r>
              <w:rPr>
                <w:rFonts w:ascii="Arial" w:cs="Arial" w:eastAsia="Arial" w:hAnsi="Arial"/>
                <w:sz w:val="16"/>
                <w:szCs w:val="16"/>
                <w:color w:val="auto"/>
                <w:w w:val="93"/>
              </w:rPr>
              <w:t>(58,594)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ind w:right="284"/>
              <w:spacing w:after="0"/>
              <w:rPr>
                <w:sz w:val="20"/>
                <w:szCs w:val="20"/>
                <w:color w:val="auto"/>
              </w:rPr>
            </w:pPr>
            <w:r>
              <w:rPr>
                <w:rFonts w:ascii="Arial" w:cs="Arial" w:eastAsia="Arial" w:hAnsi="Arial"/>
                <w:sz w:val="16"/>
                <w:szCs w:val="16"/>
                <w:color w:val="auto"/>
              </w:rPr>
              <w:t>$ (118,498)</w:t>
            </w:r>
          </w:p>
        </w:tc>
        <w:tc>
          <w:tcPr>
            <w:tcW w:w="1200" w:type="dxa"/>
            <w:vAlign w:val="bottom"/>
          </w:tcPr>
          <w:p>
            <w:pPr>
              <w:jc w:val="right"/>
              <w:spacing w:after="0"/>
              <w:rPr>
                <w:sz w:val="20"/>
                <w:szCs w:val="20"/>
                <w:color w:val="auto"/>
              </w:rPr>
            </w:pPr>
            <w:r>
              <w:rPr>
                <w:rFonts w:ascii="Arial" w:cs="Arial" w:eastAsia="Arial" w:hAnsi="Arial"/>
                <w:sz w:val="16"/>
                <w:szCs w:val="16"/>
                <w:color w:val="auto"/>
              </w:rPr>
              <w:t>$ (159,875)</w:t>
            </w: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24"/>
              <w:spacing w:after="0"/>
              <w:rPr>
                <w:sz w:val="20"/>
                <w:szCs w:val="20"/>
                <w:color w:val="auto"/>
              </w:rPr>
            </w:pPr>
            <w:r>
              <w:rPr>
                <w:rFonts w:ascii="Arial" w:cs="Arial" w:eastAsia="Arial" w:hAnsi="Arial"/>
                <w:sz w:val="16"/>
                <w:szCs w:val="16"/>
                <w:color w:val="auto"/>
                <w:w w:val="93"/>
              </w:rPr>
              <w:t>(328,956)</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44"/>
              <w:spacing w:after="0"/>
              <w:rPr>
                <w:sz w:val="20"/>
                <w:szCs w:val="20"/>
                <w:color w:val="auto"/>
              </w:rPr>
            </w:pPr>
            <w:r>
              <w:rPr>
                <w:rFonts w:ascii="Arial" w:cs="Arial" w:eastAsia="Arial" w:hAnsi="Arial"/>
                <w:sz w:val="16"/>
                <w:szCs w:val="16"/>
                <w:color w:val="auto"/>
                <w:w w:val="93"/>
              </w:rPr>
              <w:t>69,847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137,404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(181,908)</w:t>
            </w: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Pr>
          <w:p>
            <w:pPr>
              <w:spacing w:after="0"/>
              <w:rPr>
                <w:sz w:val="18"/>
                <w:szCs w:val="18"/>
                <w:color w:val="auto"/>
              </w:rPr>
            </w:pPr>
          </w:p>
        </w:tc>
        <w:tc>
          <w:tcPr>
            <w:tcW w:w="1200" w:type="dxa"/>
            <w:vAlign w:val="bottom"/>
          </w:tcPr>
          <w:p>
            <w:pPr>
              <w:jc w:val="center"/>
              <w:ind w:left="344"/>
              <w:spacing w:after="0"/>
              <w:rPr>
                <w:sz w:val="20"/>
                <w:szCs w:val="20"/>
                <w:color w:val="auto"/>
              </w:rPr>
            </w:pPr>
            <w:r>
              <w:rPr>
                <w:rFonts w:ascii="Arial" w:cs="Arial" w:eastAsia="Arial" w:hAnsi="Arial"/>
                <w:sz w:val="16"/>
                <w:szCs w:val="16"/>
                <w:color w:val="auto"/>
                <w:w w:val="93"/>
              </w:rPr>
              <w:t>641,022</w:t>
            </w:r>
          </w:p>
        </w:tc>
        <w:tc>
          <w:tcPr>
            <w:tcW w:w="380" w:type="dxa"/>
            <w:vAlign w:val="bottom"/>
          </w:tcPr>
          <w:p>
            <w:pPr>
              <w:spacing w:after="0"/>
              <w:rPr>
                <w:sz w:val="18"/>
                <w:szCs w:val="18"/>
                <w:color w:val="auto"/>
              </w:rPr>
            </w:pPr>
          </w:p>
        </w:tc>
        <w:tc>
          <w:tcPr>
            <w:tcW w:w="1100" w:type="dxa"/>
            <w:vAlign w:val="bottom"/>
          </w:tcPr>
          <w:p>
            <w:pPr>
              <w:jc w:val="center"/>
              <w:ind w:left="444"/>
              <w:spacing w:after="0"/>
              <w:rPr>
                <w:sz w:val="20"/>
                <w:szCs w:val="20"/>
                <w:color w:val="auto"/>
              </w:rPr>
            </w:pPr>
            <w:r>
              <w:rPr>
                <w:rFonts w:ascii="Arial" w:cs="Arial" w:eastAsia="Arial" w:hAnsi="Arial"/>
                <w:sz w:val="16"/>
                <w:szCs w:val="16"/>
                <w:color w:val="auto"/>
                <w:w w:val="93"/>
              </w:rPr>
              <w:t>10,881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5,844</w:t>
            </w:r>
          </w:p>
        </w:tc>
        <w:tc>
          <w:tcPr>
            <w:tcW w:w="1200" w:type="dxa"/>
            <w:vAlign w:val="bottom"/>
          </w:tcPr>
          <w:p>
            <w:pPr>
              <w:jc w:val="right"/>
              <w:spacing w:after="0"/>
              <w:rPr>
                <w:sz w:val="20"/>
                <w:szCs w:val="20"/>
                <w:color w:val="auto"/>
              </w:rPr>
            </w:pPr>
            <w:r>
              <w:rPr>
                <w:rFonts w:ascii="Arial" w:cs="Arial" w:eastAsia="Arial" w:hAnsi="Arial"/>
                <w:sz w:val="16"/>
                <w:szCs w:val="16"/>
                <w:color w:val="auto"/>
              </w:rPr>
              <w:t>333,978</w:t>
            </w:r>
          </w:p>
        </w:tc>
      </w:tr>
    </w:tbl>
    <w:p>
      <w:pPr>
        <w:spacing w:after="0" w:line="22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largest source of operating cash flows is capitated payments from CMS. Our primary uses of cash from operating activities are payments for medical benefits.</w:t>
      </w:r>
    </w:p>
    <w:p>
      <w:pPr>
        <w:spacing w:after="0" w:line="174"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For the nine months ended September 30, 2021, net cash used in operating activities was $202.2 million, which included net loss of $400.6 million. Non-cash activities included a $66.1 million gain as a result of the change in fair value of warrants payable and a $132.5 million charge to stock-based compensation expense. Changes to our working capital included a $48.7 million charge to our premium deficiency reserve and an increase of $13.2 million in surety bonds and deposits related to Direct Contracting.</w:t>
      </w:r>
    </w:p>
    <w:p>
      <w:pPr>
        <w:spacing w:after="0" w:line="118" w:lineRule="exact"/>
        <w:rPr>
          <w:sz w:val="20"/>
          <w:szCs w:val="20"/>
          <w:color w:val="auto"/>
        </w:rPr>
      </w:pPr>
    </w:p>
    <w:p>
      <w:pPr>
        <w:ind w:right="260" w:firstLine="297"/>
        <w:spacing w:after="0" w:line="274" w:lineRule="auto"/>
        <w:rPr>
          <w:sz w:val="20"/>
          <w:szCs w:val="20"/>
          <w:color w:val="auto"/>
        </w:rPr>
      </w:pPr>
      <w:r>
        <w:rPr>
          <w:rFonts w:ascii="Arial" w:cs="Arial" w:eastAsia="Arial" w:hAnsi="Arial"/>
          <w:sz w:val="16"/>
          <w:szCs w:val="16"/>
          <w:color w:val="auto"/>
        </w:rPr>
        <w:t>For the nine months ended September 30, 2020, net cash used in operating activities was $58.6 million, which included a net loss of $10.0 million. Non-cash activities primarily consisted of a $87.5 million gain on derivative, $14.9 million in amortization of notes and securities discount, a $31.9 million loss on the change in fair value of warrants payable, and $4.9 million of stock-based compensation expense.</w:t>
      </w:r>
    </w:p>
    <w:p>
      <w:pPr>
        <w:spacing w:after="0" w:line="112"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For the year ended December 31, 2020, net cash used in operating activities was $118.5 million, which included a net loss of $136.4 million. Non-cash charges primarily consisted of a $93.8 million gain on derivative, $80.1 million loss on the change in fair value of warrants expense, $28.3 million in paid in kind interest expense, $21.1 million in amortization of notes and securities discount, and $7.1 million of stock-based compensation expense.</w:t>
      </w:r>
    </w:p>
    <w:p>
      <w:pPr>
        <w:spacing w:after="0" w:line="112" w:lineRule="exact"/>
        <w:rPr>
          <w:sz w:val="20"/>
          <w:szCs w:val="20"/>
          <w:color w:val="auto"/>
        </w:rPr>
      </w:pPr>
    </w:p>
    <w:p>
      <w:pPr>
        <w:ind w:right="240" w:firstLine="297"/>
        <w:spacing w:after="0" w:line="274" w:lineRule="auto"/>
        <w:rPr>
          <w:sz w:val="20"/>
          <w:szCs w:val="20"/>
          <w:color w:val="auto"/>
        </w:rPr>
      </w:pPr>
      <w:r>
        <w:rPr>
          <w:rFonts w:ascii="Arial" w:cs="Arial" w:eastAsia="Arial" w:hAnsi="Arial"/>
          <w:sz w:val="16"/>
          <w:szCs w:val="16"/>
          <w:color w:val="auto"/>
        </w:rPr>
        <w:t>For the year ended December 31, 2019, net cash used in operating activities was $159.9 million, which included a net loss of $363.7 million. Non-cash charges primarily consisted of a $138.6 million loss on derivative, $15.9 million in amortization of notes and securities discount, $11.6 million in paid in kind interest expense, $3.3 million of stock-based compensation expense and a $2.9 million loss on the change in fair value of warrants expense.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62" w:lineRule="exact"/>
        <w:rPr>
          <w:sz w:val="20"/>
          <w:szCs w:val="20"/>
          <w:color w:val="auto"/>
        </w:rPr>
      </w:pPr>
    </w:p>
    <w:p>
      <w:pPr>
        <w:ind w:right="680" w:firstLine="297"/>
        <w:spacing w:after="0" w:line="290" w:lineRule="auto"/>
        <w:rPr>
          <w:sz w:val="20"/>
          <w:szCs w:val="20"/>
          <w:color w:val="auto"/>
        </w:rPr>
      </w:pPr>
      <w:r>
        <w:rPr>
          <w:rFonts w:ascii="Arial" w:cs="Arial" w:eastAsia="Arial" w:hAnsi="Arial"/>
          <w:sz w:val="16"/>
          <w:szCs w:val="16"/>
          <w:color w:val="auto"/>
        </w:rPr>
        <w:t>Net cash used in investing activities for the nine months ended September 30, 2021, of $329.0 million was primarily due to $705.6 million used to purchase investment securities, offset by $377.1 million provided from the sale and maturity of investment securities.</w:t>
      </w:r>
    </w:p>
    <w:p>
      <w:pPr>
        <w:spacing w:after="0" w:line="99" w:lineRule="exact"/>
        <w:rPr>
          <w:sz w:val="20"/>
          <w:szCs w:val="20"/>
          <w:color w:val="auto"/>
        </w:rPr>
      </w:pPr>
    </w:p>
    <w:p>
      <w:pPr>
        <w:ind w:right="40" w:firstLine="297"/>
        <w:spacing w:after="0" w:line="290" w:lineRule="auto"/>
        <w:rPr>
          <w:sz w:val="20"/>
          <w:szCs w:val="20"/>
          <w:color w:val="auto"/>
        </w:rPr>
      </w:pPr>
      <w:r>
        <w:rPr>
          <w:rFonts w:ascii="Arial" w:cs="Arial" w:eastAsia="Arial" w:hAnsi="Arial"/>
          <w:sz w:val="16"/>
          <w:szCs w:val="16"/>
          <w:color w:val="auto"/>
        </w:rPr>
        <w:t>Net cash provided by investing activities for the nine months ended September 30, 2020, of $69.8 million was primarily due to $222.7 million provided from the sale and maturity of investment securities, partially offset by $152.2 million used to purchase investment securities.</w:t>
      </w:r>
    </w:p>
    <w:p>
      <w:pPr>
        <w:spacing w:after="0" w:line="99"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Net cash provided by investing activities for the year ended December 31, 2020, of $137.4 million was primarily due to $312.4 million provided from the sale and maturity of investment securities, offset by $174.3 million used to purchase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3" w:lineRule="exact"/>
        <w:rPr>
          <w:sz w:val="20"/>
          <w:szCs w:val="20"/>
          <w:color w:val="auto"/>
        </w:rPr>
      </w:pPr>
    </w:p>
    <w:p>
      <w:pPr>
        <w:ind w:right="360" w:firstLine="297"/>
        <w:spacing w:after="0" w:line="290" w:lineRule="auto"/>
        <w:rPr>
          <w:sz w:val="20"/>
          <w:szCs w:val="20"/>
          <w:color w:val="auto"/>
        </w:rPr>
      </w:pPr>
      <w:r>
        <w:rPr>
          <w:rFonts w:ascii="Arial" w:cs="Arial" w:eastAsia="Arial" w:hAnsi="Arial"/>
          <w:sz w:val="16"/>
          <w:szCs w:val="16"/>
          <w:color w:val="auto"/>
        </w:rPr>
        <w:t>Net cash used in investing activities for the year ended December 31, 2019, of $181.9 million was primarily due to $505.5 million used to purchase investment securities, partially offset by $324.8 million provided from the sale and maturity of investment securities.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2"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Net cash provided by financing activities for the nine months ended September 30, 2021, of $641.0 million was the result of $666.2 million in proceeds from the reverse recapitalization in connection with the Business Combination, net of transaction costs, partially offset by $30.9 million in principal payments on our outstanding Term Loan Notes.</w:t>
      </w:r>
    </w:p>
    <w:p>
      <w:pPr>
        <w:spacing w:after="0" w:line="112" w:lineRule="exact"/>
        <w:rPr>
          <w:sz w:val="20"/>
          <w:szCs w:val="20"/>
          <w:color w:val="auto"/>
        </w:rPr>
      </w:pPr>
    </w:p>
    <w:p>
      <w:pPr>
        <w:jc w:val="both"/>
        <w:ind w:firstLine="297"/>
        <w:spacing w:after="0" w:line="274" w:lineRule="auto"/>
        <w:rPr>
          <w:sz w:val="20"/>
          <w:szCs w:val="20"/>
          <w:color w:val="auto"/>
        </w:rPr>
      </w:pPr>
      <w:r>
        <w:rPr>
          <w:rFonts w:ascii="Arial" w:cs="Arial" w:eastAsia="Arial" w:hAnsi="Arial"/>
          <w:sz w:val="16"/>
          <w:szCs w:val="16"/>
          <w:color w:val="auto"/>
        </w:rPr>
        <w:t>Net cash provided by financing activities for the nine months ended September 30, 2020, of $10.9 million was primarily the result of $20.0 million in proceeds from the issuance of the Convertible Securities and $3.9 million from the acquisition of our noncontrolling interest, partially offset by $13.9 million in principal payments on our outstanding Term Loan Notes.</w:t>
      </w:r>
    </w:p>
    <w:p>
      <w:pPr>
        <w:spacing w:after="0" w:line="112" w:lineRule="exact"/>
        <w:rPr>
          <w:sz w:val="20"/>
          <w:szCs w:val="20"/>
          <w:color w:val="auto"/>
        </w:rPr>
      </w:pPr>
    </w:p>
    <w:p>
      <w:pPr>
        <w:ind w:right="260" w:firstLine="297"/>
        <w:spacing w:after="0" w:line="268" w:lineRule="auto"/>
        <w:rPr>
          <w:sz w:val="20"/>
          <w:szCs w:val="20"/>
          <w:color w:val="auto"/>
        </w:rPr>
      </w:pPr>
      <w:r>
        <w:rPr>
          <w:rFonts w:ascii="Arial" w:cs="Arial" w:eastAsia="Arial" w:hAnsi="Arial"/>
          <w:sz w:val="16"/>
          <w:szCs w:val="16"/>
          <w:color w:val="auto"/>
        </w:rPr>
        <w:t>Net cash provided by financing activities for the year ended December 31, 2020 of $5.8 million was primarily the result of $20.0 million in proceeds from the issuance of the Convertible Securities, $3.9 million in issuance of noncontrolling interest, and $1.7 million in proceeds from the issuance of common stock, offset by $18.8 million in principal payments on our outstanding Term Loan Notes and $1.0 million in payments associated with the buyback and subsequent cancellation of common stock.</w:t>
      </w:r>
    </w:p>
    <w:p>
      <w:pPr>
        <w:spacing w:after="0" w:line="118"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Net cash provided by financing activities for the year ended December 31, 2019 of $334.0 million was primarily the result of $343.4 million in proceeds from the issuance of the Convertible Securities, partially offset by $9.7 million in principal payments on our outstanding Term Loan Notes.</w:t>
      </w:r>
    </w:p>
    <w:p>
      <w:pPr>
        <w:spacing w:after="0" w:line="95" w:lineRule="exact"/>
        <w:rPr>
          <w:sz w:val="20"/>
          <w:szCs w:val="20"/>
          <w:color w:val="auto"/>
        </w:rPr>
      </w:pPr>
    </w:p>
    <w:p>
      <w:pPr>
        <w:jc w:val="center"/>
        <w:ind w:right="9380"/>
        <w:spacing w:after="0"/>
        <w:rPr>
          <w:sz w:val="20"/>
          <w:szCs w:val="20"/>
          <w:color w:val="auto"/>
        </w:rPr>
      </w:pPr>
      <w:r>
        <w:rPr>
          <w:rFonts w:ascii="Arial" w:cs="Arial" w:eastAsia="Arial" w:hAnsi="Arial"/>
          <w:sz w:val="14"/>
          <w:szCs w:val="14"/>
          <w:b w:val="1"/>
          <w:bCs w:val="1"/>
          <w:color w:val="auto"/>
        </w:rPr>
        <w:t>Financing Arrangements</w:t>
      </w:r>
    </w:p>
    <w:p>
      <w:pPr>
        <w:spacing w:after="0" w:line="189" w:lineRule="exact"/>
        <w:rPr>
          <w:sz w:val="20"/>
          <w:szCs w:val="20"/>
          <w:color w:val="auto"/>
        </w:rPr>
      </w:pPr>
    </w:p>
    <w:p>
      <w:pPr>
        <w:jc w:val="center"/>
        <w:ind w:right="9380"/>
        <w:spacing w:after="0"/>
        <w:rPr>
          <w:sz w:val="20"/>
          <w:szCs w:val="20"/>
          <w:color w:val="auto"/>
        </w:rPr>
      </w:pPr>
      <w:r>
        <w:rPr>
          <w:rFonts w:ascii="Arial" w:cs="Arial" w:eastAsia="Arial" w:hAnsi="Arial"/>
          <w:sz w:val="16"/>
          <w:szCs w:val="16"/>
          <w:b w:val="1"/>
          <w:bCs w:val="1"/>
          <w:i w:val="1"/>
          <w:iCs w:val="1"/>
          <w:color w:val="auto"/>
        </w:rPr>
        <w:t>Term Loan Notes</w:t>
      </w:r>
    </w:p>
    <w:p>
      <w:pPr>
        <w:spacing w:after="0" w:line="162" w:lineRule="exact"/>
        <w:rPr>
          <w:sz w:val="20"/>
          <w:szCs w:val="20"/>
          <w:color w:val="auto"/>
        </w:rPr>
      </w:pPr>
    </w:p>
    <w:p>
      <w:pPr>
        <w:ind w:right="140" w:firstLine="297"/>
        <w:spacing w:after="0" w:line="264" w:lineRule="auto"/>
        <w:rPr>
          <w:sz w:val="20"/>
          <w:szCs w:val="20"/>
          <w:color w:val="auto"/>
        </w:rPr>
      </w:pPr>
      <w:r>
        <w:rPr>
          <w:rFonts w:ascii="Arial" w:cs="Arial" w:eastAsia="Arial" w:hAnsi="Arial"/>
          <w:sz w:val="16"/>
          <w:szCs w:val="16"/>
          <w:color w:val="auto"/>
        </w:rPr>
        <w:t>We entered into a loan and security agreement with a commercial lender in March 2017, which provided for term loans in an aggregate principal amount of up to $60.0 million. At that time, we borrowed $40.0 million as a term loan under the agreement which was subject to an interest rate of 11.0%, payable monthly, and had a maturity date of March 1, 2022. In October 2017, we borrowed the remaining $20.0 million as a term loan under the agreement which was subject to an interest rate of 11.25%, payable monthly, and had a maturity date of October 1, 2022. Each loan was payable in monthly installments of interest only for the first 24 months, and thereafter interest and principal were payable in 36 equal monthly installments. The loans were secured by substantially all of our assets, including our intellectual property, and equity interests in our unregulated subsidiaries.</w:t>
      </w:r>
    </w:p>
    <w:p>
      <w:pPr>
        <w:spacing w:after="0" w:line="121" w:lineRule="exact"/>
        <w:rPr>
          <w:sz w:val="20"/>
          <w:szCs w:val="20"/>
          <w:color w:val="auto"/>
        </w:rPr>
      </w:pPr>
    </w:p>
    <w:p>
      <w:pPr>
        <w:ind w:left="300" w:right="380"/>
        <w:spacing w:after="0" w:line="451" w:lineRule="auto"/>
        <w:rPr>
          <w:sz w:val="20"/>
          <w:szCs w:val="20"/>
          <w:color w:val="auto"/>
        </w:rPr>
      </w:pPr>
      <w:r>
        <w:rPr>
          <w:rFonts w:ascii="Arial" w:cs="Arial" w:eastAsia="Arial" w:hAnsi="Arial"/>
          <w:sz w:val="16"/>
          <w:szCs w:val="16"/>
          <w:color w:val="auto"/>
        </w:rPr>
        <w:t xml:space="preserve">On June 29, 2021, the Corporation voluntarily paid the remaining principal of $20.7 million and interest of $0.2 million, thereby terminating the Loan Facility. </w:t>
      </w:r>
      <w:r>
        <w:rPr>
          <w:rFonts w:ascii="Arial" w:cs="Arial" w:eastAsia="Arial" w:hAnsi="Arial"/>
          <w:sz w:val="16"/>
          <w:szCs w:val="16"/>
          <w:b w:val="1"/>
          <w:bCs w:val="1"/>
          <w:i w:val="1"/>
          <w:iCs w:val="1"/>
          <w:color w:val="auto"/>
        </w:rPr>
        <w:t>Convertible Securities</w:t>
      </w:r>
    </w:p>
    <w:p>
      <w:pPr>
        <w:spacing w:after="0" w:line="1" w:lineRule="exact"/>
        <w:rPr>
          <w:sz w:val="20"/>
          <w:szCs w:val="20"/>
          <w:color w:val="auto"/>
        </w:rPr>
      </w:pPr>
    </w:p>
    <w:p>
      <w:pPr>
        <w:ind w:right="140" w:firstLine="297"/>
        <w:spacing w:after="0" w:line="300" w:lineRule="auto"/>
        <w:rPr>
          <w:sz w:val="20"/>
          <w:szCs w:val="20"/>
          <w:color w:val="auto"/>
        </w:rPr>
      </w:pPr>
      <w:r>
        <w:rPr>
          <w:rFonts w:ascii="Arial" w:cs="Arial" w:eastAsia="Arial" w:hAnsi="Arial"/>
          <w:sz w:val="15"/>
          <w:szCs w:val="15"/>
          <w:color w:val="auto"/>
        </w:rPr>
        <w:t>In December 2018, we entered into a convertible securities purchase agreement with qualified institutional buyers, including entities affiliated with our Chief Executive Officer and other holders of more than 5.0% of our common stock, for an aggregate principal amount of up to $500.0 million. In February, March, May, and August 2019, we issued an aggregate of $373.8 million initial principal amount of convertible securities, or the Convertible Securities, under the agreement.</w:t>
      </w:r>
    </w:p>
    <w:p>
      <w:pPr>
        <w:spacing w:after="0" w:line="95" w:lineRule="exact"/>
        <w:rPr>
          <w:sz w:val="20"/>
          <w:szCs w:val="20"/>
          <w:color w:val="auto"/>
        </w:rPr>
      </w:pPr>
    </w:p>
    <w:p>
      <w:pPr>
        <w:ind w:right="20" w:firstLine="297"/>
        <w:spacing w:after="0" w:line="274" w:lineRule="auto"/>
        <w:rPr>
          <w:sz w:val="20"/>
          <w:szCs w:val="20"/>
          <w:color w:val="auto"/>
        </w:rPr>
      </w:pPr>
      <w:r>
        <w:rPr>
          <w:rFonts w:ascii="Arial" w:cs="Arial" w:eastAsia="Arial" w:hAnsi="Arial"/>
          <w:sz w:val="16"/>
          <w:szCs w:val="16"/>
          <w:color w:val="auto"/>
        </w:rPr>
        <w:t>In connection with and upon the closing of the Business Combination, the Convertible Securities mandatorily converted into 74,694,107 shares of the Corporation’s Class B Common Stock. For additional information about the Convertible Securities and the conversion of the Convertible Securities upon the closing of the Business Combination, see Note 9 (Notes and Securities Payable) to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3" w:name="page94"/>
    <w:bookmarkEnd w:id="93"/>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summarizes our contractual obligations and commitments at December 31, 2020:</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Payments Due by Period</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71"/>
        </w:trPr>
        <w:tc>
          <w:tcPr>
            <w:tcW w:w="3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00"/>
              <w:spacing w:after="0" w:line="172" w:lineRule="exact"/>
              <w:rPr>
                <w:sz w:val="20"/>
                <w:szCs w:val="20"/>
                <w:color w:val="auto"/>
              </w:rPr>
            </w:pPr>
            <w:r>
              <w:rPr>
                <w:rFonts w:ascii="Arial" w:cs="Arial" w:eastAsia="Arial" w:hAnsi="Arial"/>
                <w:sz w:val="13"/>
                <w:szCs w:val="13"/>
                <w:b w:val="1"/>
                <w:bCs w:val="1"/>
                <w:color w:val="auto"/>
              </w:rPr>
              <w:t>Total</w:t>
            </w:r>
            <w:r>
              <w:rPr>
                <w:rFonts w:ascii="Arial" w:cs="Arial" w:eastAsia="Arial" w:hAnsi="Arial"/>
                <w:sz w:val="17"/>
                <w:szCs w:val="17"/>
                <w:b w:val="1"/>
                <w:bCs w:val="1"/>
                <w:color w:val="auto"/>
                <w:vertAlign w:val="superscript"/>
              </w:rPr>
              <w:t>(2)</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8"/>
              </w:rPr>
              <w:t>1-3 years</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5"/>
              </w:rPr>
              <w:t>More than 5 years</w:t>
            </w:r>
          </w:p>
        </w:tc>
      </w:tr>
      <w:tr>
        <w:trPr>
          <w:trHeight w:val="164"/>
        </w:trPr>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(in thousands)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2"/>
        </w:trPr>
        <w:tc>
          <w:tcPr>
            <w:tcW w:w="36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Convertible Securities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Term Loan Notes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w:t>
            </w:r>
          </w:p>
        </w:tc>
      </w:tr>
      <w:tr>
        <w:trPr>
          <w:trHeight w:val="202"/>
        </w:trPr>
        <w:tc>
          <w:tcPr>
            <w:tcW w:w="368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438,783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5,017</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428,907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w:t>
            </w: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w:t>
      </w:r>
    </w:p>
    <w:p>
      <w:pPr>
        <w:spacing w:after="0" w:line="9" w:lineRule="exact"/>
        <w:rPr>
          <w:sz w:val="20"/>
          <w:szCs w:val="20"/>
          <w:color w:val="auto"/>
        </w:rPr>
      </w:pPr>
    </w:p>
    <w:p>
      <w:pPr>
        <w:ind w:left="281" w:hanging="281"/>
        <w:spacing w:after="0"/>
        <w:tabs>
          <w:tab w:leader="none" w:pos="2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Convertible Securities converted to Clover Class Z Common Stock as part of the Business Combination, as described in the section entitled “—Financing Arrangements—Convertible Securities”.</w:t>
      </w:r>
    </w:p>
    <w:p>
      <w:pPr>
        <w:spacing w:after="0" w:line="10" w:lineRule="exact"/>
        <w:rPr>
          <w:rFonts w:ascii="Arial" w:cs="Arial" w:eastAsia="Arial" w:hAnsi="Arial"/>
          <w:sz w:val="12"/>
          <w:szCs w:val="12"/>
          <w:color w:val="auto"/>
        </w:rPr>
      </w:pPr>
    </w:p>
    <w:p>
      <w:pPr>
        <w:ind w:left="281" w:hanging="281"/>
        <w:spacing w:after="0"/>
        <w:tabs>
          <w:tab w:leader="none" w:pos="28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Amounts for Convertible Securities and Term Loan Notes include outstanding principal balances.</w:t>
      </w:r>
    </w:p>
    <w:p>
      <w:pPr>
        <w:spacing w:after="0" w:line="141" w:lineRule="exact"/>
        <w:rPr>
          <w:sz w:val="20"/>
          <w:szCs w:val="20"/>
          <w:color w:val="auto"/>
        </w:rPr>
      </w:pPr>
    </w:p>
    <w:p>
      <w:pPr>
        <w:ind w:left="1" w:right="200" w:firstLine="297"/>
        <w:spacing w:after="0" w:line="274" w:lineRule="auto"/>
        <w:rPr>
          <w:sz w:val="20"/>
          <w:szCs w:val="20"/>
          <w:color w:val="auto"/>
        </w:rPr>
      </w:pPr>
      <w:r>
        <w:rPr>
          <w:rFonts w:ascii="Arial" w:cs="Arial" w:eastAsia="Arial" w:hAnsi="Arial"/>
          <w:sz w:val="16"/>
          <w:szCs w:val="16"/>
          <w:color w:val="auto"/>
        </w:rPr>
        <w:t>The commitment amounts in the table above are associated with contracts that were enforceable and legally binding as of December 31, 2020 and that specified all significant terms, including fixed or minimum services to be used, fixed, minimum or variable price provisions, and the approximate timing of the actions under the contracts.</w:t>
      </w:r>
    </w:p>
    <w:p>
      <w:pPr>
        <w:spacing w:after="0" w:line="112" w:lineRule="exact"/>
        <w:rPr>
          <w:sz w:val="20"/>
          <w:szCs w:val="20"/>
          <w:color w:val="auto"/>
        </w:rPr>
      </w:pPr>
    </w:p>
    <w:p>
      <w:pPr>
        <w:ind w:left="1" w:right="40" w:firstLine="297"/>
        <w:spacing w:after="0" w:line="290" w:lineRule="auto"/>
        <w:rPr>
          <w:sz w:val="20"/>
          <w:szCs w:val="20"/>
          <w:color w:val="auto"/>
        </w:rPr>
      </w:pPr>
      <w:r>
        <w:rPr>
          <w:rFonts w:ascii="Arial" w:cs="Arial" w:eastAsia="Arial" w:hAnsi="Arial"/>
          <w:sz w:val="16"/>
          <w:szCs w:val="16"/>
          <w:color w:val="auto"/>
        </w:rPr>
        <w:t>On September 25, 2020, one of our subsidiaries issued a promissory note in an aggregate principal amount of $20.0 million. The note is convertible into equity of the subsidiary and matures in September 2023.</w:t>
      </w:r>
    </w:p>
    <w:p>
      <w:pPr>
        <w:spacing w:after="0" w:line="99" w:lineRule="exact"/>
        <w:rPr>
          <w:sz w:val="20"/>
          <w:szCs w:val="20"/>
          <w:color w:val="auto"/>
        </w:rPr>
      </w:pPr>
    </w:p>
    <w:p>
      <w:pPr>
        <w:ind w:left="1" w:right="200" w:firstLine="297"/>
        <w:spacing w:after="0" w:line="290" w:lineRule="auto"/>
        <w:rPr>
          <w:sz w:val="20"/>
          <w:szCs w:val="20"/>
          <w:color w:val="auto"/>
        </w:rPr>
      </w:pPr>
      <w:r>
        <w:rPr>
          <w:rFonts w:ascii="Arial" w:cs="Arial" w:eastAsia="Arial" w:hAnsi="Arial"/>
          <w:sz w:val="16"/>
          <w:szCs w:val="16"/>
          <w:color w:val="auto"/>
        </w:rPr>
        <w:t>We believe that funds from future operating cash flows, cash and investments will be sufficient for future operations and commitments, and for capital acquisitions and other strategic transactions.</w:t>
      </w:r>
    </w:p>
    <w:p>
      <w:pPr>
        <w:spacing w:after="0" w:line="99" w:lineRule="exact"/>
        <w:rPr>
          <w:sz w:val="20"/>
          <w:szCs w:val="20"/>
          <w:color w:val="auto"/>
        </w:rPr>
      </w:pPr>
    </w:p>
    <w:p>
      <w:pPr>
        <w:ind w:left="1" w:firstLine="297"/>
        <w:spacing w:after="0" w:line="261" w:lineRule="auto"/>
        <w:rPr>
          <w:sz w:val="20"/>
          <w:szCs w:val="20"/>
          <w:color w:val="auto"/>
        </w:rPr>
      </w:pPr>
      <w:r>
        <w:rPr>
          <w:rFonts w:ascii="Arial" w:cs="Arial" w:eastAsia="Arial" w:hAnsi="Arial"/>
          <w:sz w:val="16"/>
          <w:szCs w:val="16"/>
          <w:color w:val="auto"/>
        </w:rPr>
        <w:t>Material changes to our contractual obligations and commitments as of September 30, 2021, as compared to the amounts disclosed as of December 31, 2020, in the Form 8-K/A included: (1) the recognition of a performance guarantee of $244.6 million in connection with the Corporation’s participation in the DC Model, (2) the impact of the exercise and redemption of all of our Public Warrants and Private Placement Warrants in the third quarter of 2021, which reduced our warrants payable from $97.8 million at December 31, 2020, to none at September 9, 2021, (3) the voluntary payment of the remaining principal of $20.7 million and interest of $0.2 million under the Loan Facility on June 29, 2021, and (4) the conversion of $373.8 million of Convertible Securities into common stock of the Corporation, effective as of the completion of the Business Combination. These developments are described in Note 19 (Direct Contracting), Note 10 (Warrants Payable), Note 9 (Notes and Securities Payable), and Note 3 (Business Combination) to Financial Statements in this prospectus, respectively. There were no other material changes to our contractual obligations and commitments as compared to those disclosed in the Form 8-K/A. For additional information regarding our remaining estimated contractual obligations and commitments, see Note 9 (Notes and Securities Payable), Note 11 (Derivative Liabilities), Note 18 (Commitments and Contingencies) and Note 19 (Direct Contracting) to Financial Statements included in this prospectus.</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Indemnification Agreements</w:t>
      </w:r>
    </w:p>
    <w:p>
      <w:pPr>
        <w:spacing w:after="0" w:line="166" w:lineRule="exact"/>
        <w:rPr>
          <w:sz w:val="20"/>
          <w:szCs w:val="20"/>
          <w:color w:val="auto"/>
        </w:rPr>
      </w:pPr>
    </w:p>
    <w:p>
      <w:pPr>
        <w:ind w:left="1" w:right="80" w:firstLine="297"/>
        <w:spacing w:after="0" w:line="268"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1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Off-balance Sheet Arrangements</w:t>
      </w:r>
    </w:p>
    <w:p>
      <w:pPr>
        <w:spacing w:after="0" w:line="166" w:lineRule="exact"/>
        <w:rPr>
          <w:sz w:val="20"/>
          <w:szCs w:val="20"/>
          <w:color w:val="auto"/>
        </w:rPr>
      </w:pPr>
    </w:p>
    <w:p>
      <w:pPr>
        <w:ind w:left="1" w:right="240" w:firstLine="297"/>
        <w:spacing w:after="0" w:line="290" w:lineRule="auto"/>
        <w:rPr>
          <w:sz w:val="20"/>
          <w:szCs w:val="20"/>
          <w:color w:val="auto"/>
        </w:rPr>
      </w:pPr>
      <w:r>
        <w:rPr>
          <w:rFonts w:ascii="Arial" w:cs="Arial" w:eastAsia="Arial" w:hAnsi="Arial"/>
          <w:sz w:val="16"/>
          <w:szCs w:val="16"/>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94" w:name="page95"/>
    <w:bookmarkEnd w:id="94"/>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66" w:lineRule="exact"/>
        <w:rPr>
          <w:sz w:val="20"/>
          <w:szCs w:val="20"/>
          <w:color w:val="auto"/>
        </w:rPr>
      </w:pPr>
    </w:p>
    <w:p>
      <w:pPr>
        <w:ind w:right="80" w:firstLine="297"/>
        <w:spacing w:after="0" w:line="306" w:lineRule="auto"/>
        <w:rPr>
          <w:sz w:val="20"/>
          <w:szCs w:val="20"/>
          <w:color w:val="auto"/>
        </w:rPr>
      </w:pPr>
      <w:r>
        <w:rPr>
          <w:rFonts w:ascii="Arial" w:cs="Arial" w:eastAsia="Arial" w:hAnsi="Arial"/>
          <w:sz w:val="14"/>
          <w:szCs w:val="14"/>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96" w:lineRule="exact"/>
        <w:rPr>
          <w:sz w:val="20"/>
          <w:szCs w:val="20"/>
          <w:color w:val="auto"/>
        </w:rPr>
      </w:pPr>
    </w:p>
    <w:p>
      <w:pPr>
        <w:jc w:val="both"/>
        <w:ind w:firstLine="297"/>
        <w:spacing w:after="0" w:line="274" w:lineRule="auto"/>
        <w:rPr>
          <w:sz w:val="20"/>
          <w:szCs w:val="20"/>
          <w:color w:val="auto"/>
        </w:rPr>
      </w:pPr>
      <w:r>
        <w:rPr>
          <w:rFonts w:ascii="Arial" w:cs="Arial" w:eastAsia="Arial" w:hAnsi="Arial"/>
          <w:sz w:val="16"/>
          <w:szCs w:val="16"/>
          <w:color w:val="auto"/>
        </w:rPr>
        <w:t>We believe that the accounting policies and estimates described below involve a significant degree of judgment and complexity. Accordingly, we believe these are the most critical to aid in fully understanding and evaluating our Condensed Consolidated Financial Condition and Results of Operations. For further information, see Note 2 (Summary of Significant Accounting Policies) to the Financial Statements in the Form 8-K/A.</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Medical Claims Incurred - MA</w:t>
      </w:r>
    </w:p>
    <w:p>
      <w:pPr>
        <w:spacing w:after="0" w:line="162" w:lineRule="exact"/>
        <w:rPr>
          <w:sz w:val="20"/>
          <w:szCs w:val="20"/>
          <w:color w:val="auto"/>
        </w:rPr>
      </w:pPr>
    </w:p>
    <w:p>
      <w:pPr>
        <w:ind w:right="240" w:firstLine="297"/>
        <w:spacing w:after="0" w:line="274" w:lineRule="auto"/>
        <w:rPr>
          <w:sz w:val="20"/>
          <w:szCs w:val="20"/>
          <w:color w:val="auto"/>
        </w:rPr>
      </w:pPr>
      <w:r>
        <w:rPr>
          <w:rFonts w:ascii="Arial" w:cs="Arial" w:eastAsia="Arial" w:hAnsi="Arial"/>
          <w:sz w:val="16"/>
          <w:szCs w:val="16"/>
          <w:color w:val="auto"/>
        </w:rPr>
        <w:t>Net medical claims incurred is recognized in the period in which services are provided and includes paid claims and an estimate of the cost of services which have been incurred but not yet reported (IBNR) and certain other unpaid claims and adjustments. IBNR represents a substantial portion of our unpaid claims, as reflected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3"/>
                <w:szCs w:val="13"/>
                <w:b w:val="1"/>
                <w:bCs w:val="1"/>
                <w:color w:val="auto"/>
                <w:w w:val="91"/>
              </w:rPr>
              <w:t>Nine Months Ended 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3"/>
                <w:szCs w:val="13"/>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9"/>
        </w:trPr>
        <w:tc>
          <w:tcPr>
            <w:tcW w:w="2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3"/>
                <w:szCs w:val="13"/>
                <w:b w:val="1"/>
                <w:bCs w:val="1"/>
                <w:color w:val="auto"/>
                <w:w w:val="89"/>
              </w:rPr>
              <w:t>2019</w:t>
            </w:r>
          </w:p>
        </w:tc>
      </w:tr>
      <w:tr>
        <w:trPr>
          <w:trHeight w:val="165"/>
        </w:trPr>
        <w:tc>
          <w:tcPr>
            <w:tcW w:w="2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3"/>
                <w:szCs w:val="13"/>
                <w:b w:val="1"/>
                <w:bCs w:val="1"/>
                <w:color w:val="auto"/>
              </w:rPr>
              <w:t>Total</w:t>
            </w:r>
          </w:p>
        </w:tc>
        <w:tc>
          <w:tcPr>
            <w:tcW w:w="7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3"/>
                <w:szCs w:val="13"/>
                <w:b w:val="1"/>
                <w:bCs w:val="1"/>
                <w:color w:val="auto"/>
              </w:rPr>
              <w:t>Total</w:t>
            </w: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Total</w:t>
            </w:r>
          </w:p>
        </w:tc>
        <w:tc>
          <w:tcPr>
            <w:tcW w:w="11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Total</w:t>
            </w:r>
          </w:p>
        </w:tc>
        <w:tc>
          <w:tcPr>
            <w:tcW w:w="116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3"/>
                <w:szCs w:val="13"/>
                <w:b w:val="1"/>
                <w:bCs w:val="1"/>
                <w:color w:val="auto"/>
              </w:rPr>
              <w:t>%</w:t>
            </w:r>
          </w:p>
        </w:tc>
      </w:tr>
      <w:tr>
        <w:trPr>
          <w:trHeight w:val="165"/>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6"/>
          </w:tcPr>
          <w:p>
            <w:pPr>
              <w:jc w:val="center"/>
              <w:ind w:right="560"/>
              <w:spacing w:after="0"/>
              <w:rPr>
                <w:sz w:val="20"/>
                <w:szCs w:val="20"/>
                <w:color w:val="auto"/>
              </w:rPr>
            </w:pPr>
            <w:r>
              <w:rPr>
                <w:rFonts w:ascii="Arial" w:cs="Arial" w:eastAsia="Arial" w:hAnsi="Arial"/>
                <w:sz w:val="13"/>
                <w:szCs w:val="13"/>
                <w:b w:val="1"/>
                <w:bCs w:val="1"/>
                <w:color w:val="auto"/>
                <w:w w:val="89"/>
              </w:rPr>
              <w:t>(dollars in thousands)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234"/>
              <w:spacing w:after="0"/>
              <w:rPr>
                <w:sz w:val="20"/>
                <w:szCs w:val="20"/>
                <w:color w:val="auto"/>
              </w:rPr>
            </w:pPr>
            <w:r>
              <w:rPr>
                <w:rFonts w:ascii="Arial" w:cs="Arial" w:eastAsia="Arial" w:hAnsi="Arial"/>
                <w:sz w:val="13"/>
                <w:szCs w:val="13"/>
                <w:b w:val="1"/>
                <w:bCs w:val="1"/>
                <w:color w:val="auto"/>
              </w:rPr>
              <w:t>(dollars 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IBNR</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93,553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69,178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88 %</w:t>
            </w:r>
          </w:p>
        </w:tc>
      </w:tr>
      <w:tr>
        <w:trPr>
          <w:trHeight w:val="169"/>
        </w:trPr>
        <w:tc>
          <w:tcPr>
            <w:tcW w:w="2800" w:type="dxa"/>
            <w:vAlign w:val="bottom"/>
          </w:tcPr>
          <w:p>
            <w:pPr>
              <w:ind w:left="20"/>
              <w:spacing w:after="0"/>
              <w:rPr>
                <w:sz w:val="20"/>
                <w:szCs w:val="20"/>
                <w:color w:val="auto"/>
              </w:rPr>
            </w:pPr>
            <w:r>
              <w:rPr>
                <w:rFonts w:ascii="Arial" w:cs="Arial" w:eastAsia="Arial" w:hAnsi="Arial"/>
                <w:sz w:val="13"/>
                <w:szCs w:val="13"/>
                <w:color w:val="auto"/>
              </w:rPr>
              <w:t>Other unpaid claims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6,681</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5,941</w:t>
            </w:r>
          </w:p>
        </w:tc>
        <w:tc>
          <w:tcPr>
            <w:tcW w:w="1160" w:type="dxa"/>
            <w:vAlign w:val="bottom"/>
            <w:gridSpan w:val="3"/>
          </w:tcPr>
          <w:p>
            <w:pPr>
              <w:jc w:val="right"/>
              <w:spacing w:after="0"/>
              <w:rPr>
                <w:sz w:val="20"/>
                <w:szCs w:val="20"/>
                <w:color w:val="auto"/>
              </w:rPr>
            </w:pPr>
            <w:r>
              <w:rPr>
                <w:rFonts w:ascii="Arial" w:cs="Arial" w:eastAsia="Arial" w:hAnsi="Arial"/>
                <w:sz w:val="13"/>
                <w:szCs w:val="13"/>
                <w:color w:val="auto"/>
              </w:rPr>
              <w:t>8</w:t>
            </w:r>
          </w:p>
        </w:tc>
      </w:tr>
      <w:tr>
        <w:trPr>
          <w:trHeight w:val="177"/>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Claims adjustment expense</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3,742</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2,767</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5"/>
        </w:trPr>
        <w:tc>
          <w:tcPr>
            <w:tcW w:w="2800" w:type="dxa"/>
            <w:vAlign w:val="bottom"/>
          </w:tcPr>
          <w:p>
            <w:pPr>
              <w:ind w:left="20"/>
              <w:spacing w:after="0" w:line="146" w:lineRule="exact"/>
              <w:rPr>
                <w:sz w:val="20"/>
                <w:szCs w:val="20"/>
                <w:color w:val="auto"/>
              </w:rPr>
            </w:pPr>
            <w:r>
              <w:rPr>
                <w:rFonts w:ascii="Arial" w:cs="Arial" w:eastAsia="Arial" w:hAnsi="Arial"/>
                <w:sz w:val="13"/>
                <w:szCs w:val="13"/>
                <w:color w:val="auto"/>
                <w:w w:val="92"/>
              </w:rPr>
              <w:t>Total unpaid claims and claims adjustment expense</w:t>
            </w: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134,698</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93,615</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103,976</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77,886</w:t>
            </w:r>
          </w:p>
        </w:tc>
        <w:tc>
          <w:tcPr>
            <w:tcW w:w="1160" w:type="dxa"/>
            <w:vAlign w:val="bottom"/>
            <w:gridSpan w:val="3"/>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auto"/>
        </w:rPr>
        <w:t>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lag-dependent completion factors, which represent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09"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variances between actual completion factors and those assumed in our September 30, 2021 and 2020, unpaid claim estimates would fall around the middle of the ranges previously presented in our completion factor sensitivity table.</w:t>
      </w:r>
    </w:p>
    <w:p>
      <w:pPr>
        <w:spacing w:after="0" w:line="118"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Actuarial standards require the use of assumptions based on moderately adverse experience, and as such, a provision for adverse deviation (PAD) is recognized on current reserves and released on prior reserves. For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discussion of our reserving methodology, including our use of completion factors to estimate IBNR, refer to Note 2 (Summary of Significant Accounting Policies) within the Financial Statements in the Form 8-K/A.</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Medical Claims Incurred - DCE</w:t>
      </w:r>
    </w:p>
    <w:p>
      <w:pPr>
        <w:spacing w:after="0" w:line="162" w:lineRule="exact"/>
        <w:rPr>
          <w:sz w:val="20"/>
          <w:szCs w:val="20"/>
          <w:color w:val="auto"/>
        </w:rPr>
      </w:pPr>
    </w:p>
    <w:p>
      <w:pPr>
        <w:jc w:val="both"/>
        <w:ind w:right="180" w:firstLine="297"/>
        <w:spacing w:after="0" w:line="274" w:lineRule="auto"/>
        <w:rPr>
          <w:sz w:val="20"/>
          <w:szCs w:val="20"/>
          <w:color w:val="auto"/>
        </w:rPr>
      </w:pPr>
      <w:r>
        <w:rPr>
          <w:rFonts w:ascii="Arial" w:cs="Arial" w:eastAsia="Arial" w:hAnsi="Arial"/>
          <w:sz w:val="16"/>
          <w:szCs w:val="16"/>
          <w:color w:val="auto"/>
        </w:rPr>
        <w:t>Net medical claims incurred for the DCE is recognized in the period in which services are provided and includes paid claims and an estimate of the cost of services which have been incurred but not yet reported and certain other unpaid claims and adjustments. IBNR represents a substantial portion of our unpaid claims, as reflected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33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1"/>
              </w:rPr>
              <w:t>Nine Months Ended September 30, 2021</w:t>
            </w:r>
          </w:p>
        </w:tc>
      </w:tr>
      <w:tr>
        <w:trPr>
          <w:trHeight w:val="169"/>
        </w:trPr>
        <w:tc>
          <w:tcPr>
            <w:tcW w:w="7900" w:type="dxa"/>
            <w:vAlign w:val="bottom"/>
          </w:tcPr>
          <w:p>
            <w:pPr>
              <w:spacing w:after="0"/>
              <w:rPr>
                <w:sz w:val="14"/>
                <w:szCs w:val="14"/>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Total</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01"/>
              <w:spacing w:after="0"/>
              <w:rPr>
                <w:sz w:val="20"/>
                <w:szCs w:val="20"/>
                <w:color w:val="auto"/>
              </w:rPr>
            </w:pPr>
            <w:r>
              <w:rPr>
                <w:rFonts w:ascii="Arial" w:cs="Arial" w:eastAsia="Arial" w:hAnsi="Arial"/>
                <w:sz w:val="13"/>
                <w:szCs w:val="13"/>
                <w:b w:val="1"/>
                <w:bCs w:val="1"/>
                <w:color w:val="auto"/>
              </w:rPr>
              <w:t>%</w:t>
            </w:r>
          </w:p>
        </w:tc>
      </w:tr>
      <w:tr>
        <w:trPr>
          <w:trHeight w:val="163"/>
        </w:trPr>
        <w:tc>
          <w:tcPr>
            <w:tcW w:w="7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3"/>
                <w:szCs w:val="13"/>
                <w:color w:val="auto"/>
                <w:w w:val="91"/>
              </w:rPr>
              <w:t>(dollars in thousands)</w:t>
            </w:r>
          </w:p>
        </w:tc>
        <w:tc>
          <w:tcPr>
            <w:tcW w:w="1000" w:type="dxa"/>
            <w:vAlign w:val="bottom"/>
          </w:tcPr>
          <w:p>
            <w:pPr>
              <w:spacing w:after="0"/>
              <w:rPr>
                <w:sz w:val="14"/>
                <w:szCs w:val="14"/>
                <w:color w:val="auto"/>
              </w:rPr>
            </w:pP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IBNR</w:t>
            </w:r>
          </w:p>
        </w:tc>
        <w:tc>
          <w:tcPr>
            <w:tcW w:w="1020" w:type="dxa"/>
            <w:vAlign w:val="bottom"/>
            <w:shd w:val="clear" w:color="auto" w:fill="CCEEFF"/>
          </w:tcPr>
          <w:p>
            <w:pPr>
              <w:jc w:val="right"/>
              <w:ind w:right="84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0"/>
        </w:trPr>
        <w:tc>
          <w:tcPr>
            <w:tcW w:w="7900" w:type="dxa"/>
            <w:vAlign w:val="bottom"/>
          </w:tcPr>
          <w:p>
            <w:pPr>
              <w:ind w:left="20"/>
              <w:spacing w:after="0"/>
              <w:rPr>
                <w:sz w:val="20"/>
                <w:szCs w:val="20"/>
                <w:color w:val="auto"/>
              </w:rPr>
            </w:pPr>
            <w:r>
              <w:rPr>
                <w:rFonts w:ascii="Arial" w:cs="Arial" w:eastAsia="Arial" w:hAnsi="Arial"/>
                <w:sz w:val="16"/>
                <w:szCs w:val="16"/>
                <w:color w:val="auto"/>
              </w:rPr>
              <w:t>Other unpaid claims</w:t>
            </w:r>
          </w:p>
        </w:tc>
        <w:tc>
          <w:tcPr>
            <w:tcW w:w="1020" w:type="dxa"/>
            <w:vAlign w:val="bottom"/>
          </w:tcPr>
          <w:p>
            <w:pPr>
              <w:spacing w:after="0"/>
              <w:rPr>
                <w:sz w:val="18"/>
                <w:szCs w:val="18"/>
                <w:color w:val="auto"/>
              </w:rPr>
            </w:pPr>
          </w:p>
        </w:tc>
        <w:tc>
          <w:tcPr>
            <w:tcW w:w="1320" w:type="dxa"/>
            <w:vAlign w:val="bottom"/>
            <w:gridSpan w:val="3"/>
          </w:tcPr>
          <w:p>
            <w:pPr>
              <w:jc w:val="right"/>
              <w:ind w:right="8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0"/>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adjustment expense</w:t>
            </w:r>
          </w:p>
        </w:tc>
        <w:tc>
          <w:tcPr>
            <w:tcW w:w="10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03"/>
        </w:trPr>
        <w:tc>
          <w:tcPr>
            <w:tcW w:w="7900" w:type="dxa"/>
            <w:vAlign w:val="bottom"/>
          </w:tcPr>
          <w:p>
            <w:pPr>
              <w:ind w:left="20"/>
              <w:spacing w:after="0"/>
              <w:rPr>
                <w:sz w:val="20"/>
                <w:szCs w:val="20"/>
                <w:color w:val="auto"/>
              </w:rPr>
            </w:pPr>
            <w:r>
              <w:rPr>
                <w:rFonts w:ascii="Arial" w:cs="Arial" w:eastAsia="Arial" w:hAnsi="Arial"/>
                <w:sz w:val="16"/>
                <w:szCs w:val="16"/>
                <w:color w:val="auto"/>
              </w:rPr>
              <w:t>Total unpaid claims and claims adjustment expense</w:t>
            </w:r>
          </w:p>
        </w:tc>
        <w:tc>
          <w:tcPr>
            <w:tcW w:w="102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5,512</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60" w:firstLine="297"/>
        <w:spacing w:after="0" w:line="264" w:lineRule="auto"/>
        <w:rPr>
          <w:sz w:val="20"/>
          <w:szCs w:val="20"/>
          <w:color w:val="auto"/>
        </w:rPr>
      </w:pPr>
      <w:r>
        <w:rPr>
          <w:rFonts w:ascii="Arial" w:cs="Arial" w:eastAsia="Arial" w:hAnsi="Arial"/>
          <w:sz w:val="16"/>
          <w:szCs w:val="16"/>
          <w:color w:val="auto"/>
        </w:rPr>
        <w:t>Our actuaries estimate the unpaid claims by following a detailed actuarial process that uses historical claim payment patterns. We extrapolate in order to form an opinion of ultimate incurred claims based on claims that have been paid to date. This is generally most effective for mature coverage months under stable periods of claims adjudication; therefore, for the estimates of Primary Care Qualified Evaluation and Management expenses, we evaluate IBNR using the pattern of weekly (rather than monthly) services and payments. Under this approach, we include an average historical “age-to-age” estimate, excluding the highest and lowest of the historical factors. We also set a lower limit on the cumulative or “age-to-ultimate” development factors at 1.0, to prevent negative amounts incurred but not paid as a result of expected claim recoveries from being factored into our IBNR.</w:t>
      </w:r>
    </w:p>
    <w:p>
      <w:pPr>
        <w:spacing w:after="0" w:line="121"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In addition, for more recent coverage periods we utilize historical estimates of completed claims to estimate the cost of subsequent months based on either expected or known changes in cost drivers. These cost drivers include weekday seasonality, secular seasonality, direct COVID cases and other adjustments as necessary, which enable our actuaries to estimate claims when the available claims experience is either limited or ambiguous.</w:t>
      </w:r>
    </w:p>
    <w:p>
      <w:pPr>
        <w:spacing w:after="0" w:line="11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Our actuaries also consider this population’s history of observed completion percentages in estimating ultimate claims incurred, using completion percentages that are consistent with historical ranges and informed by new information with other functional departments.</w:t>
      </w:r>
    </w:p>
    <w:p>
      <w:pPr>
        <w:spacing w:after="0" w:line="99" w:lineRule="exact"/>
        <w:rPr>
          <w:sz w:val="20"/>
          <w:szCs w:val="20"/>
          <w:color w:val="auto"/>
        </w:rPr>
      </w:pPr>
    </w:p>
    <w:p>
      <w:pPr>
        <w:jc w:val="both"/>
        <w:ind w:right="20" w:firstLine="297"/>
        <w:spacing w:after="0" w:line="274" w:lineRule="auto"/>
        <w:rPr>
          <w:sz w:val="20"/>
          <w:szCs w:val="20"/>
          <w:color w:val="auto"/>
        </w:rPr>
      </w:pPr>
      <w:r>
        <w:rPr>
          <w:rFonts w:ascii="Arial" w:cs="Arial" w:eastAsia="Arial" w:hAnsi="Arial"/>
          <w:sz w:val="16"/>
          <w:szCs w:val="16"/>
          <w:color w:val="auto"/>
        </w:rPr>
        <w:t>Clover’s reserving practice is to recognize the actuarial best estimate of our ultimate liability for claims. Actuarial standards require the use of assumptions based on moderately adverse experience, and as such, a provision for adverse deviation is recognized on current reserves and released on prior reserves. The PAD is lower for DCE than MA; for DCE, we can use more precise reserving practices, based on our own modeling, than the approach CMS uses for MA.</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 Deficiency Reserve Expense (Benefit)</w:t>
      </w:r>
    </w:p>
    <w:p>
      <w:pPr>
        <w:spacing w:after="0" w:line="162" w:lineRule="exact"/>
        <w:rPr>
          <w:sz w:val="20"/>
          <w:szCs w:val="20"/>
          <w:color w:val="auto"/>
        </w:rPr>
      </w:pPr>
    </w:p>
    <w:p>
      <w:pPr>
        <w:ind w:right="20" w:firstLine="297"/>
        <w:spacing w:after="0" w:line="287" w:lineRule="auto"/>
        <w:rPr>
          <w:sz w:val="20"/>
          <w:szCs w:val="20"/>
          <w:color w:val="auto"/>
        </w:rPr>
      </w:pPr>
      <w:r>
        <w:rPr>
          <w:rFonts w:ascii="Arial" w:cs="Arial" w:eastAsia="Arial" w:hAnsi="Arial"/>
          <w:sz w:val="15"/>
          <w:szCs w:val="15"/>
          <w:color w:val="auto"/>
        </w:rPr>
        <w:t>A premium deficiency reserve is established when future premiums and current reserves are not sufficient to cover future claim payments and expenses for the remainder of a contract period. These reserves are required for solvency regulation, to help ensure that a reporting entity’s contractual obligations will be adequately funded. We assess the profitability of our MA contracts with CMS to identify those contracts where current operating results or forecasts indicate probable future losses. Premium deficiency reserve expense (benefit) is recognized in the period in which the losses are identified. We may identify and recognize additional premium deficiency reserves depending on the rates that are paid to us by CMS based on our actuarial bids and the utilization of healthcare services by our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Revenue Recognition - MA</w:t>
      </w:r>
    </w:p>
    <w:p>
      <w:pPr>
        <w:spacing w:after="0" w:line="162"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We receive monthly premiums from the federal government according to government specified payment rates and various contractual terms. Revenue from premiums earned is recognized as income in the period in which members are entitled to receive services. Premiums received in advance of the service period are reported as other liabilities and subsequently recognized as revenue in the period earned.</w:t>
      </w:r>
    </w:p>
    <w:p>
      <w:pPr>
        <w:spacing w:after="0" w:line="112" w:lineRule="exact"/>
        <w:rPr>
          <w:sz w:val="20"/>
          <w:szCs w:val="20"/>
          <w:color w:val="auto"/>
        </w:rPr>
      </w:pPr>
    </w:p>
    <w:p>
      <w:pPr>
        <w:ind w:right="140" w:firstLine="297"/>
        <w:spacing w:after="0" w:line="282" w:lineRule="auto"/>
        <w:rPr>
          <w:sz w:val="20"/>
          <w:szCs w:val="20"/>
          <w:color w:val="auto"/>
        </w:rPr>
      </w:pPr>
      <w:r>
        <w:rPr>
          <w:rFonts w:ascii="Arial" w:cs="Arial" w:eastAsia="Arial" w:hAnsi="Arial"/>
          <w:sz w:val="15"/>
          <w:szCs w:val="15"/>
          <w:color w:val="auto"/>
        </w:rPr>
        <w:t>CMS uses a risk-adjustment model which adjusts premiums paid to MA contracts, based on member risk scores, which are meant to compensate plans that enroll beneficiaries with higher-than-average health risks and to reduce payments for healthier beneficiaries who have lower health risks. Risk scores are based on member diagnoses from the previous year and are periodically adjusted retroactively based on additional plan data collection. Risk adjustments can have a positive or negative retroactive impact to rates. Prospective payments to MA plans are based on the estimated cost of providing standard Medicare-covered benefits to a member with an average risk profile. Under the risk-adjustment methodology, all MA plans must collect and submit the necessary diagnosis code information to CMS within prescribed deadlines. Estimated retroactive lump-sum settlement payments are accrued within revenue for premiums earned to account for the difference between lag risk scores, mid-year risk scores and final risk scores. Any known or expected unfavorable risk score impacts related to quality assurance diagnosis deletions or risk adjustment data validation audits are also considered within accruals and are recorded as a reduction of revenue from premiums earned, based on available information.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Medicare Advantage Part D</w:t>
      </w:r>
    </w:p>
    <w:p>
      <w:pPr>
        <w:spacing w:after="0" w:line="162"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Payments received from CMS and members in connection with our participation in the Medicare Advantage Part D program are determined from our annual bid and represent amounts for providing prescription drug insurance coverage; these amounts are recognized as premium revenue for providing this insurance coverage ratably over the term of the annual contract.</w:t>
      </w:r>
    </w:p>
    <w:p>
      <w:pPr>
        <w:spacing w:after="0" w:line="112" w:lineRule="exact"/>
        <w:rPr>
          <w:sz w:val="20"/>
          <w:szCs w:val="20"/>
          <w:color w:val="auto"/>
        </w:rPr>
      </w:pPr>
    </w:p>
    <w:p>
      <w:pPr>
        <w:ind w:right="140" w:firstLine="297"/>
        <w:spacing w:after="0" w:line="266" w:lineRule="auto"/>
        <w:rPr>
          <w:sz w:val="20"/>
          <w:szCs w:val="20"/>
          <w:color w:val="auto"/>
        </w:rPr>
      </w:pPr>
      <w:r>
        <w:rPr>
          <w:rFonts w:ascii="Arial" w:cs="Arial" w:eastAsia="Arial" w:hAnsi="Arial"/>
          <w:sz w:val="16"/>
          <w:szCs w:val="16"/>
          <w:color w:val="auto"/>
        </w:rPr>
        <w:t>Part D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Management estimates and recognizes an adjustment to premium revenue related to these provisions based upon pharmacy claims experience and input from third-party experts. Management records a receivable or payable at the contract level.</w:t>
      </w:r>
    </w:p>
    <w:p>
      <w:pPr>
        <w:spacing w:after="0" w:line="118" w:lineRule="exact"/>
        <w:rPr>
          <w:sz w:val="20"/>
          <w:szCs w:val="20"/>
          <w:color w:val="auto"/>
        </w:rPr>
      </w:pPr>
    </w:p>
    <w:p>
      <w:pPr>
        <w:ind w:right="200" w:firstLine="297"/>
        <w:spacing w:after="0" w:line="300" w:lineRule="auto"/>
        <w:rPr>
          <w:sz w:val="20"/>
          <w:szCs w:val="20"/>
          <w:color w:val="auto"/>
        </w:rPr>
      </w:pPr>
      <w:r>
        <w:rPr>
          <w:rFonts w:ascii="Arial" w:cs="Arial" w:eastAsia="Arial" w:hAnsi="Arial"/>
          <w:sz w:val="15"/>
          <w:szCs w:val="15"/>
          <w:color w:val="auto"/>
        </w:rPr>
        <w:t>Rebates are paid by drug manufacturers to our pharmacy benefit manager (PBM) which shares a portion of the rebates with us. Management estimates favorable adjustments to medical expenses related to rebates negotiated by the PBM on our behalf. Estimates are based on both actual and estimated pharmacy claims experience throughout the year as well as input from third-party experts and the PBM. Management records a receivable at the contract level.</w:t>
      </w:r>
    </w:p>
    <w:p>
      <w:pPr>
        <w:spacing w:after="0" w:line="95" w:lineRule="exact"/>
        <w:rPr>
          <w:sz w:val="20"/>
          <w:szCs w:val="20"/>
          <w:color w:val="auto"/>
        </w:rPr>
      </w:pPr>
    </w:p>
    <w:p>
      <w:pPr>
        <w:ind w:right="20" w:firstLine="297"/>
        <w:spacing w:after="0" w:line="330" w:lineRule="auto"/>
        <w:rPr>
          <w:sz w:val="20"/>
          <w:szCs w:val="20"/>
          <w:color w:val="auto"/>
        </w:rPr>
      </w:pPr>
      <w:r>
        <w:rPr>
          <w:rFonts w:ascii="Arial" w:cs="Arial" w:eastAsia="Arial" w:hAnsi="Arial"/>
          <w:sz w:val="14"/>
          <w:szCs w:val="14"/>
          <w:color w:val="auto"/>
        </w:rPr>
        <w:t>There are additional cost-sharing elements that are recorded within medical expenses and take into account factors such as member income levels, brand-name versus generic drug spend, and total spend by member within a plan year. Management estimates and recognizes adjustments to medical expenses based upon inputs such as pharmacy claims experience, rebate activity, and input from third-party experts. Management records a receivable or payable at the end of the year based on these items.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Revenue Recognition - DCE</w:t>
      </w:r>
    </w:p>
    <w:p>
      <w:pPr>
        <w:spacing w:after="0" w:line="162" w:lineRule="exact"/>
        <w:rPr>
          <w:sz w:val="20"/>
          <w:szCs w:val="20"/>
          <w:color w:val="auto"/>
        </w:rPr>
      </w:pPr>
    </w:p>
    <w:p>
      <w:pPr>
        <w:ind w:right="40" w:firstLine="297"/>
        <w:spacing w:after="0" w:line="287" w:lineRule="auto"/>
        <w:rPr>
          <w:sz w:val="20"/>
          <w:szCs w:val="20"/>
          <w:color w:val="auto"/>
        </w:rPr>
      </w:pPr>
      <w:r>
        <w:rPr>
          <w:rFonts w:ascii="Arial" w:cs="Arial" w:eastAsia="Arial" w:hAnsi="Arial"/>
          <w:sz w:val="15"/>
          <w:szCs w:val="15"/>
          <w:color w:val="auto"/>
        </w:rPr>
        <w:t>Direct Contracting revenue represents CMS’s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which is calculated as the difference between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3" w:lineRule="exact"/>
        <w:rPr>
          <w:sz w:val="20"/>
          <w:szCs w:val="20"/>
          <w:color w:val="auto"/>
        </w:rPr>
      </w:pPr>
    </w:p>
    <w:p>
      <w:pPr>
        <w:ind w:right="700"/>
        <w:spacing w:after="0" w:line="290" w:lineRule="auto"/>
        <w:rPr>
          <w:sz w:val="20"/>
          <w:szCs w:val="20"/>
          <w:color w:val="auto"/>
        </w:rPr>
      </w:pPr>
      <w:r>
        <w:rPr>
          <w:rFonts w:ascii="Arial" w:cs="Arial" w:eastAsia="Arial" w:hAnsi="Arial"/>
          <w:sz w:val="16"/>
          <w:szCs w:val="16"/>
          <w:color w:val="auto"/>
        </w:rPr>
        <w:t>benchmark and the total cost of care. Premiums and recoupments incurred in direct relation to the DC Model are recognized as a reduction or increase in Direct Contracting revenue.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Direct Contracting Receivable and Performance Year Obligation</w:t>
      </w:r>
    </w:p>
    <w:p>
      <w:pPr>
        <w:spacing w:after="0" w:line="162" w:lineRule="exact"/>
        <w:rPr>
          <w:sz w:val="20"/>
          <w:szCs w:val="20"/>
          <w:color w:val="auto"/>
        </w:rPr>
      </w:pPr>
    </w:p>
    <w:p>
      <w:pPr>
        <w:ind w:right="300" w:firstLine="297"/>
        <w:spacing w:after="0" w:line="274" w:lineRule="auto"/>
        <w:rPr>
          <w:sz w:val="20"/>
          <w:szCs w:val="20"/>
          <w:color w:val="auto"/>
        </w:rPr>
      </w:pPr>
      <w:r>
        <w:rPr>
          <w:rFonts w:ascii="Arial" w:cs="Arial" w:eastAsia="Arial" w:hAnsi="Arial"/>
          <w:sz w:val="16"/>
          <w:szCs w:val="16"/>
          <w:color w:val="auto"/>
        </w:rPr>
        <w:t>Performance year receivable and obligation represents the average Medicare beneficiary’s total cost of care for beneficiaries aligned to our DCE and refers to the target expenditure amount that will be compared to Medicare expenditures for items and services furnished to aligned beneficiaries during a performance year. This comparison will be used to calculate shared savings and shared losses.</w:t>
      </w:r>
    </w:p>
    <w:p>
      <w:pPr>
        <w:spacing w:after="0" w:line="112" w:lineRule="exact"/>
        <w:rPr>
          <w:sz w:val="20"/>
          <w:szCs w:val="20"/>
          <w:color w:val="auto"/>
        </w:rPr>
      </w:pPr>
    </w:p>
    <w:p>
      <w:pPr>
        <w:ind w:right="20" w:firstLine="297"/>
        <w:spacing w:after="0" w:line="282" w:lineRule="auto"/>
        <w:rPr>
          <w:sz w:val="20"/>
          <w:szCs w:val="20"/>
          <w:color w:val="auto"/>
        </w:rPr>
      </w:pPr>
      <w:r>
        <w:rPr>
          <w:rFonts w:ascii="Arial" w:cs="Arial" w:eastAsia="Arial" w:hAnsi="Arial"/>
          <w:sz w:val="15"/>
          <w:szCs w:val="15"/>
          <w:color w:val="auto"/>
        </w:rPr>
        <w:t>The key inputs in determining the performance year receivable and obligation are trends, risk score, and the number of beneficiaries aligned to the DCE. We begin our benchmark estimation process with benchmark reports delivered from the Centers for Medicare &amp; Medicaid Services Innovation Center (CMMI) on a quarterly basis, which drive the determination of whether certain inputs to that calculation need to be adjusted or accrued as a result of more accurate data. Prospective and retrospective trends are set at a national level, and while it is unlikely we would deviate from CMMI’s estimates, we could adjust from the benchmark report due to new information received directly from CMMI, national studies we complete ourselves, or other anticipated policy updates that we believe are probable and estimable. The preliminary benchmark is set based on risk scores with data captured as of a certain point in time. Once new data is received, an updated analysis of claims provides an opportunity for the benchmark to be adjusted. Lastly, beneficiary counts are updated through the year and represent a timing difference between CMMI reporting, for which we accrue. For the initial performance year, seasonality was assessed in the calculation of the benchmark.</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Warrants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Legacy Warrants</w:t>
      </w:r>
    </w:p>
    <w:p>
      <w:pPr>
        <w:spacing w:after="0" w:line="162"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In September 2015, we issued warrants to purchase 2,100,000 shares of our common stock. On March 21, 2017, we entered into a loan facility (the “Loan Facility”) for an aggregate principal amount of $60.0 million. In conjunction with the Loan Facility, we issued 1,266,284 warrants to purchase shares of our Series D preferred stock. The September 2015 warrants and the Loan Facility warrants were determined to be freestanding instruments as they were detachable and separately exercisable. These warrants were accounted for as derivative instruments in accordance with ASC 815-40 and were presented within warrants payable on the Condensed Consolidated Balance Sheet. The warrant liabilities were measured at fair value at inception and on a recurring basis until redeemed, with changes in fair value presented within change in fair value of warrants payable in the Condensed Consolidated Statement of Operations and Comprehensive Loss.</w:t>
      </w:r>
    </w:p>
    <w:p>
      <w:pPr>
        <w:spacing w:after="0" w:line="106" w:lineRule="exact"/>
        <w:rPr>
          <w:sz w:val="20"/>
          <w:szCs w:val="20"/>
          <w:color w:val="auto"/>
        </w:rPr>
      </w:pPr>
    </w:p>
    <w:p>
      <w:pPr>
        <w:ind w:right="100" w:firstLine="297"/>
        <w:spacing w:after="0" w:line="263" w:lineRule="auto"/>
        <w:rPr>
          <w:sz w:val="20"/>
          <w:szCs w:val="20"/>
          <w:color w:val="auto"/>
        </w:rPr>
      </w:pPr>
      <w:r>
        <w:rPr>
          <w:rFonts w:ascii="Arial" w:cs="Arial" w:eastAsia="Arial" w:hAnsi="Arial"/>
          <w:sz w:val="16"/>
          <w:szCs w:val="16"/>
          <w:color w:val="auto"/>
        </w:rPr>
        <w:t>In November 2016 and December 2017, we issued warrants to purchase 261,681 shares of our common stock to a service provider for services performed. For warrants issued to non-employees as payment for services, such as the November 2016 and December 2017 warrants,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 November 2016 and December 2017 warrants did not meet any of the criteria to be accounted for as debt, they were classified as equity awards. On the grant date, these warrants were measured by estimating the fair value of the equity instruments to be issued. Stock-based compensation expense was recorded for the vested portion of the warrants.</w:t>
      </w:r>
    </w:p>
    <w:p>
      <w:pPr>
        <w:spacing w:after="0" w:line="122"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On October 5, 2020, we entered into the Merger Agreement with SCH and simultaneously amended the terms of the legacy warrants, and they were automatically converted into common stock in connection with the Business Combination.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Public Warrants and Private Placement Warrants</w:t>
      </w:r>
    </w:p>
    <w:p>
      <w:pPr>
        <w:spacing w:after="0" w:line="162" w:lineRule="exact"/>
        <w:rPr>
          <w:sz w:val="20"/>
          <w:szCs w:val="20"/>
          <w:color w:val="auto"/>
        </w:rPr>
      </w:pPr>
    </w:p>
    <w:p>
      <w:pPr>
        <w:jc w:val="both"/>
        <w:ind w:right="380" w:firstLine="297"/>
        <w:spacing w:after="0" w:line="274" w:lineRule="auto"/>
        <w:rPr>
          <w:sz w:val="20"/>
          <w:szCs w:val="20"/>
          <w:color w:val="auto"/>
        </w:rPr>
      </w:pPr>
      <w:r>
        <w:rPr>
          <w:rFonts w:ascii="Arial" w:cs="Arial" w:eastAsia="Arial" w:hAnsi="Arial"/>
          <w:sz w:val="16"/>
          <w:szCs w:val="16"/>
          <w:color w:val="auto"/>
        </w:rPr>
        <w:t>We assumed, in connection with the Business Combination, Public Warrants and Private Placement Warrants to purchase shares of our Class A Common Stock. These warrants were accounted for as liabilities in accordance with ASC 815-40 and are presented within warrants payable on the Condensed Consolidated Balance Sheet.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2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liabilities were measured at fair value at inception and on a recurring basis until redeemed, with changes in fair value presented within change in fair value of warrants payable in the Condensed Consolidated Statement of Operations and Comprehensive Loss. The Public Warrants were classified within Level 1 of the fair value hierarchy because the fair value was equal to the publicly traded price of the Public Warrants, and the Private Placement Warrants were classified within Level 2 of the fair value hierarchy because the fair value was estimated using the price of the Public Warrant. On July 22, 2021, we issued a press release stating that we would redeem all unexercised Public Warrants and Private Placement Warrants. In connection with the redemption, effective August 24, 2021, the Public Warrants were delisted and classified within Level 2 of the fair value hierarchy as the fair value of the Public Warrants was based on proportional changes in the price of our common stock. There were no Private Warrants outstanding at August 24, 2021.</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Derivative Liabilities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evaluated the embedded features of the Convertible Securities by applying the derivatives accounting guidance. Derivatives embedded within non-derivative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instruments, such as convertible securities, are bifurcated from the host instrument when the embedded derivative is not clearly and closely related to the host instrument.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embedded derivatives associated with the Convertible Securities were recognized as derivative liabilities and recorded at fair value.</w:t>
      </w:r>
    </w:p>
    <w:p>
      <w:pPr>
        <w:spacing w:after="0" w:line="151" w:lineRule="exact"/>
        <w:rPr>
          <w:sz w:val="20"/>
          <w:szCs w:val="20"/>
          <w:color w:val="auto"/>
        </w:rPr>
      </w:pPr>
    </w:p>
    <w:p>
      <w:pPr>
        <w:ind w:right="140" w:firstLine="297"/>
        <w:spacing w:after="0" w:line="290" w:lineRule="auto"/>
        <w:rPr>
          <w:sz w:val="20"/>
          <w:szCs w:val="20"/>
          <w:color w:val="auto"/>
        </w:rPr>
      </w:pPr>
      <w:r>
        <w:rPr>
          <w:rFonts w:ascii="Arial" w:cs="Arial" w:eastAsia="Arial" w:hAnsi="Arial"/>
          <w:sz w:val="16"/>
          <w:szCs w:val="16"/>
          <w:color w:val="auto"/>
        </w:rPr>
        <w:t>For additional information around the fair value and inputs used in the modeling related to the liability-classified warrants, please refer to the information contained in our Consolidated Financial Statements included in the Form 8-K/A.</w:t>
      </w:r>
    </w:p>
    <w:p>
      <w:pPr>
        <w:spacing w:after="0" w:line="99"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Fair values of the legacy warrants and derivative liabilities related to the Convertible Securities were estimated using a probability-weighted expected return method, where the values of various instruments were estimated based on an analysis of future values of our business, assuming various future outcomes. The resulting instruments’ values were based upon the probability-weighted present value of expected future investment returns, considering each of the possible future outcomes available to us, as well as the economic benefits attributable to each class of instruments. The expected future investment returns were estimated using a variety of methodologies, including both the market approach and the income approach, where an observable quoted market does not exist, and were generally classified as Level 3. Such methodologies included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was performed using option pricing models, and probability-weighted average value indications were used to arrive at the estimated fair values.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information on fair values of the Public Warrants and Private Warrants, please refer to the section entitled “Warrants” above.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62"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We measure and recognize compensation expense for all stock-based awards, including stock options, restricted stock units granted to employees, directors, and non-employees, and stock purchase rights granted under the Employee Stock Purchase Plan (ESPP) to employees, based on the estimated fair value of the awards on the date of grant. The fair value of each stock option and ESPP opportunity granted is estimated using the Black-Scholes option-pricing model. The fair value of each RSU is based on the estimated fair value of our common stock on the date of grant.</w:t>
      </w:r>
    </w:p>
    <w:p>
      <w:pPr>
        <w:spacing w:after="0" w:line="118"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Condensed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Operations and Comprehensive Loss within salaries and benefits. We recognize stock-based compensation expense for the portion of awards that have vested. Forfeitures are recorded as they occur.</w:t>
      </w:r>
    </w:p>
    <w:p>
      <w:pPr>
        <w:spacing w:after="0" w:line="99"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We also grant certain awards that have performance-based vesting conditions, including performance restricted stock units that become eligible to vest if prior to the vesting date the average closing price of one share of our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determination of the grant-date fair value using an option-pricing model is affected by the estimated fair value of our common stock as well as assumptions regarding a number of other complex and subjective variables. These variables include expected stock price volatility over an expected term, actual and projected employee stock option exercise behaviors, the risk-free interest rate for an expected term, and expected dividends. The assumptions used in our option-pricing model represent our best estimates. These estimates involve inherent uncertainties and the application of judgment. If factors change and different assumptions are used, our stock-based compensation expense could be materially different in the future.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These assumptions are estimated as follows:</w:t>
      </w:r>
    </w:p>
    <w:p>
      <w:pPr>
        <w:spacing w:after="0" w:line="16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Expected term - For stock options considered to be “plain 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spacing w:after="0" w:line="112"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Expected volatility - We perform an analysis of using the average volatility of a peer group of representative public companies with sufficient trading history over the expected term to develop an expected volatility assumption.</w:t>
      </w:r>
    </w:p>
    <w:p>
      <w:pPr>
        <w:spacing w:after="0" w:line="99"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w:t>
      </w:r>
    </w:p>
    <w:p>
      <w:pPr>
        <w:spacing w:after="0" w:line="118" w:lineRule="exact"/>
        <w:rPr>
          <w:sz w:val="20"/>
          <w:szCs w:val="20"/>
          <w:color w:val="auto"/>
        </w:rPr>
      </w:pPr>
    </w:p>
    <w:p>
      <w:pPr>
        <w:ind w:right="200" w:firstLine="297"/>
        <w:spacing w:after="0" w:line="451" w:lineRule="auto"/>
        <w:rPr>
          <w:sz w:val="20"/>
          <w:szCs w:val="20"/>
          <w:color w:val="auto"/>
        </w:rPr>
      </w:pPr>
      <w:r>
        <w:rPr>
          <w:rFonts w:ascii="Arial" w:cs="Arial" w:eastAsia="Arial" w:hAnsi="Arial"/>
          <w:sz w:val="16"/>
          <w:szCs w:val="16"/>
          <w:color w:val="auto"/>
        </w:rPr>
        <w:t xml:space="preserve">See Note 15 to our Condensed Consolidated Financial Statements in the 8-K/A for a complete description of the accounting for stock-based compensation awards. </w:t>
      </w:r>
      <w:r>
        <w:rPr>
          <w:rFonts w:ascii="Arial" w:cs="Arial" w:eastAsia="Arial" w:hAnsi="Arial"/>
          <w:sz w:val="16"/>
          <w:szCs w:val="16"/>
          <w:b w:val="1"/>
          <w:bCs w:val="1"/>
          <w:color w:val="auto"/>
        </w:rPr>
        <w:t>Recently Issued and Adopted Accounting Pronouncements</w:t>
      </w:r>
    </w:p>
    <w:p>
      <w:pPr>
        <w:spacing w:after="0" w:line="1" w:lineRule="exact"/>
        <w:rPr>
          <w:sz w:val="20"/>
          <w:szCs w:val="20"/>
          <w:color w:val="auto"/>
        </w:rPr>
      </w:pPr>
    </w:p>
    <w:p>
      <w:pPr>
        <w:ind w:right="320" w:firstLine="297"/>
        <w:spacing w:after="0" w:line="290" w:lineRule="auto"/>
        <w:rPr>
          <w:sz w:val="20"/>
          <w:szCs w:val="20"/>
          <w:color w:val="auto"/>
        </w:rPr>
      </w:pPr>
      <w:r>
        <w:rPr>
          <w:rFonts w:ascii="Arial" w:cs="Arial" w:eastAsia="Arial" w:hAnsi="Arial"/>
          <w:sz w:val="16"/>
          <w:szCs w:val="16"/>
          <w:color w:val="auto"/>
        </w:rPr>
        <w:t>See Note 2 (Summary of Significant Accounting Policies) to the Financial Statements included in this prospectus for a discussion of accounting pronouncements recently adopted and recently issued accounting pronouncements not yet adopted and their potential impact to our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166" w:lineRule="exact"/>
        <w:rPr>
          <w:sz w:val="20"/>
          <w:szCs w:val="20"/>
          <w:color w:val="auto"/>
        </w:rPr>
      </w:pPr>
    </w:p>
    <w:p>
      <w:pPr>
        <w:ind w:right="120" w:firstLine="297"/>
        <w:spacing w:after="0" w:line="266" w:lineRule="auto"/>
        <w:rPr>
          <w:sz w:val="20"/>
          <w:szCs w:val="20"/>
          <w:color w:val="auto"/>
        </w:rPr>
      </w:pPr>
      <w:r>
        <w:rPr>
          <w:rFonts w:ascii="Arial" w:cs="Arial" w:eastAsia="Arial" w:hAnsi="Arial"/>
          <w:sz w:val="16"/>
          <w:szCs w:val="16"/>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166" w:lineRule="exact"/>
        <w:rPr>
          <w:sz w:val="20"/>
          <w:szCs w:val="20"/>
          <w:color w:val="auto"/>
        </w:rPr>
      </w:pPr>
    </w:p>
    <w:p>
      <w:pPr>
        <w:jc w:val="both"/>
        <w:ind w:right="140" w:firstLine="297"/>
        <w:spacing w:after="0" w:line="330" w:lineRule="auto"/>
        <w:rPr>
          <w:sz w:val="20"/>
          <w:szCs w:val="20"/>
          <w:color w:val="auto"/>
        </w:rPr>
      </w:pPr>
      <w:r>
        <w:rPr>
          <w:rFonts w:ascii="Arial" w:cs="Arial" w:eastAsia="Arial" w:hAnsi="Arial"/>
          <w:sz w:val="14"/>
          <w:szCs w:val="14"/>
          <w:color w:val="auto"/>
        </w:rPr>
        <w:t>Market risk is the risk of economic losses due to adverse changes in the estimated fair value of a financial instrument as a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fixed maturities. We do not have material exposure to commodity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23" w:lineRule="exact"/>
        <w:rPr>
          <w:sz w:val="20"/>
          <w:szCs w:val="20"/>
          <w:color w:val="auto"/>
        </w:rPr>
      </w:pPr>
    </w:p>
    <w:p>
      <w:pPr>
        <w:ind w:left="1" w:right="380" w:firstLine="297"/>
        <w:spacing w:after="0" w:line="290" w:lineRule="auto"/>
        <w:rPr>
          <w:sz w:val="20"/>
          <w:szCs w:val="20"/>
          <w:color w:val="auto"/>
        </w:rPr>
      </w:pPr>
      <w:r>
        <w:rPr>
          <w:rFonts w:ascii="Arial" w:cs="Arial" w:eastAsia="Arial" w:hAnsi="Arial"/>
          <w:sz w:val="16"/>
          <w:szCs w:val="16"/>
          <w:color w:val="auto"/>
        </w:rPr>
        <w:t>We are also exposed to credit risk on our investment portfolio. We manage the exposure to credit risk in our portfolio by investing in high quality securities and diversifying our holdings.</w:t>
      </w:r>
    </w:p>
    <w:p>
      <w:pPr>
        <w:spacing w:after="0" w:line="99" w:lineRule="exact"/>
        <w:rPr>
          <w:sz w:val="20"/>
          <w:szCs w:val="20"/>
          <w:color w:val="auto"/>
        </w:rPr>
      </w:pPr>
    </w:p>
    <w:p>
      <w:pPr>
        <w:jc w:val="both"/>
        <w:ind w:left="1" w:right="140" w:firstLine="297"/>
        <w:spacing w:after="0" w:line="274" w:lineRule="auto"/>
        <w:rPr>
          <w:sz w:val="20"/>
          <w:szCs w:val="20"/>
          <w:color w:val="auto"/>
        </w:rPr>
      </w:pPr>
      <w:r>
        <w:rPr>
          <w:rFonts w:ascii="Arial" w:cs="Arial" w:eastAsia="Arial" w:hAnsi="Arial"/>
          <w:sz w:val="16"/>
          <w:szCs w:val="16"/>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As of September 30, 2021, December 31, 2020 and 2019, none of our fixed maturity securities portfolio was unrated or rated below investment grade.</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Inflation Risk</w:t>
      </w:r>
    </w:p>
    <w:p>
      <w:pPr>
        <w:spacing w:after="0" w:line="162" w:lineRule="exact"/>
        <w:rPr>
          <w:sz w:val="20"/>
          <w:szCs w:val="20"/>
          <w:color w:val="auto"/>
        </w:rPr>
      </w:pPr>
    </w:p>
    <w:p>
      <w:pPr>
        <w:ind w:left="1" w:firstLine="297"/>
        <w:spacing w:after="0" w:line="300" w:lineRule="auto"/>
        <w:rPr>
          <w:sz w:val="20"/>
          <w:szCs w:val="20"/>
          <w:color w:val="auto"/>
        </w:rPr>
      </w:pPr>
      <w:r>
        <w:rPr>
          <w:rFonts w:ascii="Arial" w:cs="Arial" w:eastAsia="Arial" w:hAnsi="Arial"/>
          <w:sz w:val="15"/>
          <w:szCs w:val="15"/>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9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66" w:lineRule="exact"/>
        <w:rPr>
          <w:sz w:val="20"/>
          <w:szCs w:val="20"/>
          <w:color w:val="auto"/>
        </w:rPr>
      </w:pPr>
    </w:p>
    <w:p>
      <w:pPr>
        <w:ind w:left="1" w:firstLine="297"/>
        <w:spacing w:after="0" w:line="264"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that company’s principal executive and principal financial officers, or persons performing similar functions, and influenced by that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21" w:lineRule="exact"/>
        <w:rPr>
          <w:sz w:val="20"/>
          <w:szCs w:val="20"/>
          <w:color w:val="auto"/>
        </w:rPr>
      </w:pPr>
    </w:p>
    <w:p>
      <w:pPr>
        <w:ind w:left="1" w:right="20" w:firstLine="297"/>
        <w:spacing w:after="0" w:line="292" w:lineRule="auto"/>
        <w:rPr>
          <w:sz w:val="20"/>
          <w:szCs w:val="20"/>
          <w:color w:val="auto"/>
        </w:rPr>
      </w:pPr>
      <w:r>
        <w:rPr>
          <w:rFonts w:ascii="Arial" w:cs="Arial" w:eastAsia="Arial" w:hAnsi="Arial"/>
          <w:sz w:val="15"/>
          <w:szCs w:val="15"/>
          <w:color w:val="auto"/>
        </w:rPr>
        <w:t>During the preparation of the audited financial statements of the Company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0" w:lineRule="exact"/>
        <w:rPr>
          <w:sz w:val="20"/>
          <w:szCs w:val="20"/>
          <w:color w:val="auto"/>
        </w:rPr>
      </w:pPr>
    </w:p>
    <w:p>
      <w:pPr>
        <w:ind w:left="1" w:right="20" w:firstLine="297"/>
        <w:spacing w:after="0" w:line="303" w:lineRule="auto"/>
        <w:rPr>
          <w:sz w:val="20"/>
          <w:szCs w:val="20"/>
          <w:color w:val="auto"/>
        </w:rPr>
      </w:pPr>
      <w:r>
        <w:rPr>
          <w:rFonts w:ascii="Arial" w:cs="Arial" w:eastAsia="Arial" w:hAnsi="Arial"/>
          <w:sz w:val="14"/>
          <w:szCs w:val="14"/>
          <w:color w:val="auto"/>
        </w:rPr>
        <w:t>The material weakness related specifically to our application of the FASB Accounting Standards Codification for derivatives (ASC 815) in the valuation of the embedded derivative features of the convertible securities of the Company at December 31, 2020, and the varying treatment of each tranche of such securities under ASC</w:t>
      </w:r>
    </w:p>
    <w:p>
      <w:pPr>
        <w:jc w:val="both"/>
        <w:ind w:left="1" w:hanging="1"/>
        <w:spacing w:after="0" w:line="284" w:lineRule="auto"/>
        <w:tabs>
          <w:tab w:leader="none" w:pos="33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on March 1, 2021. The embedded derivative was extinguished upon the consummation of the Business Combination on January 7, 2021, and management therefore does not expect this material weakness to recur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1"/>
          </w:cols>
          <w:pgMar w:left="319" w:top="1440" w:right="379" w:bottom="1440" w:gutter="0" w:footer="0" w:header="0"/>
        </w:sectPr>
      </w:pPr>
    </w:p>
    <w:bookmarkStart w:id="101" w:name="page102"/>
    <w:bookmarkEnd w:id="101"/>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BUSINESS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66" w:lineRule="exact"/>
        <w:rPr>
          <w:sz w:val="20"/>
          <w:szCs w:val="20"/>
          <w:color w:val="auto"/>
        </w:rPr>
      </w:pPr>
    </w:p>
    <w:p>
      <w:pPr>
        <w:ind w:right="200" w:firstLine="297"/>
        <w:spacing w:after="0" w:line="262" w:lineRule="auto"/>
        <w:rPr>
          <w:sz w:val="20"/>
          <w:szCs w:val="20"/>
          <w:color w:val="auto"/>
        </w:rPr>
      </w:pPr>
      <w:r>
        <w:rPr>
          <w:rFonts w:ascii="Arial" w:cs="Arial" w:eastAsia="Arial" w:hAnsi="Arial"/>
          <w:sz w:val="16"/>
          <w:szCs w:val="16"/>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(MA) insurer, we leverage our flagship software platform, the Clover Assistant, to provide America’s seniors with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provider (PCP) co-pays, specialist co-pays, drug deductibles and drug costs in their markets—and provide wide network access and the same cost-sharing (co-pays and deductibles) for primary care providers who are in- and out-of-network. By empowering providers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w:t>
      </w:r>
    </w:p>
    <w:p>
      <w:pPr>
        <w:spacing w:after="0" w:line="121" w:lineRule="exact"/>
        <w:rPr>
          <w:sz w:val="20"/>
          <w:szCs w:val="20"/>
          <w:color w:val="auto"/>
        </w:rPr>
      </w:pPr>
    </w:p>
    <w:p>
      <w:pPr>
        <w:ind w:right="120" w:firstLine="297"/>
        <w:spacing w:after="0" w:line="281" w:lineRule="auto"/>
        <w:rPr>
          <w:sz w:val="20"/>
          <w:szCs w:val="20"/>
          <w:color w:val="auto"/>
        </w:rPr>
      </w:pPr>
      <w:r>
        <w:rPr>
          <w:rFonts w:ascii="Arial" w:cs="Arial" w:eastAsia="Arial" w:hAnsi="Arial"/>
          <w:sz w:val="15"/>
          <w:szCs w:val="15"/>
          <w:color w:val="auto"/>
        </w:rPr>
        <w:t>The Clover Assistant was designed to enable healthcare providers to improve the care for all patients, especially at-risk populations, and this allows us to focus on driving Clover Assistant adoption as a means of growing our number of lives under management. We recently expanded into the new Global and Professional Direct Contracting Model, or the DC Model, of the Centers for Medicare &amp; Medicaid Services (CMS), enabling us to further empower healthcare providers to use the Clover Assistant when they are treating not only our MA members, whom we refer to as members, but also their patients who are enrolled in Original Medicare, which is the largest segment of Medicare. In connection with this expansion, we are continuing to form relationships with a greater number of providers, while deepening our relationships with existing Clover Assistant onboarded providers, who now can leverage the Clover Assistant across a broader panel of Medicare patients, thus enabling further Clover Assistant engagement. Expanding into Original Medicare is not only a strategic milestone for Clover but also demonstrates the scalability of the Clover Assistant. While other companies may be constrained by antiquated technologies, geographic limitations or asset-heavy approaches, we believe our tech-centric strategy enables us to quickly and cost effectively deploy software to providers nationwide, including in historically underserved markets.</w:t>
      </w:r>
    </w:p>
    <w:p>
      <w:pPr>
        <w:spacing w:after="0" w:line="111"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Our revenues have grown at a 37% compound annual growth rate from 2018 to 2020. Additionally, we are launching our MA plans in 101 new counties in 2022, which together with our current counties, represent 5.2 million available Medicare lives as of August 2021. We first launched in New Jersey, and prior to 2019, we concentrated on growing our market presence in that state. From December 1, 2014, to September 30, 2021, the individual, non-special needs Medical Advantage population in New Jersey grew from 151,555 to 298,949, and our share of the New Jersey market grew from approximately 2,900 to 60,500 over that period. Additionally, as of September 30, 2021, we had 20,900 Original Medicare beneficiaries in New Jersey aligned to our Direct Contracting Entity (DCE) under the DC Model, which launched on April 1, 2021. According to CMS data, during this period, our rate of growth for lives under management was 1.6 times that of our largest competitor in New Jersey. By leveraging our “Obvious” plan designs, we believe we can replicate this rate of growth in the state of Georgia, which has an individual, non-special needs Medical Advantage population of approximately 460,000, as of September 30, 2021, based on the over 4,000 lives under management yielded from our focused efforts in Georgia over the last two years.</w:t>
      </w:r>
    </w:p>
    <w:p>
      <w:pPr>
        <w:spacing w:after="0" w:line="121" w:lineRule="exact"/>
        <w:rPr>
          <w:sz w:val="20"/>
          <w:szCs w:val="20"/>
          <w:color w:val="auto"/>
        </w:rPr>
      </w:pPr>
    </w:p>
    <w:p>
      <w:pPr>
        <w:ind w:right="100" w:firstLine="297"/>
        <w:spacing w:after="0" w:line="263" w:lineRule="auto"/>
        <w:rPr>
          <w:sz w:val="20"/>
          <w:szCs w:val="20"/>
          <w:color w:val="auto"/>
        </w:rPr>
      </w:pPr>
      <w:r>
        <w:rPr>
          <w:rFonts w:ascii="Arial" w:cs="Arial" w:eastAsia="Arial" w:hAnsi="Arial"/>
          <w:sz w:val="16"/>
          <w:szCs w:val="16"/>
          <w:color w:val="auto"/>
        </w:rPr>
        <w:t>We drive adoption and use of the Clover Assistant across our contracted providers by focusing on continuously improving its user-centric design, highly actionable and real-time clinical content, enhanced and rapid payment for Clover Assistant visits and simple onboarding. As of September 30, 2021, we had approximately 850 contracted participating providers who manage primary care for Original Medicare beneficiaries aligned to the Company’s Direct Contracting Entity (DCE) under the DC Model, whom we refer to as our DCE Beneficiaries and, together with our members, we refer to as the beneficiaries or Lives under Clover Management. Additionally, as of September 30, 2021, we have generated $439 million in DCE revenue since we launched our DCE business, and we had approximately 865 preferred providers and preferred facilities in our DCE network and over 2,000 preferred providers contracted for 2022, with about 50% of our aligned beneficiaries having received a visit from a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23"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contracted on the Clover Assistant platform. Healthcare providers deploy our technology platform in their office setting, via telemedicine and in the home through our Clover Home Care program, allowing them to meet the patient at their preferred care setting.</w:t>
      </w:r>
    </w:p>
    <w:p>
      <w:pPr>
        <w:spacing w:after="0" w:line="99" w:lineRule="exact"/>
        <w:rPr>
          <w:sz w:val="20"/>
          <w:szCs w:val="20"/>
          <w:color w:val="auto"/>
        </w:rPr>
      </w:pPr>
    </w:p>
    <w:p>
      <w:pPr>
        <w:ind w:right="80" w:firstLine="297"/>
        <w:spacing w:after="0" w:line="260" w:lineRule="auto"/>
        <w:rPr>
          <w:sz w:val="20"/>
          <w:szCs w:val="20"/>
          <w:color w:val="auto"/>
        </w:rPr>
      </w:pPr>
      <w:r>
        <w:rPr>
          <w:rFonts w:ascii="Arial" w:cs="Arial" w:eastAsia="Arial" w:hAnsi="Arial"/>
          <w:sz w:val="16"/>
          <w:szCs w:val="16"/>
          <w:color w:val="auto"/>
        </w:rPr>
        <w:t>High provider engagement with the Clover Assistant enables real-time, data-driven decision-making for our lives under management at the point of care and drives rapid software iteration: the more that providers use the Clover Assistant, the more it learns and furthers the precision of personalized data-driven recommendations. We combine our beneficiary data with provider-generated data and use this powerful closed feedback loop to continuously tune our clinical rules and machine learning models, as well as to select and prioritize future software capabilities. We believe the use and continuous improvement of the Clover Assistant has resulted in not only improved clinical decision-making but also enhanced MA plan performance. For example, as of September 30, 2021, approximately 48% of our MA members had seen a physician who was contracted on the Clover Assistant platform, and members assigned to PCPs who are contracted on the Clover Assistant platform had MCRs that were more than 1,000 basis points lower than members who were not assigned to such PCPs. The platform facilitates identifying and engaging with our most at-risk patients for our clinical programs designed to provide additional targeted care support, which is designed to further drive better plan performance. In 2020, physicians used Clover Assistant data to identify an average of 0.85 conditions per member. Taken together, we believe these enhancements will allow us to return a material portion of our savings to our members through our “Obvious” MA plans and to continuously lower our members’ out-of- pocket costs, while providing them with market-leading benefits. We also believe this framework, through our participation in the DC Model, will allow us to bring improvements to care and costs across a larger patient population, especially as it empowers our providers to drive improved clinical outcomes. The table below shows the growth of physicians contracted on the Clover Assistant platform over the three years ended September 30, 2021, and the corresponding growth in visits to a physician contracted on the Clover Assistant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88900</wp:posOffset>
            </wp:positionV>
            <wp:extent cx="5024120" cy="17818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24120" cy="178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We complement our healthcare providers and their patients with our in-home primary care program, Clover Home Care, which covers the sickest, most medically complex patients often with advanced comorbidities. We believe the Clover Assistant makes home care for high-risk individuals more scalable than fixed-site-based care and permits technology deployment to enhance care and outcomes directly where patients live because our value proposition is centered around software. Compared to the at-risk provider group models that may seek to take away patients from their existing PCPs, Clover Home Care seeks to preserve the PCP to patient relationship through collaboration, which improves health outcomes and reduces medical expense.</w:t>
      </w:r>
    </w:p>
    <w:p>
      <w:pPr>
        <w:spacing w:after="0" w:line="118"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We were incorporated on October 18, 2019, as a special purpose acquisition company and a Cayman Islands exempted company under the name Social Capital Hedosophia Holdings Corp. III (SCH). On April 24, 2020, SCH completed its initial public offering. On January 7, 2021, SCH consummated a business combination with Clover Health Investments, Corp. and changed its name to Clover Health Investments, Corp. Our principal executive offices are located at 3401 Mallory Lane, Suite 210, Franklin, Tennessee 37067. Our telephone number is (201) 432-2133.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3"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color w:val="auto"/>
        </w:rPr>
        <w:t>Our website address is www.cloverhealth.com. The content on any website referred to in this prospectus is not incorporated by reference in this prospectus unless expressly noted.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Opportunity</w:t>
      </w:r>
    </w:p>
    <w:p>
      <w:pPr>
        <w:spacing w:after="0" w:line="166" w:lineRule="exact"/>
        <w:rPr>
          <w:sz w:val="20"/>
          <w:szCs w:val="20"/>
          <w:color w:val="auto"/>
        </w:rPr>
      </w:pPr>
    </w:p>
    <w:p>
      <w:pPr>
        <w:ind w:right="80" w:firstLine="297"/>
        <w:spacing w:after="0" w:line="283" w:lineRule="auto"/>
        <w:rPr>
          <w:sz w:val="20"/>
          <w:szCs w:val="20"/>
          <w:color w:val="auto"/>
        </w:rPr>
      </w:pPr>
      <w:r>
        <w:rPr>
          <w:rFonts w:ascii="Arial" w:cs="Arial" w:eastAsia="Arial" w:hAnsi="Arial"/>
          <w:sz w:val="15"/>
          <w:szCs w:val="15"/>
          <w:color w:val="auto"/>
        </w:rPr>
        <w:t>We believe we have an opportunity to fundamentally change healthcare by aligning our interests with those of our beneficiaries and providers through a technology-driven, asset-light model. By leveraging the Clover Assistant platform, we believe we can raise the level of care provided by every provider and rapidly and broadly scale in ways unthinkable by traditional managed care plans and risk-bearing provider groups. We principally scale our model of care by deploying software to providers. We primarily contract with providers simply to use the Clover Assistant at the point of care for a flat fee rather than, for example, negotiating contracts involving risk-sharing arrangements under which the provider assumes downside financial responsibilities for patient care. Our platform, which enables differentiated open network patient care,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09"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Medicare is the focal point of our opportunity. Over 60 million people were enrolled in Medicare in 2020, and that number is expected to rise, equating to over $1 trillion in total expenditures by 2025. Within Medicare, the Medicare Advantage (MA) market made up approximately $270 billion of annual spend in 2020 and is expected to grow to approximately $590 billion by 2025, and Original Medicare is expected to grow from $530 billion to $665 billion over the same period. From 2016 to 2021, PPO plans grew at a 13.9% compound annual growth rate, which was twice the rate of HMO plans. As of September 30, 2021, we offered MA plans in 108 markets, or counties, across eight states, and we are launching our MA plans in 101 new markets and an additional state in 2022. Together, these markets represent approximately 5.2 million available Medicare lives as of August 2021. In April 2021, we began participating in the Direct Contracting model of the Centers for Medicare &amp; Medicaid Services (CMS). At launch, we had contracted with approximately 1,800 individual providers who serve over 200,000 Original Medicare beneficiaries across eight states. As of September 30, 2021, over 61,818 beneficiaries were aligned to our DCE, predominantly on the basis of claims data. In 2021, we have the opportunity to capture additional lives through quarterly voluntary alignment, and for 2022 and beyond, we also have the opportunity to contract with additional providers to join our DCE.</w:t>
      </w:r>
    </w:p>
    <w:p>
      <w:pPr>
        <w:spacing w:after="0" w:line="126"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Additionally, we believe we can leverage the power of the Clover Assistant to further capture Medicare market share through emerging payment models. As noted, we are participating in CMS’s Direct Contracting model, which launched in April 2021. Direct Contracting provides for payment incentives similar to those in MA for physician practices and other organizations serving beneficiaries who enroll in Medicare directly with the federal government, or what is commonly referred to as “Original Medicare.” As part of the program, Clover contracts directly with providers to use the Clover Assistant to help manage their Original Medicare patients. An Original Medicare patient becomes aligned to our DCE when CMS’s attribution model attributes them, based on claims data or a patient’s designation, to a provider with whom Clover has contracted as a “DC Participant” provider. We also contract with “preferred” providers, which include specialists and ancillary facilities that agree to participate in Direct Contracting with Clover’s DCE. Under our global risk arrangement, total medical costs for these aligned beneficiaries are calculated and compared to a risk-adjusted benchmark rate. Our DCE will receive any savings, or bear any losses, generated, limited by several risk mitigation mechanisms. We believe this program represents a significant economic and market opportunity for us to deploy our platform across a national footprint since we plan to scale this beyond our MA markets and greatly enhance the velocity of our new market growth.</w:t>
      </w:r>
    </w:p>
    <w:p>
      <w:pPr>
        <w:spacing w:after="0" w:line="126" w:lineRule="exact"/>
        <w:rPr>
          <w:sz w:val="20"/>
          <w:szCs w:val="20"/>
          <w:color w:val="auto"/>
        </w:rPr>
      </w:pPr>
    </w:p>
    <w:p>
      <w:pPr>
        <w:ind w:right="340" w:firstLine="297"/>
        <w:spacing w:after="0" w:line="290" w:lineRule="auto"/>
        <w:rPr>
          <w:sz w:val="20"/>
          <w:szCs w:val="20"/>
          <w:color w:val="auto"/>
        </w:rPr>
      </w:pPr>
      <w:r>
        <w:rPr>
          <w:rFonts w:ascii="Arial" w:cs="Arial" w:eastAsia="Arial" w:hAnsi="Arial"/>
          <w:sz w:val="16"/>
          <w:szCs w:val="16"/>
          <w:color w:val="auto"/>
        </w:rPr>
        <w:t>Under our Direct Contracting model, we have an opportunity to develop our relationship with new and existing providers by giving them the opportunity to use the Clover Assistant with their Original Medicare patients while benefiting from an enhanced rate.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 Platform: The Clover Assistant</w:t>
      </w:r>
    </w:p>
    <w:p>
      <w:pPr>
        <w:spacing w:after="0" w:line="166" w:lineRule="exact"/>
        <w:rPr>
          <w:sz w:val="20"/>
          <w:szCs w:val="20"/>
          <w:color w:val="auto"/>
        </w:rPr>
      </w:pPr>
    </w:p>
    <w:p>
      <w:pPr>
        <w:ind w:right="180" w:firstLine="297"/>
        <w:spacing w:after="0" w:line="274" w:lineRule="auto"/>
        <w:rPr>
          <w:sz w:val="20"/>
          <w:szCs w:val="20"/>
          <w:color w:val="auto"/>
        </w:rPr>
      </w:pPr>
      <w:r>
        <w:rPr>
          <w:rFonts w:ascii="Arial" w:cs="Arial" w:eastAsia="Arial" w:hAnsi="Arial"/>
          <w:sz w:val="16"/>
          <w:szCs w:val="16"/>
          <w:color w:val="auto"/>
        </w:rPr>
        <w:t>The Clover Assistant is a purpose-built technology platform that engages providers and empowers them to deliver data-driven, personalized care. This platform is designed to synthesize comprehensive, longitudinal sets of data directly available to us as a health plan, generate provider-focused machine learning, artificial intelligence,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4" w:name="page105"/>
    <w:bookmarkEnd w:id="104"/>
    <w:p>
      <w:pPr>
        <w:spacing w:after="0" w:line="2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rules-based insights, and drive action by surfacing the most relevant, personalized information to providers directly at the point of care. Through this democratization of data access for providers, we seek to reduce the variability in clinical decision-making, drive improved adherence to evidence-based protocols, and help providers deliver better care. As a result, the Clover Assistant enables healthcare to work at the speed of software.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believe the key and differentiated features of the Clover Assistant technology platform include: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Real-time actionable insights at the point of care</w:t>
      </w:r>
    </w:p>
    <w:p>
      <w:pPr>
        <w:spacing w:after="0" w:line="162" w:lineRule="exact"/>
        <w:rPr>
          <w:sz w:val="20"/>
          <w:szCs w:val="20"/>
          <w:color w:val="auto"/>
        </w:rPr>
      </w:pPr>
    </w:p>
    <w:p>
      <w:pPr>
        <w:jc w:val="both"/>
        <w:ind w:right="100" w:firstLine="297"/>
        <w:spacing w:after="0" w:line="292" w:lineRule="auto"/>
        <w:rPr>
          <w:sz w:val="20"/>
          <w:szCs w:val="20"/>
          <w:color w:val="auto"/>
        </w:rPr>
      </w:pPr>
      <w:r>
        <w:rPr>
          <w:rFonts w:ascii="Arial" w:cs="Arial" w:eastAsia="Arial" w:hAnsi="Arial"/>
          <w:sz w:val="15"/>
          <w:szCs w:val="15"/>
          <w:color w:val="auto"/>
        </w:rPr>
        <w:t>The Clover Assistant aggregates and structures millions of data points per day, derived from a variety of data sets, such as claims data, medical charts, medication data, diagnostic data and EHR-generated data, across dozens of typically siloed and inconsistently formatted data feeds. It connects this data with up-to-date, evidence-based protocols and patient-specific plan information to drive real-time, personalized, and actionable insights to providers at the point of care. These real-time, data-rich insights are available to inform providers’ decision-making at the moment that they are interacting with and treating their patients.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Provider delight</w:t>
      </w:r>
    </w:p>
    <w:p>
      <w:pPr>
        <w:spacing w:after="0" w:line="162"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Since launching our platform in July 2018, we have driven provider adoption of the Clover Assistant platform through its user-centric design, highly actionable and real-time clinical content, enhanced and rapid Clover Assistant payments and simple onboarding. These features have delighted providers. Because our platform provides highly-actionable clinical content through an intuitive interface that easily integrates into the providers’ workflow, our broad base of contracted providers are highly engaged.</w:t>
      </w:r>
    </w:p>
    <w:p>
      <w:pPr>
        <w:spacing w:after="0" w:line="118" w:lineRule="exact"/>
        <w:rPr>
          <w:sz w:val="20"/>
          <w:szCs w:val="20"/>
          <w:color w:val="auto"/>
        </w:rPr>
      </w:pPr>
    </w:p>
    <w:p>
      <w:pPr>
        <w:ind w:right="280" w:firstLine="297"/>
        <w:spacing w:after="0" w:line="292" w:lineRule="auto"/>
        <w:rPr>
          <w:sz w:val="20"/>
          <w:szCs w:val="20"/>
          <w:color w:val="auto"/>
        </w:rPr>
      </w:pPr>
      <w:r>
        <w:rPr>
          <w:rFonts w:ascii="Arial" w:cs="Arial" w:eastAsia="Arial" w:hAnsi="Arial"/>
          <w:sz w:val="15"/>
          <w:szCs w:val="15"/>
          <w:color w:val="auto"/>
        </w:rPr>
        <w:t>Beyond the clinical benefits and intuitive technology, the Clover Assistant also provides providers serving our beneficiaries with a simple, streamlined administrative model. Upon completion of a patient visit with the Clover Assistant, providers are paid at predictable, prompt and enhanced per-visit rates, directly through the Clover Assistant program, providing advantages over the traditional claims submission process, which often requires separate billing and longer payment cycles. This enhanced and simplified payment model allows providers to focus on delivering care instead of documenting claims for payment.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Differentiated plan performance</w:t>
      </w:r>
    </w:p>
    <w:p>
      <w:pPr>
        <w:spacing w:after="0" w:line="162"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The Clover Assistant platform is designed to enable our mission-aligned business model to drive the empowerment of providers and improve care for beneficiaries while contributing to expanding margins for our MA plans and DCE. As a result of our provider-focused, data-driven platform, providers who have been using the Clover Assistant, on average, have been able to drive lower MCR for our returning MA members that they serve.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Rapid software iteration via our closed feedback loop</w:t>
      </w:r>
    </w:p>
    <w:p>
      <w:pPr>
        <w:spacing w:after="0" w:line="162" w:lineRule="exact"/>
        <w:rPr>
          <w:sz w:val="20"/>
          <w:szCs w:val="20"/>
          <w:color w:val="auto"/>
        </w:rPr>
      </w:pPr>
    </w:p>
    <w:p>
      <w:pPr>
        <w:ind w:right="380" w:firstLine="297"/>
        <w:spacing w:after="0" w:line="266" w:lineRule="auto"/>
        <w:rPr>
          <w:sz w:val="20"/>
          <w:szCs w:val="20"/>
          <w:color w:val="auto"/>
        </w:rPr>
      </w:pPr>
      <w:r>
        <w:rPr>
          <w:rFonts w:ascii="Arial" w:cs="Arial" w:eastAsia="Arial" w:hAnsi="Arial"/>
          <w:sz w:val="16"/>
          <w:szCs w:val="16"/>
          <w:color w:val="auto"/>
        </w:rPr>
        <w:t>Our platform is highly dynamic and continues to improve as we capture more data. As an MA plan and DCE that builds our own internally- developed clinician-focused software, we believe we are differentiated in our ability to continuously build upon our broad sets of rich data, resulting in a rapid learn-iterate-deploy software improvement cycle. We capture real-time data via live provider engagement and feedback through the Clover Assistant. This highly engaged, bi-directional data sharing construct creates a closed feedback loop, allowing us to continuously measure the results of our platform’s recommendations in real-time as well as iterate and improve our platform.</w:t>
      </w:r>
    </w:p>
    <w:p>
      <w:pPr>
        <w:spacing w:after="0" w:line="118" w:lineRule="exact"/>
        <w:rPr>
          <w:sz w:val="20"/>
          <w:szCs w:val="20"/>
          <w:color w:val="auto"/>
        </w:rPr>
      </w:pPr>
    </w:p>
    <w:p>
      <w:pPr>
        <w:ind w:right="740" w:firstLine="297"/>
        <w:spacing w:after="0" w:line="290" w:lineRule="auto"/>
        <w:rPr>
          <w:sz w:val="20"/>
          <w:szCs w:val="20"/>
          <w:color w:val="auto"/>
        </w:rPr>
      </w:pPr>
      <w:r>
        <w:rPr>
          <w:rFonts w:ascii="Arial" w:cs="Arial" w:eastAsia="Arial" w:hAnsi="Arial"/>
          <w:sz w:val="16"/>
          <w:szCs w:val="16"/>
          <w:color w:val="auto"/>
        </w:rPr>
        <w:t>Additionally we employ an agile software development methodology to introduce frequent updates to the platform. In addition to regular improvement of the Clover Assistant, this enables us to rapidly introduce new capabilities in response to changes in the market.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Rapid scalable implementations, powered by the cloud</w:t>
      </w:r>
    </w:p>
    <w:p>
      <w:pPr>
        <w:spacing w:after="0" w:line="162" w:lineRule="exact"/>
        <w:rPr>
          <w:sz w:val="20"/>
          <w:szCs w:val="20"/>
          <w:color w:val="auto"/>
        </w:rPr>
      </w:pPr>
    </w:p>
    <w:p>
      <w:pPr>
        <w:ind w:right="220" w:firstLine="297"/>
        <w:spacing w:after="0" w:line="366" w:lineRule="auto"/>
        <w:rPr>
          <w:sz w:val="20"/>
          <w:szCs w:val="20"/>
          <w:color w:val="auto"/>
        </w:rPr>
      </w:pPr>
      <w:r>
        <w:rPr>
          <w:rFonts w:ascii="Arial" w:cs="Arial" w:eastAsia="Arial" w:hAnsi="Arial"/>
          <w:sz w:val="14"/>
          <w:szCs w:val="14"/>
          <w:color w:val="auto"/>
        </w:rPr>
        <w:t>The Clover Assistant’s flexible systems architecture allows us to scale and upgrade the platform across geographies, healthcare delivery systems, and information technology infrastructures rapidly and efficiently while providing a consistent and robust user experience. Our cloud-based software platform enables a low-touch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5" w:name="page106"/>
    <w:bookmarkEnd w:id="105"/>
    <w:p>
      <w:pPr>
        <w:spacing w:after="0" w:line="23" w:lineRule="exact"/>
        <w:rPr>
          <w:sz w:val="20"/>
          <w:szCs w:val="20"/>
          <w:color w:val="auto"/>
        </w:rPr>
      </w:pPr>
    </w:p>
    <w:p>
      <w:pPr>
        <w:ind w:right="320"/>
        <w:spacing w:after="0" w:line="325" w:lineRule="auto"/>
        <w:rPr>
          <w:sz w:val="20"/>
          <w:szCs w:val="20"/>
          <w:color w:val="auto"/>
        </w:rPr>
      </w:pPr>
      <w:r>
        <w:rPr>
          <w:rFonts w:ascii="Arial" w:cs="Arial" w:eastAsia="Arial" w:hAnsi="Arial"/>
          <w:sz w:val="15"/>
          <w:szCs w:val="15"/>
          <w:color w:val="auto"/>
        </w:rPr>
        <w:t>onboarding process for our providers, who are trained and go live on the Clover Assistant typically within one hour. Additionally, each new release is instantaneously available across our user base, so that all of our providers may use the same, latest version of the Clover Assistant available to them at any time.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differentiated clinical care capabilities</w:t>
      </w:r>
    </w:p>
    <w:p>
      <w:pPr>
        <w:spacing w:after="0" w:line="162" w:lineRule="exact"/>
        <w:rPr>
          <w:sz w:val="20"/>
          <w:szCs w:val="20"/>
          <w:color w:val="auto"/>
        </w:rPr>
      </w:pPr>
    </w:p>
    <w:p>
      <w:pPr>
        <w:ind w:right="60" w:firstLine="297"/>
        <w:spacing w:after="0" w:line="283" w:lineRule="auto"/>
        <w:rPr>
          <w:sz w:val="20"/>
          <w:szCs w:val="20"/>
          <w:color w:val="auto"/>
        </w:rPr>
      </w:pPr>
      <w:r>
        <w:rPr>
          <w:rFonts w:ascii="Arial" w:cs="Arial" w:eastAsia="Arial" w:hAnsi="Arial"/>
          <w:sz w:val="15"/>
          <w:szCs w:val="15"/>
          <w:color w:val="auto"/>
        </w:rPr>
        <w:t>We work hard to drive better care for our lives under management. To accomplish this goal, we aim to develop a comprehensive understanding of each patient, their conditions and needs as well as how those factors change over time, so that we can provide guidance to their providers regarding when appropriate interventions should be delivered. We monitor a range of data sources over time and capitalize on emerging interoperability data standards to create a comprehensive view of each patient’s disease trajectory. Taking this holistic approach helps us to improve personalized chronic disease management and care coordination. Designed under the guidance of our clinical team physicians and utilizing the data we collect, the Clover Assistant provides insights in a clear and actionable format to the provider directly at the point of care, thereby facilitating adherence to evidence-based protocols for our lives under management. In addition, it enables rapid identification and enrollment of patient populations that would greatly benefit from complex care management or our other in-house clinical programs.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features of our clinical care capabilities provide significant value to providers and our beneficiaries: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Providers empowered with insights at the point of care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a patient visit, in the office, via telemedicine or the home, a provider utilizing the Clover Assistant may encounter any of the following:</w:t>
      </w:r>
    </w:p>
    <w:p>
      <w:pPr>
        <w:spacing w:after="0" w:line="162" w:lineRule="exact"/>
        <w:rPr>
          <w:sz w:val="20"/>
          <w:szCs w:val="20"/>
          <w:color w:val="auto"/>
        </w:rPr>
      </w:pPr>
    </w:p>
    <w:p>
      <w:pPr>
        <w:ind w:left="600" w:right="60" w:hanging="304"/>
        <w:spacing w:after="0" w:line="274" w:lineRule="auto"/>
        <w:tabs>
          <w:tab w:leader="none" w:pos="5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Synthesized sets of actionable, collated data. Providers often do not have access to comprehensive information about their patients’ interactions, such as a recent hospital admission or specialist-prescribed medication, across the healthcare ecosystem. The Clover Assistant eliminates this inefficiency by surfacing relevant and important data from sources across the healthcare ecosystem for providers at the point of care.</w:t>
      </w:r>
    </w:p>
    <w:p>
      <w:pPr>
        <w:spacing w:after="0" w:line="111" w:lineRule="exact"/>
        <w:rPr>
          <w:rFonts w:ascii="Arial" w:cs="Arial" w:eastAsia="Arial" w:hAnsi="Arial"/>
          <w:sz w:val="16"/>
          <w:szCs w:val="16"/>
          <w:color w:val="auto"/>
        </w:rPr>
      </w:pPr>
    </w:p>
    <w:p>
      <w:pPr>
        <w:ind w:left="600" w:hanging="304"/>
        <w:spacing w:after="0" w:line="283" w:lineRule="auto"/>
        <w:tabs>
          <w:tab w:leader="none" w:pos="596" w:val="left"/>
        </w:tabs>
        <w:numPr>
          <w:ilvl w:val="0"/>
          <w:numId w:val="40"/>
        </w:numPr>
        <w:rPr>
          <w:rFonts w:ascii="Arial" w:cs="Arial" w:eastAsia="Arial" w:hAnsi="Arial"/>
          <w:sz w:val="15"/>
          <w:szCs w:val="15"/>
          <w:color w:val="auto"/>
        </w:rPr>
      </w:pPr>
      <w:r>
        <w:rPr>
          <w:rFonts w:ascii="Arial" w:cs="Arial" w:eastAsia="Arial" w:hAnsi="Arial"/>
          <w:sz w:val="15"/>
          <w:szCs w:val="15"/>
          <w:color w:val="auto"/>
        </w:rPr>
        <w:t>Personalized clinical guidelines for chronic condition management. Our lives under management are seniors and long-term disabled individuals who exhibit many common chronic conditions and often manage them with multiple medications. Through synthesizing our broad set of data and mapping up-to-date clinical research, we are able to identify when patients are “off evidence,” and for an increasing number of chronic conditions, surface for the provider’s consideration a medication or treatment regimen that may be more clinically appropriate for that particular patient. Our focus on personalized care differentiates us. For instance, many other MA plans create high-level disease management programs that apply across large portions of their patient groups while the Clover Assistant recommends specific therapies, based on personalized details, such as comorbidities and contraindications. Our clinical team is constantly refining the platform’s recommendations in order to provide the most up-to-date and evidence-based care standards.</w:t>
      </w:r>
    </w:p>
    <w:p>
      <w:pPr>
        <w:spacing w:after="0" w:line="109" w:lineRule="exact"/>
        <w:rPr>
          <w:rFonts w:ascii="Arial" w:cs="Arial" w:eastAsia="Arial" w:hAnsi="Arial"/>
          <w:sz w:val="15"/>
          <w:szCs w:val="15"/>
          <w:color w:val="auto"/>
        </w:rPr>
      </w:pPr>
    </w:p>
    <w:p>
      <w:pPr>
        <w:jc w:val="both"/>
        <w:ind w:left="600" w:hanging="304"/>
        <w:spacing w:after="0" w:line="330" w:lineRule="auto"/>
        <w:tabs>
          <w:tab w:leader="none" w:pos="5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Quality gap closure. The Clover Assistant identifies and surfaces opportunities for improvement in clinical quality gaps, including those prioritized by The CMS Star Ratings Program (plan performance measures that drives bonus payments for plan providers), such as prescription drug adherence, regular cancer screenings and the annual flu shot. By addressing these quality gaps with evidence-based guidelines we expect to reduce costs and improve care over the long term.</w:t>
      </w:r>
    </w:p>
    <w:p>
      <w:pPr>
        <w:spacing w:after="0" w:line="77" w:lineRule="exact"/>
        <w:rPr>
          <w:rFonts w:ascii="Arial" w:cs="Arial" w:eastAsia="Arial" w:hAnsi="Arial"/>
          <w:sz w:val="14"/>
          <w:szCs w:val="14"/>
          <w:color w:val="auto"/>
        </w:rPr>
      </w:pPr>
    </w:p>
    <w:p>
      <w:pPr>
        <w:ind w:left="600" w:right="360" w:hanging="304"/>
        <w:spacing w:after="0" w:line="325" w:lineRule="auto"/>
        <w:tabs>
          <w:tab w:leader="none" w:pos="596"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Disease burden identification. The Clover Assistant reveals potential gaps in a provider’s understanding of a patient’s disease burden. By surfacing potential conditions that may be asymptomatic or otherwise unaddressed, providers can proactively treat conditions and drive better care for their patients.</w:t>
      </w:r>
    </w:p>
    <w:p>
      <w:pPr>
        <w:spacing w:after="0" w:line="77" w:lineRule="exact"/>
        <w:rPr>
          <w:sz w:val="20"/>
          <w:szCs w:val="20"/>
          <w:color w:val="auto"/>
        </w:rPr>
      </w:pPr>
    </w:p>
    <w:p>
      <w:pPr>
        <w:ind w:right="200" w:firstLine="297"/>
        <w:spacing w:after="0" w:line="290" w:lineRule="auto"/>
        <w:rPr>
          <w:sz w:val="20"/>
          <w:szCs w:val="20"/>
          <w:color w:val="auto"/>
        </w:rPr>
      </w:pPr>
      <w:r>
        <w:rPr>
          <w:rFonts w:ascii="Arial" w:cs="Arial" w:eastAsia="Arial" w:hAnsi="Arial"/>
          <w:sz w:val="16"/>
          <w:szCs w:val="16"/>
          <w:color w:val="auto"/>
        </w:rPr>
        <w:t>The combination of these features enables providers to deliver a better consumer experience for our beneficiaries, as providers are able to more effectively identify clinical opportunities to treat patients at the point of care using data-driven, personalized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3" w:lineRule="exact"/>
        <w:rPr>
          <w:sz w:val="20"/>
          <w:szCs w:val="20"/>
          <w:color w:val="auto"/>
        </w:rPr>
      </w:pPr>
    </w:p>
    <w:p>
      <w:pPr>
        <w:ind w:right="320" w:firstLine="297"/>
        <w:spacing w:after="0" w:line="264" w:lineRule="auto"/>
        <w:rPr>
          <w:sz w:val="20"/>
          <w:szCs w:val="20"/>
          <w:color w:val="auto"/>
        </w:rPr>
      </w:pPr>
      <w:r>
        <w:rPr>
          <w:rFonts w:ascii="Arial" w:cs="Arial" w:eastAsia="Arial" w:hAnsi="Arial"/>
          <w:sz w:val="16"/>
          <w:szCs w:val="16"/>
          <w:color w:val="auto"/>
        </w:rPr>
        <w:t>Of critical importance, when providing actionable advice, the Clover Assistant shares with the providers the specific reasons why a recommendation is being made so that the provider can ultimately exercise his or her own judgment in deciding whether to accept or reject a care recommendation. This may include evidence such as specific lab results, records from prior encounters, and links to up-to-date medical journals and clinical resources. Additionally, the Clover Assistant receives specific information and feedback from providers on reasons why a patient may not be receiving evidence-based care or complying with protocols, which ultimately prompts other program outreach efforts or future care plan recommendations. This closed feedback loop continuously improves our clinical recommendation engine and understanding of individual patient needs.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clinical programs run on the Clover Assistant</w:t>
      </w:r>
    </w:p>
    <w:p>
      <w:pPr>
        <w:spacing w:after="0" w:line="162" w:lineRule="exact"/>
        <w:rPr>
          <w:sz w:val="20"/>
          <w:szCs w:val="20"/>
          <w:color w:val="auto"/>
        </w:rPr>
      </w:pPr>
    </w:p>
    <w:p>
      <w:pPr>
        <w:ind w:right="280" w:firstLine="297"/>
        <w:spacing w:after="0" w:line="274" w:lineRule="auto"/>
        <w:rPr>
          <w:sz w:val="20"/>
          <w:szCs w:val="20"/>
          <w:color w:val="auto"/>
        </w:rPr>
      </w:pPr>
      <w:r>
        <w:rPr>
          <w:rFonts w:ascii="Arial" w:cs="Arial" w:eastAsia="Arial" w:hAnsi="Arial"/>
          <w:sz w:val="16"/>
          <w:szCs w:val="16"/>
          <w:color w:val="auto"/>
        </w:rPr>
        <w:t>In addition to supporting providers throughout our open network and our DCE’s participating providers, we operate clinical programs, either through our own employed clinicians or through vendors, that are designed to provide improved additive care for the most chronically-ill, frail and costly patients. Below is a snapshot of several clinical programs we offer:</w:t>
      </w:r>
    </w:p>
    <w:p>
      <w:pPr>
        <w:spacing w:after="0" w:line="112" w:lineRule="exact"/>
        <w:rPr>
          <w:sz w:val="20"/>
          <w:szCs w:val="20"/>
          <w:color w:val="auto"/>
        </w:rPr>
      </w:pPr>
    </w:p>
    <w:p>
      <w:pPr>
        <w:ind w:left="580" w:hanging="284"/>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Clover Home Care. Home-based primary care/intensive care management for our most complex patients.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Supportive Care. Advanced care planning support and palliative care for patients with limited life expectancy.</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Readmission Prevention Program. Care transition support for patients recently discharged from a hospital or post-acute care.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Behavioral Health Program. Comprehensive care coordination for patients with behavioral health and social services needs.</w:t>
      </w:r>
    </w:p>
    <w:p>
      <w:pPr>
        <w:spacing w:after="0" w:line="162" w:lineRule="exact"/>
        <w:rPr>
          <w:sz w:val="20"/>
          <w:szCs w:val="20"/>
          <w:color w:val="auto"/>
        </w:rPr>
      </w:pPr>
    </w:p>
    <w:p>
      <w:pPr>
        <w:ind w:right="1140" w:firstLine="297"/>
        <w:spacing w:after="0" w:line="290" w:lineRule="auto"/>
        <w:rPr>
          <w:sz w:val="20"/>
          <w:szCs w:val="20"/>
          <w:color w:val="auto"/>
        </w:rPr>
      </w:pPr>
      <w:r>
        <w:rPr>
          <w:rFonts w:ascii="Arial" w:cs="Arial" w:eastAsia="Arial" w:hAnsi="Arial"/>
          <w:sz w:val="16"/>
          <w:szCs w:val="16"/>
          <w:color w:val="auto"/>
        </w:rPr>
        <w:t>The Clover Assistant supports every stage of our care and interaction with our high-risk members through our clinical programs, from identification through engagement to clinical care.</w:t>
      </w:r>
    </w:p>
    <w:p>
      <w:pPr>
        <w:spacing w:after="0" w:line="99" w:lineRule="exact"/>
        <w:rPr>
          <w:sz w:val="20"/>
          <w:szCs w:val="20"/>
          <w:color w:val="auto"/>
        </w:rPr>
      </w:pPr>
    </w:p>
    <w:p>
      <w:pPr>
        <w:jc w:val="both"/>
        <w:ind w:left="600" w:right="100" w:hanging="304"/>
        <w:spacing w:after="0" w:line="274" w:lineRule="auto"/>
        <w:tabs>
          <w:tab w:leader="none" w:pos="5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Identification. The Clover Assistant enables us to identify members for whom our programs can provide needed support, fill gaps or reduce costs. For example, utilizing our machine learning algorithm, the Clover Health Acute Risk Model, we are able to accurately identify patients at high future hospitalization risk for our complex care management program.</w:t>
      </w:r>
    </w:p>
    <w:p>
      <w:pPr>
        <w:spacing w:after="0" w:line="111" w:lineRule="exact"/>
        <w:rPr>
          <w:rFonts w:ascii="Arial" w:cs="Arial" w:eastAsia="Arial" w:hAnsi="Arial"/>
          <w:sz w:val="16"/>
          <w:szCs w:val="16"/>
          <w:color w:val="auto"/>
        </w:rPr>
      </w:pPr>
    </w:p>
    <w:p>
      <w:pPr>
        <w:ind w:left="600" w:right="100" w:hanging="304"/>
        <w:spacing w:after="0" w:line="268" w:lineRule="auto"/>
        <w:tabs>
          <w:tab w:leader="none" w:pos="5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Engagement. The Clover Assistant enables us to partner with providers to determine if high-risk patients would benefit from our clinical care programs. The Clover Assistant’s bi-directional point-of-care approach not only prompts the provider to let us know which patients are appropriate for these programs, but encourages the provider to discuss the program with the patient at the point of care. We believe this introduction and engagement increases the likelihood that a patient will ultimately enroll in our clinical programs and receive the care that he or she needs.</w:t>
      </w:r>
    </w:p>
    <w:p>
      <w:pPr>
        <w:spacing w:after="0" w:line="117" w:lineRule="exact"/>
        <w:rPr>
          <w:rFonts w:ascii="Arial" w:cs="Arial" w:eastAsia="Arial" w:hAnsi="Arial"/>
          <w:sz w:val="16"/>
          <w:szCs w:val="16"/>
          <w:color w:val="auto"/>
        </w:rPr>
      </w:pPr>
    </w:p>
    <w:p>
      <w:pPr>
        <w:ind w:left="600" w:right="80" w:hanging="304"/>
        <w:spacing w:after="0" w:line="290" w:lineRule="auto"/>
        <w:tabs>
          <w:tab w:leader="none" w:pos="5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Clinical Care. With the right members identified and engaged, and the right protocols surfaced to program clinicians at the point of care, we believe we are able to further improve our patients’ quality of life and healthcare while driving significant medical expense savings.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Leveraging our data and engaging providers and beneficiaries has resulted in a number of meaningful clinical improvements.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Go-To-Market Strategy</w:t>
      </w:r>
    </w:p>
    <w:p>
      <w:pPr>
        <w:spacing w:after="0" w:line="16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We employ a simple and broad go-to-market strategy. Utilizing the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Underpinned by our software, our go-to-market strategy varies by type of model, MA or the DC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MA, our strategy centers on the following four simple steps:</w:t>
      </w:r>
    </w:p>
    <w:p>
      <w:pPr>
        <w:spacing w:after="0" w:line="162" w:lineRule="exact"/>
        <w:rPr>
          <w:sz w:val="20"/>
          <w:szCs w:val="20"/>
          <w:color w:val="auto"/>
        </w:rPr>
      </w:pPr>
    </w:p>
    <w:p>
      <w:pPr>
        <w:ind w:left="304" w:right="140" w:hanging="304"/>
        <w:spacing w:after="0" w:line="290"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Step one: Select markets to deploy our disruptive model. </w:t>
      </w:r>
      <w:r>
        <w:rPr>
          <w:rFonts w:ascii="Arial" w:cs="Arial" w:eastAsia="Arial" w:hAnsi="Arial"/>
          <w:sz w:val="16"/>
          <w:szCs w:val="16"/>
          <w:color w:val="auto"/>
        </w:rPr>
        <w:t>We seek opportunities to create differentiated and enhanced plans for consumers virtually anywhere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including traditionally underserved markets.</w:t>
      </w:r>
    </w:p>
    <w:p>
      <w:pPr>
        <w:spacing w:after="0" w:line="99" w:lineRule="exact"/>
        <w:rPr>
          <w:rFonts w:ascii="Arial" w:cs="Arial" w:eastAsia="Arial" w:hAnsi="Arial"/>
          <w:sz w:val="16"/>
          <w:szCs w:val="16"/>
          <w:color w:val="auto"/>
        </w:rPr>
      </w:pPr>
    </w:p>
    <w:p>
      <w:pPr>
        <w:ind w:left="304" w:right="80" w:hanging="304"/>
        <w:spacing w:after="0" w:line="264"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Step two: Broadly disseminate the Clover Assistant. </w:t>
      </w:r>
      <w:r>
        <w:rPr>
          <w:rFonts w:ascii="Arial" w:cs="Arial" w:eastAsia="Arial" w:hAnsi="Arial"/>
          <w:sz w:val="16"/>
          <w:szCs w:val="16"/>
          <w:color w:val="auto"/>
        </w:rPr>
        <w:t>We contract with a wide array of primary and chronic care decision-makers and deploy the Clover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wherever possible to empower providers to deliver data-driven, personalized care. Our contracts also have a simple payment model, with one enhanced rate for primary care visits using the Clover Assistant, relieving providers of significant administrative tasks. Our model expands our reach to providers beyond simply those large providers or other groups willing and able to structure complex risk-sharing arrangements. In addition, our plans with open network designs make it easier for our MA members to see providers outside our network, which generates new leads for us to deploy the Clover Assistant with an increasing pool of providers.</w:t>
      </w:r>
    </w:p>
    <w:p>
      <w:pPr>
        <w:spacing w:after="0" w:line="120" w:lineRule="exact"/>
        <w:rPr>
          <w:rFonts w:ascii="Arial" w:cs="Arial" w:eastAsia="Arial" w:hAnsi="Arial"/>
          <w:sz w:val="16"/>
          <w:szCs w:val="16"/>
          <w:color w:val="auto"/>
        </w:rPr>
      </w:pPr>
    </w:p>
    <w:p>
      <w:pPr>
        <w:ind w:left="304" w:right="80" w:hanging="304"/>
        <w:spacing w:after="0" w:line="264"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Step three: Powered by the Clover Assistant’s strong unit economics, deploy “Obvious” best-in-class plans. </w:t>
      </w:r>
      <w:r>
        <w:rPr>
          <w:rFonts w:ascii="Arial" w:cs="Arial" w:eastAsia="Arial" w:hAnsi="Arial"/>
          <w:sz w:val="16"/>
          <w:szCs w:val="16"/>
          <w:color w:val="auto"/>
        </w:rPr>
        <w:t>The use of the Clover Assistant is designed to drive</w:t>
      </w:r>
      <w:r>
        <w:rPr>
          <w:rFonts w:ascii="Arial" w:cs="Arial" w:eastAsia="Arial" w:hAnsi="Arial"/>
          <w:sz w:val="16"/>
          <w:szCs w:val="16"/>
          <w:i w:val="1"/>
          <w:iCs w:val="1"/>
          <w:color w:val="auto"/>
        </w:rPr>
        <w:t xml:space="preserve"> </w:t>
      </w:r>
      <w:r>
        <w:rPr>
          <w:rFonts w:ascii="Arial" w:cs="Arial" w:eastAsia="Arial" w:hAnsi="Arial"/>
          <w:sz w:val="16"/>
          <w:szCs w:val="16"/>
          <w:color w:val="auto"/>
        </w:rPr>
        <w:t>the economic success of our plans, which allows us to return these strong economics back to our members in the form of enhanced benefits, lower out-of-pocket costs and freedom of choice. Our affordability is underpinned by our plans’ low average total out-of-pocket costs for PCP co-pays, specialist co-pays, drug deductibles and drug costs. The substantial majority of our members enjoy freedom of choice, which manifests in our expansive, open network with the same cost-sharing for members who see primary care providers in- and out-of-network. Our open network design is particularly attractive compared to our competitors’ usual narrow networks or higher cost-sharing for out-of-network providers.</w:t>
      </w:r>
    </w:p>
    <w:p>
      <w:pPr>
        <w:spacing w:after="0" w:line="120" w:lineRule="exact"/>
        <w:rPr>
          <w:rFonts w:ascii="Arial" w:cs="Arial" w:eastAsia="Arial" w:hAnsi="Arial"/>
          <w:sz w:val="16"/>
          <w:szCs w:val="16"/>
          <w:color w:val="auto"/>
        </w:rPr>
      </w:pPr>
    </w:p>
    <w:p>
      <w:pPr>
        <w:ind w:left="304" w:right="100" w:hanging="304"/>
        <w:spacing w:after="0" w:line="290"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Step four: Drive strong, industry-leading, organic growth as consumers select our “Obvious” plans and receive care from providers on Clover Assistant. </w:t>
      </w:r>
      <w:r>
        <w:rPr>
          <w:rFonts w:ascii="Arial" w:cs="Arial" w:eastAsia="Arial" w:hAnsi="Arial"/>
          <w:sz w:val="16"/>
          <w:szCs w:val="16"/>
          <w:color w:val="auto"/>
        </w:rPr>
        <w:t>As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and scaled in new markets, we have seen strong membership growth.</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the DC Model, our strategy centers on the following four simple steps:</w:t>
      </w:r>
    </w:p>
    <w:p>
      <w:pPr>
        <w:spacing w:after="0" w:line="162" w:lineRule="exact"/>
        <w:rPr>
          <w:sz w:val="20"/>
          <w:szCs w:val="20"/>
          <w:color w:val="auto"/>
        </w:rPr>
      </w:pPr>
    </w:p>
    <w:p>
      <w:pPr>
        <w:ind w:left="304" w:right="80" w:hanging="304"/>
        <w:spacing w:after="0" w:line="264" w:lineRule="auto"/>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Step one: Select and contract with providers to join our DCE</w:t>
      </w:r>
      <w:r>
        <w:rPr>
          <w:rFonts w:ascii="Arial" w:cs="Arial" w:eastAsia="Arial" w:hAnsi="Arial"/>
          <w:sz w:val="16"/>
          <w:szCs w:val="16"/>
          <w:color w:val="auto"/>
        </w:rPr>
        <w:t>. We market our DCE to new providers with whom we can contract to use the Clover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who are contracted to our DCE receive enhanced reimbursement for visits through Clover Assistant which enables them to participate in value-based care arrangements with no financial downside. Our existing Clover Assistant MA providers have been rapid adopters of our DCE, however our broader strategy is to contract with providers in new geographies, across the nation. Through Direct Contracting, we are able to market our DCE to providers anywhere, year round. We believe this will allow us to grow faster and deploy the Clover Assistant to many more providers by allowing us to develop initial entry points in new markets where we have the opportunity to deploy our MA plans.</w:t>
      </w:r>
    </w:p>
    <w:p>
      <w:pPr>
        <w:spacing w:after="0" w:line="120" w:lineRule="exact"/>
        <w:rPr>
          <w:rFonts w:ascii="Arial" w:cs="Arial" w:eastAsia="Arial" w:hAnsi="Arial"/>
          <w:sz w:val="16"/>
          <w:szCs w:val="16"/>
          <w:color w:val="auto"/>
        </w:rPr>
      </w:pPr>
    </w:p>
    <w:p>
      <w:pPr>
        <w:ind w:left="304" w:hanging="304"/>
        <w:spacing w:after="0" w:line="268" w:lineRule="auto"/>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Step two: Expand our DCE lives under management</w:t>
      </w:r>
      <w:r>
        <w:rPr>
          <w:rFonts w:ascii="Arial" w:cs="Arial" w:eastAsia="Arial" w:hAnsi="Arial"/>
          <w:sz w:val="16"/>
          <w:szCs w:val="16"/>
          <w:color w:val="auto"/>
        </w:rPr>
        <w:t>. As we onboard new providers to DCE, CMS will annually claims-align new beneficiaries to our DCE,</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our lives under management. We also look to support our DCE providers as they voluntarily-align beneficiaries to our DCE to capture the broader opportunity within their existing Medicare patient panel. The enhanced reimbursement and improved clinical outcomes driven by the Clover Assistant may allow our DCE providers to expand the number of DCE-eligible patients they serve within their panels.</w:t>
      </w:r>
    </w:p>
    <w:p>
      <w:pPr>
        <w:spacing w:after="0" w:line="117" w:lineRule="exact"/>
        <w:rPr>
          <w:rFonts w:ascii="Arial" w:cs="Arial" w:eastAsia="Arial" w:hAnsi="Arial"/>
          <w:sz w:val="16"/>
          <w:szCs w:val="16"/>
          <w:color w:val="auto"/>
        </w:rPr>
      </w:pPr>
    </w:p>
    <w:p>
      <w:pPr>
        <w:ind w:left="304" w:right="120" w:hanging="304"/>
        <w:spacing w:after="0" w:line="266" w:lineRule="auto"/>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Step three: Deploying the Clover Assistant to drive savings and improved outcomes</w:t>
      </w:r>
      <w:r>
        <w:rPr>
          <w:rFonts w:ascii="Arial" w:cs="Arial" w:eastAsia="Arial" w:hAnsi="Arial"/>
          <w:sz w:val="16"/>
          <w:szCs w:val="16"/>
          <w:color w:val="auto"/>
        </w:rPr>
        <w:t>. We believe our experience in deploying the Clover Assistant across open</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in MA provides us with the expertise to manage the larger population within Original Medicare. We believe the Clover Assistant can drive similar clinical and financial value in DCE as it has in MA, allowing us to share in the savings driven by the value we bring to the Government. It is this opportunity to participate in the share savings that affords us the opportunity to reimburse providers at an enhanced rate for Clover Assistant visits while they participate in value-based care models with no financial downside.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6"/>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161290</wp:posOffset>
            </wp:positionV>
            <wp:extent cx="716915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944"/>
          </w:cols>
          <w:pgMar w:left="616" w:top="1440" w:right="339" w:bottom="1440" w:gutter="0" w:footer="0" w:header="0"/>
        </w:sectPr>
      </w:pPr>
    </w:p>
    <w:bookmarkStart w:id="108" w:name="page109"/>
    <w:bookmarkEnd w:id="108"/>
    <w:p>
      <w:pPr>
        <w:spacing w:after="0" w:line="23" w:lineRule="exact"/>
        <w:rPr>
          <w:sz w:val="20"/>
          <w:szCs w:val="20"/>
          <w:color w:val="auto"/>
        </w:rPr>
      </w:pPr>
    </w:p>
    <w:p>
      <w:pPr>
        <w:ind w:left="600" w:right="120" w:hanging="304"/>
        <w:spacing w:after="0" w:line="268" w:lineRule="auto"/>
        <w:tabs>
          <w:tab w:leader="none" w:pos="59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Step four: Drive strong, industry-leading, organic growth as providers join our DCE</w:t>
      </w:r>
      <w:r>
        <w:rPr>
          <w:rFonts w:ascii="Arial" w:cs="Arial" w:eastAsia="Arial" w:hAnsi="Arial"/>
          <w:sz w:val="16"/>
          <w:szCs w:val="16"/>
          <w:color w:val="auto"/>
        </w:rPr>
        <w:t>. In our first year of DCE, we were able to capture 62,025 DCE lives under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which nearly doubled the total number of lives under management we had as of January 1, 2021, demonstrating our ability to grow at scale. We believe that our Clover Assistant centered DCE approach allows us to scale more rapidly than other DCE participants who are dependent on scaling through a combination of brick-and-mortar expansion and competitive provider recruiting strategies.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Value Proposition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our mission-aligned business model, powered by the Clover Assistant, enables us to deliver significant value to the entire healthcare ecosystem.</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Clover is the “Obvious” plan for consumers</w:t>
      </w:r>
    </w:p>
    <w:p>
      <w:pPr>
        <w:spacing w:after="0" w:line="162" w:lineRule="exact"/>
        <w:rPr>
          <w:sz w:val="20"/>
          <w:szCs w:val="20"/>
          <w:color w:val="auto"/>
        </w:rPr>
      </w:pPr>
    </w:p>
    <w:p>
      <w:pPr>
        <w:ind w:right="560" w:firstLine="297"/>
        <w:spacing w:after="0" w:line="290" w:lineRule="auto"/>
        <w:rPr>
          <w:sz w:val="20"/>
          <w:szCs w:val="20"/>
          <w:color w:val="auto"/>
        </w:rPr>
      </w:pPr>
      <w:r>
        <w:rPr>
          <w:rFonts w:ascii="Arial" w:cs="Arial" w:eastAsia="Arial" w:hAnsi="Arial"/>
          <w:sz w:val="16"/>
          <w:szCs w:val="16"/>
          <w:color w:val="auto"/>
        </w:rPr>
        <w:t>Our beneficiaries are our primary constituents. We believe that an approach focused on consumer healthcare choice, enhanced provider trust, and competitive pricing results in distinct value to our beneficiaries and makes great healthcare available to everyone.</w:t>
      </w:r>
    </w:p>
    <w:p>
      <w:pPr>
        <w:spacing w:after="0" w:line="99" w:lineRule="exact"/>
        <w:rPr>
          <w:sz w:val="20"/>
          <w:szCs w:val="20"/>
          <w:color w:val="auto"/>
        </w:rPr>
      </w:pPr>
    </w:p>
    <w:p>
      <w:pPr>
        <w:ind w:left="600" w:hanging="304"/>
        <w:spacing w:after="0" w:line="266" w:lineRule="auto"/>
        <w:tabs>
          <w:tab w:leader="none" w:pos="59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Provider of choice. </w:t>
      </w:r>
      <w:r>
        <w:rPr>
          <w:rFonts w:ascii="Arial" w:cs="Arial" w:eastAsia="Arial" w:hAnsi="Arial"/>
          <w:sz w:val="16"/>
          <w:szCs w:val="16"/>
          <w:color w:val="auto"/>
        </w:rPr>
        <w:t>We value the health decisions our patients make and believe that consumer-driven provider choice increases trust and patient satisfaction.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open network philosophy offers considerable consumer choice: discretion to choose any new Medicare provider willing to see them or keep an existing provider. The substantial majority of our lives under management are enrolled in our open network plans, meaning that our patients need not worry about verifying whether their Medicare provider is in- or out-of our network as they pay the same amount in either case. Clover also works with a patient’s existing PCP in the home instead of reassigning them a new PCP.</w:t>
      </w:r>
    </w:p>
    <w:p>
      <w:pPr>
        <w:spacing w:after="0" w:line="117" w:lineRule="exact"/>
        <w:rPr>
          <w:rFonts w:ascii="Arial" w:cs="Arial" w:eastAsia="Arial" w:hAnsi="Arial"/>
          <w:sz w:val="16"/>
          <w:szCs w:val="16"/>
          <w:color w:val="auto"/>
        </w:rPr>
      </w:pPr>
    </w:p>
    <w:p>
      <w:pPr>
        <w:ind w:left="600" w:right="80" w:hanging="304"/>
        <w:spacing w:after="0" w:line="274" w:lineRule="auto"/>
        <w:tabs>
          <w:tab w:leader="none" w:pos="59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The Clover Assistant makes the Provider the quarterback. </w:t>
      </w:r>
      <w:r>
        <w:rPr>
          <w:rFonts w:ascii="Arial" w:cs="Arial" w:eastAsia="Arial" w:hAnsi="Arial"/>
          <w:sz w:val="16"/>
          <w:szCs w:val="16"/>
          <w:color w:val="auto"/>
        </w:rPr>
        <w:t>The Clover Assistant enhances each provider’s ability to coordinate care for each of our beneficiaries.</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our beneficiaries can have confidence that, when using the Clover Assistant, their provider has ready access to their medical histories and personalized, data-driven clinical care recommendations.</w:t>
      </w:r>
    </w:p>
    <w:p>
      <w:pPr>
        <w:spacing w:after="0" w:line="111" w:lineRule="exact"/>
        <w:rPr>
          <w:rFonts w:ascii="Arial" w:cs="Arial" w:eastAsia="Arial" w:hAnsi="Arial"/>
          <w:sz w:val="16"/>
          <w:szCs w:val="16"/>
          <w:color w:val="auto"/>
        </w:rPr>
      </w:pPr>
    </w:p>
    <w:p>
      <w:pPr>
        <w:ind w:left="600" w:right="200" w:hanging="304"/>
        <w:spacing w:after="0" w:line="292" w:lineRule="auto"/>
        <w:tabs>
          <w:tab w:leader="none" w:pos="596"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High value plans. </w:t>
      </w:r>
      <w:r>
        <w:rPr>
          <w:rFonts w:ascii="Arial" w:cs="Arial" w:eastAsia="Arial" w:hAnsi="Arial"/>
          <w:sz w:val="15"/>
          <w:szCs w:val="15"/>
          <w:color w:val="auto"/>
        </w:rPr>
        <w:t>We strive to ensure that consumers who choose our health plans get more for less. Our plans are benefit-rich while being highly affordable.</w:t>
      </w:r>
      <w:r>
        <w:rPr>
          <w:rFonts w:ascii="Arial" w:cs="Arial" w:eastAsia="Arial" w:hAnsi="Arial"/>
          <w:sz w:val="15"/>
          <w:szCs w:val="15"/>
          <w:i w:val="1"/>
          <w:iCs w:val="1"/>
          <w:color w:val="auto"/>
        </w:rPr>
        <w:t xml:space="preserve"> </w:t>
      </w:r>
      <w:r>
        <w:rPr>
          <w:rFonts w:ascii="Arial" w:cs="Arial" w:eastAsia="Arial" w:hAnsi="Arial"/>
          <w:sz w:val="15"/>
          <w:szCs w:val="15"/>
          <w:color w:val="auto"/>
        </w:rPr>
        <w:t>Most of our beneficiaries are enrolled in plans that offer the lowest average out-of-pocket costs for PCP co-pays, specialist co-pays, drug deductibles and drug costs in their markets while also providing wide network access and with the same in- and out-of-network costs for primary care provider visits. By seeking to lower the financial burden on our patients, we reduce disincentives that inhibit our patients from seeking the care they need.</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Clover delivers clinical and financial value for providers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Providers enjoy using the Clover Assistant as it allows them to focus on delivering care and rewards them for doing so.</w:t>
      </w:r>
    </w:p>
    <w:p>
      <w:pPr>
        <w:spacing w:after="0" w:line="162" w:lineRule="exact"/>
        <w:rPr>
          <w:sz w:val="20"/>
          <w:szCs w:val="20"/>
          <w:color w:val="auto"/>
        </w:rPr>
      </w:pPr>
    </w:p>
    <w:p>
      <w:pPr>
        <w:ind w:left="600" w:right="180" w:hanging="304"/>
        <w:spacing w:after="0" w:line="290" w:lineRule="auto"/>
        <w:tabs>
          <w:tab w:leader="none" w:pos="596"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The Clover Assistant delights and engages providers. </w:t>
      </w:r>
      <w:r>
        <w:rPr>
          <w:rFonts w:ascii="Arial" w:cs="Arial" w:eastAsia="Arial" w:hAnsi="Arial"/>
          <w:sz w:val="16"/>
          <w:szCs w:val="16"/>
          <w:color w:val="auto"/>
        </w:rPr>
        <w:t>We are focused on empowering and delighting providers who use our platform. We believe providers are</w:t>
      </w:r>
      <w:r>
        <w:rPr>
          <w:rFonts w:ascii="Arial" w:cs="Arial" w:eastAsia="Arial" w:hAnsi="Arial"/>
          <w:sz w:val="16"/>
          <w:szCs w:val="16"/>
          <w:i w:val="1"/>
          <w:iCs w:val="1"/>
          <w:color w:val="auto"/>
        </w:rPr>
        <w:t xml:space="preserve"> </w:t>
      </w:r>
      <w:r>
        <w:rPr>
          <w:rFonts w:ascii="Arial" w:cs="Arial" w:eastAsia="Arial" w:hAnsi="Arial"/>
          <w:sz w:val="16"/>
          <w:szCs w:val="16"/>
          <w:color w:val="auto"/>
        </w:rPr>
        <w:t>highly satisfied with the Clover Assistant platform, based on the level of their engagement.</w:t>
      </w:r>
    </w:p>
    <w:p>
      <w:pPr>
        <w:spacing w:after="0" w:line="99" w:lineRule="exact"/>
        <w:rPr>
          <w:rFonts w:ascii="Arial" w:cs="Arial" w:eastAsia="Arial" w:hAnsi="Arial"/>
          <w:sz w:val="16"/>
          <w:szCs w:val="16"/>
          <w:color w:val="auto"/>
        </w:rPr>
      </w:pPr>
    </w:p>
    <w:p>
      <w:pPr>
        <w:ind w:left="600" w:right="40" w:hanging="304"/>
        <w:spacing w:after="0" w:line="264" w:lineRule="auto"/>
        <w:tabs>
          <w:tab w:leader="none" w:pos="596"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We pay an enhanced rate for primary care. </w:t>
      </w:r>
      <w:r>
        <w:rPr>
          <w:rFonts w:ascii="Arial" w:cs="Arial" w:eastAsia="Arial" w:hAnsi="Arial"/>
          <w:sz w:val="16"/>
          <w:szCs w:val="16"/>
          <w:color w:val="auto"/>
        </w:rPr>
        <w:t>We believe providers play a critical role in helping to keep our beneficiaries healthy, and we compensate them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clinical experience they provide beneficiaries through the Clover Assistant. Our payment model is simple; we provide one enhanced rate for primary care visits using the Clover Assistant, or what we refer to as “Clover Assistant visits.” Our flat-fee per-visit provider compensation is approximately twice the average Medicare reimbursement fee rate for a primary care visit, and is consistent, predictable and prompt, with payments received on average within four days of completion of the visit. We believe our payment process for Clover Assistant visits is substantially faster than our competitors’ payment processes, which can take weeks or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3" w:lineRule="exact"/>
        <w:rPr>
          <w:sz w:val="20"/>
          <w:szCs w:val="20"/>
          <w:color w:val="auto"/>
        </w:rPr>
      </w:pPr>
    </w:p>
    <w:p>
      <w:pPr>
        <w:jc w:val="both"/>
        <w:ind w:left="600" w:hanging="304"/>
        <w:spacing w:after="0" w:line="292" w:lineRule="auto"/>
        <w:tabs>
          <w:tab w:leader="none" w:pos="596"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We partner with providers and allow them to focus on providing quality care. </w:t>
      </w:r>
      <w:r>
        <w:rPr>
          <w:rFonts w:ascii="Arial" w:cs="Arial" w:eastAsia="Arial" w:hAnsi="Arial"/>
          <w:sz w:val="15"/>
          <w:szCs w:val="15"/>
          <w:color w:val="auto"/>
        </w:rPr>
        <w:t>We partner with all types of providers, including solo practitioners, large physician</w:t>
      </w:r>
      <w:r>
        <w:rPr>
          <w:rFonts w:ascii="Arial" w:cs="Arial" w:eastAsia="Arial" w:hAnsi="Arial"/>
          <w:sz w:val="15"/>
          <w:szCs w:val="15"/>
          <w:i w:val="1"/>
          <w:iCs w:val="1"/>
          <w:color w:val="auto"/>
        </w:rPr>
        <w:t xml:space="preserve"> </w:t>
      </w:r>
      <w:r>
        <w:rPr>
          <w:rFonts w:ascii="Arial" w:cs="Arial" w:eastAsia="Arial" w:hAnsi="Arial"/>
          <w:sz w:val="15"/>
          <w:szCs w:val="15"/>
          <w:color w:val="auto"/>
        </w:rPr>
        <w:t>groups, hospital-employed physicians, and other providers. The combination of our growing beneficiary base, free use of the Clover Assistant and enhanced and rapid payment for Clover Assistant visits enables a highly efficient economic model that allows providers to build successful practices serving Medicare patients. This model focuses on relieving providers of additional administrative burdens, empowering them to spend more time on care.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Great healthcare for everyone, everywhere</w:t>
      </w:r>
    </w:p>
    <w:p>
      <w:pPr>
        <w:spacing w:after="0" w:line="162" w:lineRule="exact"/>
        <w:rPr>
          <w:sz w:val="20"/>
          <w:szCs w:val="20"/>
          <w:color w:val="auto"/>
        </w:rPr>
      </w:pPr>
    </w:p>
    <w:p>
      <w:pPr>
        <w:ind w:right="240" w:firstLine="297"/>
        <w:spacing w:after="0" w:line="274" w:lineRule="auto"/>
        <w:rPr>
          <w:sz w:val="20"/>
          <w:szCs w:val="20"/>
          <w:color w:val="auto"/>
        </w:rPr>
      </w:pPr>
      <w:r>
        <w:rPr>
          <w:rFonts w:ascii="Arial" w:cs="Arial" w:eastAsia="Arial" w:hAnsi="Arial"/>
          <w:sz w:val="16"/>
          <w:szCs w:val="16"/>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112" w:lineRule="exact"/>
        <w:rPr>
          <w:sz w:val="20"/>
          <w:szCs w:val="20"/>
          <w:color w:val="auto"/>
        </w:rPr>
      </w:pPr>
    </w:p>
    <w:p>
      <w:pPr>
        <w:ind w:left="600" w:right="20" w:hanging="304"/>
        <w:spacing w:after="0" w:line="274" w:lineRule="auto"/>
        <w:tabs>
          <w:tab w:leader="none" w:pos="596"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We mean everyone. </w:t>
      </w:r>
      <w:r>
        <w:rPr>
          <w:rFonts w:ascii="Arial" w:cs="Arial" w:eastAsia="Arial" w:hAnsi="Arial"/>
          <w:sz w:val="16"/>
          <w:szCs w:val="16"/>
          <w:color w:val="auto"/>
        </w:rPr>
        <w:t>Every individual deserves the best care, and through the Clover Assistant we are democratizing the clinical data and insights providers need</w:t>
      </w:r>
      <w:r>
        <w:rPr>
          <w:rFonts w:ascii="Arial" w:cs="Arial" w:eastAsia="Arial" w:hAnsi="Arial"/>
          <w:sz w:val="16"/>
          <w:szCs w:val="16"/>
          <w:i w:val="1"/>
          <w:iCs w:val="1"/>
          <w:color w:val="auto"/>
        </w:rPr>
        <w:t xml:space="preserve"> </w:t>
      </w:r>
      <w:r>
        <w:rPr>
          <w:rFonts w:ascii="Arial" w:cs="Arial" w:eastAsia="Arial" w:hAnsi="Arial"/>
          <w:sz w:val="16"/>
          <w:szCs w:val="16"/>
          <w:color w:val="auto"/>
        </w:rPr>
        <w:t>to deliver care. Because we drive this clinical improvement with technology, we believe we can scale in virtually any market, including traditionally underserved markets that are generally not viable for others.</w:t>
      </w:r>
    </w:p>
    <w:p>
      <w:pPr>
        <w:spacing w:after="0" w:line="111" w:lineRule="exact"/>
        <w:rPr>
          <w:rFonts w:ascii="Arial" w:cs="Arial" w:eastAsia="Arial" w:hAnsi="Arial"/>
          <w:sz w:val="16"/>
          <w:szCs w:val="16"/>
          <w:color w:val="auto"/>
        </w:rPr>
      </w:pPr>
    </w:p>
    <w:p>
      <w:pPr>
        <w:jc w:val="both"/>
        <w:ind w:left="600" w:right="520" w:hanging="304"/>
        <w:spacing w:after="0" w:line="274" w:lineRule="auto"/>
        <w:tabs>
          <w:tab w:leader="none" w:pos="596"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We mean everywhere. </w:t>
      </w:r>
      <w:r>
        <w:rPr>
          <w:rFonts w:ascii="Arial" w:cs="Arial" w:eastAsia="Arial" w:hAnsi="Arial"/>
          <w:sz w:val="16"/>
          <w:szCs w:val="16"/>
          <w:color w:val="auto"/>
        </w:rPr>
        <w:t>As patients are increasingly looking for access to care in a variety of settings, through the Clover Assistant we are able to empower</w:t>
      </w:r>
      <w:r>
        <w:rPr>
          <w:rFonts w:ascii="Arial" w:cs="Arial" w:eastAsia="Arial" w:hAnsi="Arial"/>
          <w:sz w:val="16"/>
          <w:szCs w:val="16"/>
          <w:i w:val="1"/>
          <w:iCs w:val="1"/>
          <w:color w:val="auto"/>
        </w:rPr>
        <w:t xml:space="preserve"> </w:t>
      </w:r>
      <w:r>
        <w:rPr>
          <w:rFonts w:ascii="Arial" w:cs="Arial" w:eastAsia="Arial" w:hAnsi="Arial"/>
          <w:sz w:val="16"/>
          <w:szCs w:val="16"/>
          <w:color w:val="auto"/>
        </w:rPr>
        <w:t>clinicians to provide care in offices and hospitals as well as non-traditional settings both via telemedicine and in the home. Our software allows us to help providers to provide care everywhere that our patients want to receive it.</w:t>
      </w:r>
    </w:p>
    <w:p>
      <w:pPr>
        <w:spacing w:after="0" w:line="111" w:lineRule="exact"/>
        <w:rPr>
          <w:rFonts w:ascii="Arial" w:cs="Arial" w:eastAsia="Arial" w:hAnsi="Arial"/>
          <w:sz w:val="16"/>
          <w:szCs w:val="16"/>
          <w:color w:val="auto"/>
        </w:rPr>
      </w:pPr>
    </w:p>
    <w:p>
      <w:pPr>
        <w:ind w:left="600" w:hanging="304"/>
        <w:spacing w:after="0" w:line="266" w:lineRule="auto"/>
        <w:tabs>
          <w:tab w:leader="none" w:pos="596"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Sustainable healthcare through reduced medical cost. </w:t>
      </w:r>
      <w:r>
        <w:rPr>
          <w:rFonts w:ascii="Arial" w:cs="Arial" w:eastAsia="Arial" w:hAnsi="Arial"/>
          <w:sz w:val="16"/>
          <w:szCs w:val="16"/>
          <w:color w:val="auto"/>
        </w:rPr>
        <w:t>We believe our focus on personalized evidence-based clinical recommendations at the point of care and</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gap closure allows us to reduce medical costs over the long-term. Our innovative approach to preventive care empowers providers to spend more time understanding their patient and personalized, evidence-based guidelines and helps reduce the incidence of high-cost events that drive the largest share of healthcare expenditures. We have a broad opportunity to bend the healthcare cost curve, driving true financial value to society, especially the American taxpayers who underwrite the medical costs of our current and future lives under management.</w:t>
      </w:r>
    </w:p>
    <w:p>
      <w:pPr>
        <w:spacing w:after="0" w:line="117" w:lineRule="exact"/>
        <w:rPr>
          <w:rFonts w:ascii="Arial" w:cs="Arial" w:eastAsia="Arial" w:hAnsi="Arial"/>
          <w:sz w:val="16"/>
          <w:szCs w:val="16"/>
          <w:color w:val="auto"/>
        </w:rPr>
      </w:pPr>
    </w:p>
    <w:p>
      <w:pPr>
        <w:ind w:left="600" w:right="240" w:hanging="304"/>
        <w:spacing w:after="0" w:line="268" w:lineRule="auto"/>
        <w:tabs>
          <w:tab w:leader="none" w:pos="596"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Provide value, not overhead. </w:t>
      </w:r>
      <w:r>
        <w:rPr>
          <w:rFonts w:ascii="Arial" w:cs="Arial" w:eastAsia="Arial" w:hAnsi="Arial"/>
          <w:sz w:val="16"/>
          <w:szCs w:val="16"/>
          <w:color w:val="auto"/>
        </w:rPr>
        <w:t>Many insurers simply act as middlemen, taking a cut of premiums while assigning duties of care to providers via complex risk-sharing contracting. New payment approaches, such as CMS’s DC Model, may help eliminate entities that serve only as overhead. With our model and technology platform, we believe we are positioned to thrive in any program where entities are expected to empower providers to improve care while lowering costs.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Clover Assistant Architecture</w:t>
      </w:r>
    </w:p>
    <w:p>
      <w:pPr>
        <w:spacing w:after="0" w:line="166"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The Clover Assistant is a differentiated platform able to scalably combine data synthesis, insight generation, and point-of-care action. The Clover Assistant platform synthesizes comprehensive, longitudinal sets of data directly available to us as a health plan, generates clinically-focused machine learning, artificial intelligence, and rules-based insights, and drives action by surfacing the most relevant, personalized information to providers directly at the point of care. Our platform’s excellence is centered on this three-pronged approach:</w:t>
      </w:r>
    </w:p>
    <w:p>
      <w:pPr>
        <w:spacing w:after="0" w:line="118" w:lineRule="exact"/>
        <w:rPr>
          <w:sz w:val="20"/>
          <w:szCs w:val="20"/>
          <w:color w:val="auto"/>
        </w:rPr>
      </w:pPr>
    </w:p>
    <w:p>
      <w:pPr>
        <w:ind w:left="600" w:right="160" w:hanging="304"/>
        <w:spacing w:after="0" w:line="292" w:lineRule="auto"/>
        <w:tabs>
          <w:tab w:leader="none" w:pos="596" w:val="left"/>
        </w:tabs>
        <w:numPr>
          <w:ilvl w:val="0"/>
          <w:numId w:val="50"/>
        </w:numPr>
        <w:rPr>
          <w:rFonts w:ascii="Arial" w:cs="Arial" w:eastAsia="Arial" w:hAnsi="Arial"/>
          <w:sz w:val="15"/>
          <w:szCs w:val="15"/>
          <w:color w:val="auto"/>
        </w:rPr>
      </w:pPr>
      <w:r>
        <w:rPr>
          <w:rFonts w:ascii="Arial" w:cs="Arial" w:eastAsia="Arial" w:hAnsi="Arial"/>
          <w:sz w:val="15"/>
          <w:szCs w:val="15"/>
          <w:color w:val="auto"/>
        </w:rPr>
        <w:t>Synthesis. Because it is developed by a health plan, the Clover Assistant is uniquely positioned in its ability to directly access broad sets of 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100" w:lineRule="exact"/>
        <w:rPr>
          <w:rFonts w:ascii="Arial" w:cs="Arial" w:eastAsia="Arial" w:hAnsi="Arial"/>
          <w:sz w:val="15"/>
          <w:szCs w:val="15"/>
          <w:color w:val="auto"/>
        </w:rPr>
      </w:pPr>
    </w:p>
    <w:p>
      <w:pPr>
        <w:ind w:left="600" w:right="20"/>
        <w:spacing w:after="0" w:line="325" w:lineRule="auto"/>
        <w:rPr>
          <w:rFonts w:ascii="Arial" w:cs="Arial" w:eastAsia="Arial" w:hAnsi="Arial"/>
          <w:sz w:val="15"/>
          <w:szCs w:val="15"/>
          <w:color w:val="auto"/>
        </w:rPr>
      </w:pPr>
      <w:r>
        <w:rPr>
          <w:rFonts w:ascii="Arial" w:cs="Arial" w:eastAsia="Arial" w:hAnsi="Arial"/>
          <w:sz w:val="15"/>
          <w:szCs w:val="15"/>
          <w:color w:val="auto"/>
        </w:rPr>
        <w:t>The 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3" w:lineRule="exact"/>
        <w:rPr>
          <w:sz w:val="20"/>
          <w:szCs w:val="20"/>
          <w:color w:val="auto"/>
        </w:rPr>
      </w:pPr>
    </w:p>
    <w:p>
      <w:pPr>
        <w:jc w:val="both"/>
        <w:ind w:left="600" w:right="240" w:hanging="304"/>
        <w:spacing w:after="0" w:line="274" w:lineRule="auto"/>
        <w:tabs>
          <w:tab w:leader="none" w:pos="596"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Insight. Given the massive depth, breadth and volume of data that we collect, it is critical to leverage technology to perform intelligent analytics. No provider could analyze this amount of data in real-time. Our insight engine applies a combination of advanced machine learning and clinically-driven business rules to curate actionable insights for providers at the point of care.</w:t>
      </w:r>
    </w:p>
    <w:p>
      <w:pPr>
        <w:spacing w:after="0" w:line="111" w:lineRule="exact"/>
        <w:rPr>
          <w:rFonts w:ascii="Arial" w:cs="Arial" w:eastAsia="Arial" w:hAnsi="Arial"/>
          <w:sz w:val="16"/>
          <w:szCs w:val="16"/>
          <w:color w:val="auto"/>
        </w:rPr>
      </w:pPr>
    </w:p>
    <w:p>
      <w:pPr>
        <w:ind w:left="600" w:right="140"/>
        <w:spacing w:after="0" w:line="325" w:lineRule="auto"/>
        <w:rPr>
          <w:rFonts w:ascii="Arial" w:cs="Arial" w:eastAsia="Arial" w:hAnsi="Arial"/>
          <w:sz w:val="16"/>
          <w:szCs w:val="16"/>
          <w:color w:val="auto"/>
        </w:rPr>
      </w:pPr>
      <w:r>
        <w:rPr>
          <w:rFonts w:ascii="Arial" w:cs="Arial" w:eastAsia="Arial" w:hAnsi="Arial"/>
          <w:sz w:val="15"/>
          <w:szCs w:val="15"/>
          <w:color w:val="auto"/>
        </w:rPr>
        <w:t>Our data scientists work in conjunction with providers to continually enhance our insight engine. We identify and target specific clinical problems, then seek to solve these problems with expert systems, combining the latest clinical and evidence-based research with machine learning-based insights.</w:t>
      </w:r>
    </w:p>
    <w:p>
      <w:pPr>
        <w:spacing w:after="0" w:line="76" w:lineRule="exact"/>
        <w:rPr>
          <w:rFonts w:ascii="Arial" w:cs="Arial" w:eastAsia="Arial" w:hAnsi="Arial"/>
          <w:sz w:val="16"/>
          <w:szCs w:val="16"/>
          <w:color w:val="auto"/>
        </w:rPr>
      </w:pPr>
    </w:p>
    <w:p>
      <w:pPr>
        <w:ind w:left="600" w:hanging="304"/>
        <w:spacing w:after="0" w:line="274" w:lineRule="auto"/>
        <w:tabs>
          <w:tab w:leader="none" w:pos="59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Action. The Clover Assistant provides real time, personalized, and actionable insights to help healthcare providers make better decisions and deliver the right care at the right time. Because our insights are provided in a clear, actionable format directly at the point of care, the Clover Assistant can instantaneously inform provider decision-making at the very moment that they are interacting with and treating our lives under management.</w:t>
      </w:r>
    </w:p>
    <w:p>
      <w:pPr>
        <w:spacing w:after="0" w:line="112" w:lineRule="exact"/>
        <w:rPr>
          <w:sz w:val="20"/>
          <w:szCs w:val="20"/>
          <w:color w:val="auto"/>
        </w:rPr>
      </w:pPr>
    </w:p>
    <w:p>
      <w:pPr>
        <w:jc w:val="both"/>
        <w:ind w:right="660" w:firstLine="297"/>
        <w:spacing w:after="0" w:line="274" w:lineRule="auto"/>
        <w:rPr>
          <w:sz w:val="20"/>
          <w:szCs w:val="20"/>
          <w:color w:val="auto"/>
        </w:rPr>
      </w:pPr>
      <w:r>
        <w:rPr>
          <w:rFonts w:ascii="Arial" w:cs="Arial" w:eastAsia="Arial" w:hAnsi="Arial"/>
          <w:sz w:val="16"/>
          <w:szCs w:val="16"/>
          <w:color w:val="auto"/>
        </w:rPr>
        <w:t>These three aspects of the Clover Assistant—Synthesis, Insight and Action—form a self-contained software improvement virtuous cycle. As providers take action based on our data insights, we receive rich feedback data in real time. We then input this data back into our data and insight layers, creating a loop of bi-directional information exchange.</w:t>
      </w:r>
    </w:p>
    <w:p>
      <w:pPr>
        <w:spacing w:after="0" w:line="112" w:lineRule="exact"/>
        <w:rPr>
          <w:sz w:val="20"/>
          <w:szCs w:val="20"/>
          <w:color w:val="auto"/>
        </w:rPr>
      </w:pPr>
    </w:p>
    <w:p>
      <w:pPr>
        <w:ind w:right="120" w:firstLine="297"/>
        <w:spacing w:after="0" w:line="285" w:lineRule="auto"/>
        <w:rPr>
          <w:sz w:val="20"/>
          <w:szCs w:val="20"/>
          <w:color w:val="auto"/>
        </w:rPr>
      </w:pPr>
      <w:r>
        <w:rPr>
          <w:rFonts w:ascii="Arial" w:cs="Arial" w:eastAsia="Arial" w:hAnsi="Arial"/>
          <w:sz w:val="15"/>
          <w:szCs w:val="15"/>
          <w:color w:val="auto"/>
        </w:rPr>
        <w:t>Across all three prongs of our platform, the Clover Assistant is designed to ensure data integrity and security to protect our users’ and patients’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Clover discourages and minimizes local data storage as a deterrence against physical device and data loss. The Clover Assistant data is stored in the cloud, with backups across Amazon Web Services and the Google Cloud Platform and secured by centralized identity access and management.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Products Built on the Clover Assistant Platform</w:t>
      </w:r>
    </w:p>
    <w:p>
      <w:pPr>
        <w:spacing w:after="0" w:line="166"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While the platform is currently primarily used by providers at the point of care, the Clover Assistant’s impact is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112" w:lineRule="exact"/>
        <w:rPr>
          <w:sz w:val="20"/>
          <w:szCs w:val="20"/>
          <w:color w:val="auto"/>
        </w:rPr>
      </w:pPr>
    </w:p>
    <w:p>
      <w:pPr>
        <w:ind w:left="600" w:right="80" w:hanging="304"/>
        <w:spacing w:after="0" w:line="274" w:lineRule="auto"/>
        <w:tabs>
          <w:tab w:leader="none" w:pos="5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Office / virtual visits. The Clover Assistant empowers providers by recommending personalized, evidence-based medications, providing reminders of timely discussion topics and treatment, enabling requests for patient data and orders for tests or screening kits and identifies potential undiagnosed conditions based on clinical evidence. Our software makes these features available for in-person visits or through telemedicine solutions.</w:t>
      </w:r>
    </w:p>
    <w:p>
      <w:pPr>
        <w:spacing w:after="0" w:line="111" w:lineRule="exact"/>
        <w:rPr>
          <w:rFonts w:ascii="Arial" w:cs="Arial" w:eastAsia="Arial" w:hAnsi="Arial"/>
          <w:sz w:val="16"/>
          <w:szCs w:val="16"/>
          <w:color w:val="auto"/>
        </w:rPr>
      </w:pPr>
    </w:p>
    <w:p>
      <w:pPr>
        <w:ind w:left="600" w:right="300" w:hanging="304"/>
        <w:spacing w:after="0" w:line="268" w:lineRule="auto"/>
        <w:tabs>
          <w:tab w:leader="none" w:pos="5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In-home visits. The Clover Assistant empowers physicians and other providers who operate outside of clinical settings, offices or hospitals. It supports, for example, our in-home primary care program enabling lengthy interactions for our lives under management with the most advanced illnesses or complex conditions. It also supports in-home programs targeting patients who have been recently discharged from hospitals or who do not receive regular care from a PCP.</w:t>
      </w:r>
    </w:p>
    <w:p>
      <w:pPr>
        <w:spacing w:after="0" w:line="117" w:lineRule="exact"/>
        <w:rPr>
          <w:rFonts w:ascii="Arial" w:cs="Arial" w:eastAsia="Arial" w:hAnsi="Arial"/>
          <w:sz w:val="16"/>
          <w:szCs w:val="16"/>
          <w:color w:val="auto"/>
        </w:rPr>
      </w:pPr>
    </w:p>
    <w:p>
      <w:pPr>
        <w:ind w:left="600" w:right="380" w:hanging="304"/>
        <w:spacing w:after="0" w:line="290" w:lineRule="auto"/>
        <w:tabs>
          <w:tab w:leader="none" w:pos="5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Office staff. Through its Care Connect feature, the Clover Assistant empowers office staff by identifying patients due for a visit, flagging members recently discharged from the hospital and providing tools for scheduling various screenings and follow-up visits.</w:t>
      </w:r>
    </w:p>
    <w:p>
      <w:pPr>
        <w:spacing w:after="0" w:line="99" w:lineRule="exact"/>
        <w:rPr>
          <w:sz w:val="20"/>
          <w:szCs w:val="20"/>
          <w:color w:val="auto"/>
        </w:rPr>
      </w:pPr>
    </w:p>
    <w:p>
      <w:pPr>
        <w:ind w:right="660" w:firstLine="297"/>
        <w:spacing w:after="0" w:line="290" w:lineRule="auto"/>
        <w:rPr>
          <w:sz w:val="20"/>
          <w:szCs w:val="20"/>
          <w:color w:val="auto"/>
        </w:rPr>
      </w:pPr>
      <w:r>
        <w:rPr>
          <w:rFonts w:ascii="Arial" w:cs="Arial" w:eastAsia="Arial" w:hAnsi="Arial"/>
          <w:sz w:val="16"/>
          <w:szCs w:val="16"/>
          <w:color w:val="auto"/>
        </w:rPr>
        <w:t>We believe we have the potential to improve our margin profile through the introduction of additional features into the Clover Assistant platform, including medication management, oncology care coordination, chronic kidney disease care coordination and orthopedic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66"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We market our “Obvious” MA plans through direct marketing activities and an extensive network of insurance brokers and field marketing organizations. We also enter into co-branding arrangements with providers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118" w:lineRule="exact"/>
        <w:rPr>
          <w:sz w:val="20"/>
          <w:szCs w:val="20"/>
          <w:color w:val="auto"/>
        </w:rPr>
      </w:pPr>
    </w:p>
    <w:p>
      <w:pPr>
        <w:ind w:right="260" w:firstLine="297"/>
        <w:spacing w:after="0" w:line="274" w:lineRule="auto"/>
        <w:rPr>
          <w:sz w:val="20"/>
          <w:szCs w:val="20"/>
          <w:color w:val="auto"/>
        </w:rPr>
      </w:pPr>
      <w:r>
        <w:rPr>
          <w:rFonts w:ascii="Arial" w:cs="Arial" w:eastAsia="Arial" w:hAnsi="Arial"/>
          <w:sz w:val="16"/>
          <w:szCs w:val="16"/>
          <w:color w:val="auto"/>
        </w:rPr>
        <w:t>We market participation in our DCE to providers through direct mail, the Internet, and direct telephonic outreach. We also are engaged with our participating providers to educate their Medicare eligible patients about voluntary alignment opportunities. Additionally, we participate in trade organizations such as the National Association of Accountable Care Organizations.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6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Key to our success is the time, attention and investment we place on continued innovation in the Clover Assistant platform. We expect to continue investing in expanding our platform and enhancing the features and functionality of the Clover Assistant. We analyze the growing number of interactions our providers have with the Clover Assistant to recognize their needs quickly and guide future innovation. Our research and development team is responsible for the design, development, testing and delivery of solutions for our platform.</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166" w:lineRule="exact"/>
        <w:rPr>
          <w:sz w:val="20"/>
          <w:szCs w:val="20"/>
          <w:color w:val="auto"/>
        </w:rPr>
      </w:pPr>
    </w:p>
    <w:p>
      <w:pPr>
        <w:ind w:right="300" w:firstLine="297"/>
        <w:spacing w:after="0" w:line="261" w:lineRule="auto"/>
        <w:rPr>
          <w:sz w:val="20"/>
          <w:szCs w:val="20"/>
          <w:color w:val="auto"/>
        </w:rPr>
      </w:pPr>
      <w:r>
        <w:rPr>
          <w:rFonts w:ascii="Arial" w:cs="Arial" w:eastAsia="Arial" w:hAnsi="Arial"/>
          <w:sz w:val="16"/>
          <w:szCs w:val="16"/>
          <w:color w:val="auto"/>
        </w:rPr>
        <w:t>The markets for MA plans, CMS Direct Contracting in Original Medicare and related products are highly competitive. We compete in certain segments within the healthcare market, including MA plans as well as other healthcare technology platforms, and intend to enter into others, such as new payment models offered by CMS. Competition in our market involves rapidly changing technologies, evolving regulatory requirements and industry expectations, new product offerings and constantly evolving beneficiary and provider preferences and user requirements. We face competition from a range of companies, including other incumbent MA plan providers and health insurance companies, many of whom are developing their own technology or partnering with third-party technology providers to drive improvements in care. Our competitors generally include large, national insurers, such as UnitedHealth, Aetna, Humana, Cigna, Centene and Anthem, that provide MA plans, as well as regional-based companies that provide MA plans, such as Blue Cross Blue Shield affiliates, Bright Health, Alignment Health, Devoted Health, Oscar Health,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w:t>
      </w:r>
    </w:p>
    <w:p>
      <w:pPr>
        <w:spacing w:after="0" w:line="123" w:lineRule="exact"/>
        <w:rPr>
          <w:sz w:val="20"/>
          <w:szCs w:val="20"/>
          <w:color w:val="auto"/>
        </w:rPr>
      </w:pPr>
    </w:p>
    <w:p>
      <w:pPr>
        <w:ind w:right="420" w:firstLine="297"/>
        <w:spacing w:after="0" w:line="274" w:lineRule="auto"/>
        <w:rPr>
          <w:sz w:val="20"/>
          <w:szCs w:val="20"/>
          <w:color w:val="auto"/>
        </w:rPr>
      </w:pPr>
      <w:r>
        <w:rPr>
          <w:rFonts w:ascii="Arial" w:cs="Arial" w:eastAsia="Arial" w:hAnsi="Arial"/>
          <w:sz w:val="16"/>
          <w:szCs w:val="16"/>
          <w:color w:val="auto"/>
        </w:rPr>
        <w:t>As a result of recent entry into CMS’ new DC Model, we face competition from other DCE participants including provider groups Accountable Care Organizations and Managed Care Organizations (MCOs). Competitors include Oak Street, VillageMD, Humana, Anthem and Iora Health. Competition from these and other new entrants may intensify as the DCE market develops and business models evolve to address it.</w:t>
      </w:r>
    </w:p>
    <w:p>
      <w:pPr>
        <w:spacing w:after="0" w:line="112" w:lineRule="exact"/>
        <w:rPr>
          <w:sz w:val="20"/>
          <w:szCs w:val="20"/>
          <w:color w:val="auto"/>
        </w:rPr>
      </w:pPr>
    </w:p>
    <w:p>
      <w:pPr>
        <w:ind w:right="640" w:firstLine="297"/>
        <w:spacing w:after="0" w:line="274" w:lineRule="auto"/>
        <w:rPr>
          <w:sz w:val="20"/>
          <w:szCs w:val="20"/>
          <w:color w:val="auto"/>
        </w:rPr>
      </w:pPr>
      <w:r>
        <w:rPr>
          <w:rFonts w:ascii="Arial" w:cs="Arial" w:eastAsia="Arial" w:hAnsi="Arial"/>
          <w:sz w:val="16"/>
          <w:szCs w:val="16"/>
          <w:color w:val="auto"/>
        </w:rPr>
        <w:t>We believe our asset-light model allows us to compete favorably based on the following competitive factors: the use of the Clover Assistant platform to improve clinical decision-making, price, quality of service, access to broad and open provider networks, breadth and flexibility of plan benefits, brand strength, beneficiary and provider satisfaction, and financial stability.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66"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Our intellectual property is an important aspect of our business. To establish and protect our intellectual property and other proprietary rights, we rely and expect to continue to rely upon a combination of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2" w:name="page113"/>
    <w:bookmarkEnd w:id="112"/>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w:t>
      </w:r>
    </w:p>
    <w:p>
      <w:pPr>
        <w:spacing w:after="0" w:line="111" w:lineRule="exact"/>
        <w:rPr>
          <w:sz w:val="20"/>
          <w:szCs w:val="20"/>
          <w:color w:val="auto"/>
        </w:rPr>
      </w:pPr>
    </w:p>
    <w:p>
      <w:pPr>
        <w:ind w:right="460" w:firstLine="297"/>
        <w:spacing w:after="0" w:line="268" w:lineRule="auto"/>
        <w:rPr>
          <w:sz w:val="20"/>
          <w:szCs w:val="20"/>
          <w:color w:val="auto"/>
        </w:rPr>
      </w:pPr>
      <w:r>
        <w:rPr>
          <w:rFonts w:ascii="Arial" w:cs="Arial" w:eastAsia="Arial" w:hAnsi="Arial"/>
          <w:sz w:val="16"/>
          <w:szCs w:val="16"/>
          <w:color w:val="auto"/>
        </w:rPr>
        <w:t>While we rely on software licensed from third parties for internal tools we use to operate our business, we do not currently in-license any intellectual property. Our intellectual property, including internally developed technology and products are developed by our employees, who are distributed geographically across the United States and globally, with two major hubs in San Francisco (California) and Hong Kong (China). We outsource operational engineering support work to a third party vendor headquartered in the United States with a globally distributed workforce.</w:t>
      </w:r>
    </w:p>
    <w:p>
      <w:pPr>
        <w:spacing w:after="0" w:line="118" w:lineRule="exact"/>
        <w:rPr>
          <w:sz w:val="20"/>
          <w:szCs w:val="20"/>
          <w:color w:val="auto"/>
        </w:rPr>
      </w:pPr>
    </w:p>
    <w:p>
      <w:pPr>
        <w:ind w:right="140" w:firstLine="297"/>
        <w:spacing w:after="0" w:line="264" w:lineRule="auto"/>
        <w:rPr>
          <w:sz w:val="20"/>
          <w:szCs w:val="20"/>
          <w:color w:val="auto"/>
        </w:rPr>
      </w:pPr>
      <w:r>
        <w:rPr>
          <w:rFonts w:ascii="Arial" w:cs="Arial" w:eastAsia="Arial" w:hAnsi="Arial"/>
          <w:sz w:val="16"/>
          <w:szCs w:val="16"/>
          <w:color w:val="auto"/>
        </w:rPr>
        <w:t>A portion of the technologies we use in our platform and mobile application incorporates “open source” software, which grants us broad permissions to use, copy, modify and redistribute on our platform and other products.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In addition, the use of third-party open source software typically exposes us to greater risks than the use of third-party commercial software because open-source licensors generally do not provide warranties or controls on the functionality or origin of the software.</w:t>
      </w:r>
    </w:p>
    <w:p>
      <w:pPr>
        <w:spacing w:after="0" w:line="121" w:lineRule="exact"/>
        <w:rPr>
          <w:sz w:val="20"/>
          <w:szCs w:val="20"/>
          <w:color w:val="auto"/>
        </w:rPr>
      </w:pPr>
    </w:p>
    <w:p>
      <w:pPr>
        <w:ind w:right="120" w:firstLine="297"/>
        <w:spacing w:after="0" w:line="292" w:lineRule="auto"/>
        <w:rPr>
          <w:sz w:val="20"/>
          <w:szCs w:val="20"/>
          <w:color w:val="auto"/>
        </w:rPr>
      </w:pPr>
      <w:r>
        <w:rPr>
          <w:rFonts w:ascii="Arial" w:cs="Arial" w:eastAsia="Arial" w:hAnsi="Arial"/>
          <w:sz w:val="15"/>
          <w:szCs w:val="15"/>
          <w:color w:val="auto"/>
        </w:rPr>
        <w:t>As of September 30, 2021, we owned four U.S. patents and no foreign patents, and there were 22 U.S. patent applications pending. We have not applied for patents in foreign jurisdictions. We have registered our trademarks in the United States, European Union, China, South Korea, Singapore, Australia and Taiwan. We continually review our development efforts to assess the existence and patentability of new intellectual property. We pursue the registration of our domain names, trademarks, and service marks in the United States and in certain locations outside the United States, including Canada and Hong Kong.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66"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Choosing to tackle healthcare is no small feat. Our mission of improving every life is made possible through the Herculean efforts put forth by our teams. We strive to attract and retain diverse talent from all different backgrounds and industries—we value Machine Learning Data Scientists the same way we value Clinical Pharmacists, the same way we value Claims Analysts. Bringing together motivated, inquisitive and mission oriented talent has provided us with a strategic advantage and is key to our success. Clover commits to providing a collaborative and inclusive work environment, competitive market compensation and benefits programs and growth opportunities that empower Cloverites to deliver positive outcomes for our beneficiaries.</w:t>
      </w:r>
    </w:p>
    <w:p>
      <w:pPr>
        <w:spacing w:after="0" w:line="118" w:lineRule="exact"/>
        <w:rPr>
          <w:sz w:val="20"/>
          <w:szCs w:val="20"/>
          <w:color w:val="auto"/>
        </w:rPr>
      </w:pPr>
    </w:p>
    <w:p>
      <w:pPr>
        <w:ind w:right="140" w:firstLine="297"/>
        <w:spacing w:after="0" w:line="290" w:lineRule="auto"/>
        <w:rPr>
          <w:sz w:val="20"/>
          <w:szCs w:val="20"/>
          <w:color w:val="auto"/>
        </w:rPr>
      </w:pPr>
      <w:r>
        <w:rPr>
          <w:rFonts w:ascii="Arial" w:cs="Arial" w:eastAsia="Arial" w:hAnsi="Arial"/>
          <w:sz w:val="16"/>
          <w:szCs w:val="16"/>
          <w:color w:val="auto"/>
        </w:rPr>
        <w:t>As of September 30, 2021, we had 636 employees with approximately 95% in the U.S. and 5% in Hong Kong. Our workforce was 66% Female and 33% Male and was 44% Caucasian/White and 56% with racially/ethnically diverse backgrounds.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Remote First Culture</w:t>
      </w:r>
    </w:p>
    <w:p>
      <w:pPr>
        <w:spacing w:after="0" w:line="162"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By establishing communication and decision making norms, placing an emphasis on transparency and working to build psychological safety and trust we found that colocation of employees was no longer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requirement. We believe in attracting the best talent for the role, regardless of location and celebrate the geographic dispersion of our teams. In August 2018, we opened an office in Hong Kong, which has since grown to a team of 30 employees. Prior to the onset of the COVID-19 pandemic, approximately 40% of our workforce were already remote based employees, meaning they did not regularly come into a brick and mortar facility. We expect over 60% of our teams will remain remote after offices reopen.</w:t>
      </w:r>
    </w:p>
    <w:p>
      <w:pPr>
        <w:spacing w:after="0" w:line="118"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All remote employees receive a stipend to set up their home work space so they can be most productive. We also ensure new hires (office-based or remote) are provided with an onboarding plan which helps them understand our culture while providing necessary training and modules to set them up for success. We use communication and meeting tools that enable teams to real-time chat and interact, regardless of their physical location. We also host a variety of All Company meetings in an effort to provide updates to Cloverites as real-time as possible and provide opportunities for employees to ask leadership questions.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Safety and Support during the COVID-19 Pandemic</w:t>
      </w:r>
    </w:p>
    <w:p>
      <w:pPr>
        <w:spacing w:after="0" w:line="162" w:lineRule="exact"/>
        <w:rPr>
          <w:sz w:val="20"/>
          <w:szCs w:val="20"/>
          <w:color w:val="auto"/>
        </w:rPr>
      </w:pPr>
    </w:p>
    <w:p>
      <w:pPr>
        <w:ind w:right="220" w:firstLine="297"/>
        <w:spacing w:after="0" w:line="300" w:lineRule="auto"/>
        <w:rPr>
          <w:sz w:val="20"/>
          <w:szCs w:val="20"/>
          <w:color w:val="auto"/>
        </w:rPr>
      </w:pPr>
      <w:r>
        <w:rPr>
          <w:rFonts w:ascii="Arial" w:cs="Arial" w:eastAsia="Arial" w:hAnsi="Arial"/>
          <w:sz w:val="15"/>
          <w:szCs w:val="15"/>
          <w:color w:val="auto"/>
        </w:rPr>
        <w:t>Being a healthcare company means the health, wellness and safety of our teams and patients is always top priority. All teams, including our clinicians, worked remotely during the pandemic. Our technology teams worked to quickly build out telehealth capabilities so that we could provide support to our patients in need. We have since allowed for certain clinical teams to return to the field, with strict guidance from our clinical leadership team and enhanced health and safety protocols.</w:t>
      </w:r>
    </w:p>
    <w:p>
      <w:pPr>
        <w:spacing w:after="0" w:line="95" w:lineRule="exact"/>
        <w:rPr>
          <w:sz w:val="20"/>
          <w:szCs w:val="20"/>
          <w:color w:val="auto"/>
        </w:rPr>
      </w:pPr>
    </w:p>
    <w:p>
      <w:pPr>
        <w:ind w:right="280" w:firstLine="297"/>
        <w:spacing w:after="0" w:line="268" w:lineRule="auto"/>
        <w:rPr>
          <w:sz w:val="20"/>
          <w:szCs w:val="20"/>
          <w:color w:val="auto"/>
        </w:rPr>
      </w:pPr>
      <w:r>
        <w:rPr>
          <w:rFonts w:ascii="Arial" w:cs="Arial" w:eastAsia="Arial" w:hAnsi="Arial"/>
          <w:sz w:val="16"/>
          <w:szCs w:val="16"/>
          <w:color w:val="auto"/>
        </w:rPr>
        <w:t>We have expanded our employee support resources over the past year to include paid access to an online platform offering mental health and wellbeing options ranging from digital resources and meditations to a network of certified coaches. To help Cloverites juggling work and homeschooling during the pandemic, we partnered with a company that provides remote tutoring support for families affected by school shutdowns. We also extended a remote employee stipend to all employees to help with productivity while remote.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Cultivating Diversity, Equity &amp; Inclusion</w:t>
      </w:r>
    </w:p>
    <w:p>
      <w:pPr>
        <w:spacing w:after="0" w:line="16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In our very early days, we created a Diversity &amp; Inclusion (D&amp;I) Working Group focused on making Clover a more diverse, inclusive, and equitable Company.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Growth &amp; Development</w:t>
      </w:r>
    </w:p>
    <w:p>
      <w:pPr>
        <w:spacing w:after="0" w:line="162" w:lineRule="exact"/>
        <w:rPr>
          <w:sz w:val="20"/>
          <w:szCs w:val="20"/>
          <w:color w:val="auto"/>
        </w:rPr>
      </w:pPr>
    </w:p>
    <w:p>
      <w:pPr>
        <w:ind w:right="260" w:firstLine="297"/>
        <w:spacing w:after="0" w:line="292" w:lineRule="auto"/>
        <w:rPr>
          <w:sz w:val="20"/>
          <w:szCs w:val="20"/>
          <w:color w:val="auto"/>
        </w:rPr>
      </w:pPr>
      <w:r>
        <w:rPr>
          <w:rFonts w:ascii="Arial" w:cs="Arial" w:eastAsia="Arial" w:hAnsi="Arial"/>
          <w:sz w:val="15"/>
          <w:szCs w:val="15"/>
          <w:color w:val="auto"/>
        </w:rPr>
        <w:t>We want Cloverites to be empowered to do their best work, and we aim to provide a variety of in-house and external resources to help them achieve maximum potential. Our approach to development starts during onboarding, when employees are presented with customized 30/60/90-day onboarding plans. These plans have been compiled by their hiring manager and reviewed by our Hiring Committee, with the goal of providing structure to onboarding and defining key wins and early successes as an employee ramps up. The onboarding plans also provide opportunities for check-ins, feedback and reprioritization of workload.</w:t>
      </w:r>
    </w:p>
    <w:p>
      <w:pPr>
        <w:spacing w:after="0" w:line="100"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Given the vast experience of our teams, we have operated an internal mentorship program for the past two years. The mentorship relationship is designed to enable employees to develop new skills and competencies, while concurrently networking and building relationships within the organization. In 2020, 90 employees went through the program with a 94% satisfaction rate with the quality of mentoring received. We have partnered with an external vendor to provide Cloverites at the manager+ level with an outcome-based coaching program at both the group and individual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14" w:name="page115"/>
    <w:bookmarkEnd w:id="114"/>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Employee Engagement &amp; Feedback</w:t>
      </w:r>
    </w:p>
    <w:p>
      <w:pPr>
        <w:spacing w:after="0" w:line="162" w:lineRule="exact"/>
        <w:rPr>
          <w:sz w:val="20"/>
          <w:szCs w:val="20"/>
          <w:color w:val="auto"/>
        </w:rPr>
      </w:pPr>
    </w:p>
    <w:p>
      <w:pPr>
        <w:ind w:right="200" w:firstLine="297"/>
        <w:spacing w:after="0" w:line="330" w:lineRule="auto"/>
        <w:rPr>
          <w:sz w:val="20"/>
          <w:szCs w:val="20"/>
          <w:color w:val="auto"/>
        </w:rPr>
      </w:pPr>
      <w:r>
        <w:rPr>
          <w:rFonts w:ascii="Arial" w:cs="Arial" w:eastAsia="Arial" w:hAnsi="Arial"/>
          <w:sz w:val="14"/>
          <w:szCs w:val="14"/>
          <w:color w:val="auto"/>
        </w:rPr>
        <w:t>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 In addition, we do regular pulse surveys so leaders can receive actionable feedback from their teams.</w:t>
      </w:r>
    </w:p>
    <w:p>
      <w:pPr>
        <w:spacing w:after="0" w:line="78"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Our evolving performance management process supports a culture of transparency, engagement, and continuous feedback. Quarterly check-ins are a frequent, light-weight check-in process to develop our internal talent and ingrain more transparency into Clover’s employee culture that focuses on goals, growth and progress. Our annual performance management cycle includes a 360 calibration review for all employees at all levels as we believe it provides the most holistic and meaningful snapshot on performance.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Compensation &amp; Benefits</w:t>
      </w:r>
    </w:p>
    <w:p>
      <w:pPr>
        <w:spacing w:after="0" w:line="162" w:lineRule="exact"/>
        <w:rPr>
          <w:sz w:val="20"/>
          <w:szCs w:val="20"/>
          <w:color w:val="auto"/>
        </w:rPr>
      </w:pPr>
    </w:p>
    <w:p>
      <w:pPr>
        <w:ind w:right="300" w:firstLine="297"/>
        <w:spacing w:after="0" w:line="300" w:lineRule="auto"/>
        <w:rPr>
          <w:sz w:val="20"/>
          <w:szCs w:val="20"/>
          <w:color w:val="auto"/>
        </w:rPr>
      </w:pPr>
      <w:r>
        <w:rPr>
          <w:rFonts w:ascii="Arial" w:cs="Arial" w:eastAsia="Arial" w:hAnsi="Arial"/>
          <w:sz w:val="15"/>
          <w:szCs w:val="15"/>
          <w:color w:val="auto"/>
        </w:rPr>
        <w:t>We believe in using our total rewards program to incentivize employees to make decisions that are in the best interest of our stakeholders. It is important that our plans are aligned with the market so that we can attract, retain and motivate Cloverites. Our compensation program is currently comprised of base salary, incentive plan bonuses, spot bonuses and equity incentive awards, and may continue to evolve as we become a more mature public company.</w:t>
      </w:r>
    </w:p>
    <w:p>
      <w:pPr>
        <w:spacing w:after="0" w:line="95" w:lineRule="exact"/>
        <w:rPr>
          <w:sz w:val="20"/>
          <w:szCs w:val="20"/>
          <w:color w:val="auto"/>
        </w:rPr>
      </w:pPr>
    </w:p>
    <w:p>
      <w:pPr>
        <w:ind w:right="480" w:firstLine="297"/>
        <w:spacing w:after="0" w:line="274" w:lineRule="auto"/>
        <w:rPr>
          <w:sz w:val="20"/>
          <w:szCs w:val="20"/>
          <w:color w:val="auto"/>
        </w:rPr>
      </w:pPr>
      <w:r>
        <w:rPr>
          <w:rFonts w:ascii="Arial" w:cs="Arial" w:eastAsia="Arial" w:hAnsi="Arial"/>
          <w:sz w:val="16"/>
          <w:szCs w:val="16"/>
          <w:color w:val="auto"/>
        </w:rPr>
        <w:t>Compensation is just one aspect of our offerings. We provide employees with health (medical, dental, vision and telehealth) insurance, paid time off, paid sick leave, paid parental leave, a U.S. 401 (k) plan with Company match and paid volunteer days, and we offer additional benefits to support work-life balance for all Cloverites.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66" w:lineRule="exact"/>
        <w:rPr>
          <w:sz w:val="20"/>
          <w:szCs w:val="20"/>
          <w:color w:val="auto"/>
        </w:rPr>
      </w:pPr>
    </w:p>
    <w:p>
      <w:pPr>
        <w:ind w:right="280" w:firstLine="297"/>
        <w:spacing w:after="0" w:line="274" w:lineRule="auto"/>
        <w:rPr>
          <w:sz w:val="20"/>
          <w:szCs w:val="20"/>
          <w:color w:val="auto"/>
        </w:rPr>
      </w:pPr>
      <w:r>
        <w:rPr>
          <w:rFonts w:ascii="Arial" w:cs="Arial" w:eastAsia="Arial" w:hAnsi="Arial"/>
          <w:sz w:val="16"/>
          <w:szCs w:val="16"/>
          <w:color w:val="auto"/>
        </w:rPr>
        <w:t>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results of operation.</w:t>
      </w:r>
    </w:p>
    <w:p>
      <w:pPr>
        <w:spacing w:after="0" w:line="11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For example, since February 2021, Clover has received subpoenas from the SEC related to certain disclosures and aspects of our business as well as certain matters described in an article issued on February 4, 2021 by Hindenburg Research LLC (the “Hindenburg article”). We are cooperating with the SEC’s investigation. The Hindenburg article, which discussed among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Securities Class Actions and Derivative Litigation</w:t>
      </w:r>
    </w:p>
    <w:p>
      <w:pPr>
        <w:spacing w:after="0" w:line="162"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 xml:space="preserve">In February 2021, the Corporation and certain of its directors and officers were named as defendants in putative class actions filed in the United States District Court for the Middle District of Tennessee: </w:t>
      </w:r>
      <w:r>
        <w:rPr>
          <w:rFonts w:ascii="Arial" w:cs="Arial" w:eastAsia="Arial" w:hAnsi="Arial"/>
          <w:sz w:val="15"/>
          <w:szCs w:val="15"/>
          <w:i w:val="1"/>
          <w:iCs w:val="1"/>
          <w:color w:val="auto"/>
        </w:rPr>
        <w:t>Bond v. Clover Health Investments, Corp. et al.</w:t>
      </w:r>
      <w:r>
        <w:rPr>
          <w:rFonts w:ascii="Arial" w:cs="Arial" w:eastAsia="Arial" w:hAnsi="Arial"/>
          <w:sz w:val="15"/>
          <w:szCs w:val="15"/>
          <w:color w:val="auto"/>
        </w:rPr>
        <w:t xml:space="preserve">, Case No. 3:21-cv-00096 (M.D. Tenn.); </w:t>
      </w:r>
      <w:r>
        <w:rPr>
          <w:rFonts w:ascii="Arial" w:cs="Arial" w:eastAsia="Arial" w:hAnsi="Arial"/>
          <w:sz w:val="15"/>
          <w:szCs w:val="15"/>
          <w:i w:val="1"/>
          <w:iCs w:val="1"/>
          <w:color w:val="auto"/>
        </w:rPr>
        <w:t>Kaul v. Clover Health Investments, Corp., et</w:t>
      </w:r>
      <w:r>
        <w:rPr>
          <w:rFonts w:ascii="Arial" w:cs="Arial" w:eastAsia="Arial" w:hAnsi="Arial"/>
          <w:sz w:val="15"/>
          <w:szCs w:val="15"/>
          <w:color w:val="auto"/>
        </w:rPr>
        <w:t xml:space="preserve"> </w:t>
      </w:r>
      <w:r>
        <w:rPr>
          <w:rFonts w:ascii="Arial" w:cs="Arial" w:eastAsia="Arial" w:hAnsi="Arial"/>
          <w:sz w:val="15"/>
          <w:szCs w:val="15"/>
          <w:i w:val="1"/>
          <w:iCs w:val="1"/>
          <w:color w:val="auto"/>
        </w:rPr>
        <w:t>al.</w:t>
      </w:r>
      <w:r>
        <w:rPr>
          <w:rFonts w:ascii="Arial" w:cs="Arial" w:eastAsia="Arial" w:hAnsi="Arial"/>
          <w:sz w:val="15"/>
          <w:szCs w:val="15"/>
          <w:color w:val="auto"/>
        </w:rPr>
        <w:t>, Case No. 3:21-cv-00101 (M.D. Tenn.);</w:t>
      </w:r>
      <w:r>
        <w:rPr>
          <w:rFonts w:ascii="Arial" w:cs="Arial" w:eastAsia="Arial" w:hAnsi="Arial"/>
          <w:sz w:val="15"/>
          <w:szCs w:val="15"/>
          <w:i w:val="1"/>
          <w:iCs w:val="1"/>
          <w:color w:val="auto"/>
        </w:rPr>
        <w:t xml:space="preserve"> Yaniv v. Clover Health Investments, Corp., et al.</w:t>
      </w:r>
      <w:r>
        <w:rPr>
          <w:rFonts w:ascii="Arial" w:cs="Arial" w:eastAsia="Arial" w:hAnsi="Arial"/>
          <w:sz w:val="15"/>
          <w:szCs w:val="15"/>
          <w:color w:val="auto"/>
        </w:rPr>
        <w:t>, Case No. 3:21-cv-00109 (M.D. Tenn.); and</w:t>
      </w:r>
      <w:r>
        <w:rPr>
          <w:rFonts w:ascii="Arial" w:cs="Arial" w:eastAsia="Arial" w:hAnsi="Arial"/>
          <w:sz w:val="15"/>
          <w:szCs w:val="15"/>
          <w:i w:val="1"/>
          <w:iCs w:val="1"/>
          <w:color w:val="auto"/>
        </w:rPr>
        <w:t xml:space="preserve"> Tremblay v. Clover Health Investments, Corp., et al.</w:t>
      </w:r>
      <w:r>
        <w:rPr>
          <w:rFonts w:ascii="Arial" w:cs="Arial" w:eastAsia="Arial" w:hAnsi="Arial"/>
          <w:sz w:val="15"/>
          <w:szCs w:val="15"/>
          <w:color w:val="auto"/>
        </w:rPr>
        <w:t>, Case No. 3:21-cv-00138 (M.D. Tenn.). The complaints asserted violations of sections 10(b) and 20(a) of the Exchange Act and Rule 10b-5</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promulgated under the Exchange Act. The </w:t>
      </w:r>
      <w:r>
        <w:rPr>
          <w:rFonts w:ascii="Arial" w:cs="Arial" w:eastAsia="Arial" w:hAnsi="Arial"/>
          <w:sz w:val="15"/>
          <w:szCs w:val="15"/>
          <w:i w:val="1"/>
          <w:iCs w:val="1"/>
          <w:color w:val="auto"/>
        </w:rPr>
        <w:t>Kaul</w:t>
      </w:r>
      <w:r>
        <w:rPr>
          <w:rFonts w:ascii="Arial" w:cs="Arial" w:eastAsia="Arial" w:hAnsi="Arial"/>
          <w:sz w:val="15"/>
          <w:szCs w:val="15"/>
          <w:color w:val="auto"/>
        </w:rPr>
        <w:t xml:space="preserve"> action asserted additional claims under sections 11 and 15 of the Securities Act.</w:t>
      </w:r>
    </w:p>
    <w:p>
      <w:pPr>
        <w:spacing w:after="0" w:line="106" w:lineRule="exact"/>
        <w:rPr>
          <w:sz w:val="20"/>
          <w:szCs w:val="20"/>
          <w:color w:val="auto"/>
        </w:rPr>
      </w:pPr>
    </w:p>
    <w:p>
      <w:pPr>
        <w:jc w:val="both"/>
        <w:ind w:right="180" w:firstLine="297"/>
        <w:spacing w:after="0" w:line="274" w:lineRule="auto"/>
        <w:rPr>
          <w:sz w:val="20"/>
          <w:szCs w:val="20"/>
          <w:color w:val="auto"/>
        </w:rPr>
      </w:pPr>
      <w:r>
        <w:rPr>
          <w:rFonts w:ascii="Arial" w:cs="Arial" w:eastAsia="Arial" w:hAnsi="Arial"/>
          <w:sz w:val="16"/>
          <w:szCs w:val="16"/>
          <w:color w:val="auto"/>
        </w:rPr>
        <w:t>The complaints generally relate to allegations published in the Hindenburg Article. The complaints seek unspecified damages on behalf of all persons and entities who purchased or acquired Clover securities during the proposed class period (which begins on October 6, 2020, and, depending on the complaint, ends on February 3, 2021 or February 4, 2021), as well as certain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2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In April 2021, the Middle District of Tennessee class actions described above were consolidated under </w:t>
      </w:r>
      <w:r>
        <w:rPr>
          <w:rFonts w:ascii="Arial" w:cs="Arial" w:eastAsia="Arial" w:hAnsi="Arial"/>
          <w:sz w:val="15"/>
          <w:szCs w:val="15"/>
          <w:i w:val="1"/>
          <w:iCs w:val="1"/>
          <w:color w:val="auto"/>
        </w:rPr>
        <w:t>Bond v. Clover Health Investments, Corp., et al.</w:t>
      </w:r>
      <w:r>
        <w:rPr>
          <w:rFonts w:ascii="Arial" w:cs="Arial" w:eastAsia="Arial" w:hAnsi="Arial"/>
          <w:sz w:val="15"/>
          <w:szCs w:val="15"/>
          <w:color w:val="auto"/>
        </w:rPr>
        <w:t>, Case No.</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3:21-cv-00096 (M.D. Tenn.) as lead case. The court appointed a lead plaintiff, approved a lead counsel and a liaison counsel, and approved the parties’ proposed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schedule for filing an amended complaint and the defendants’ responses. In June 2021, the lead plaintiff and a named plaintiff filed the amended complaint, asserting</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violations of sections 10(b) and 20(a) of the Exchange Act and Rule 10b-5 promulgated under the Exchange Act. The amended complaint names Clover and certain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its officers and directors as defendants and removes certain defendants named in the initial complaints. The amended complaint generally relates to allegations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published in the Hindenburg Article and seeks unspecified damages on behalf of all persons and entities other than the defendants who purchased or acquired Clover</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securities during the proposed class period (which begins on October 6, 2020, and ends on February 3, 2021), as well as certain other costs. The Corporation moved to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dismiss the complaint on August 27, 2021, and briefing on that motion is ongoing under the court’s briefing schedule.</w:t>
      </w:r>
    </w:p>
    <w:p>
      <w:pPr>
        <w:spacing w:after="0" w:line="151" w:lineRule="exact"/>
        <w:rPr>
          <w:sz w:val="20"/>
          <w:szCs w:val="20"/>
          <w:color w:val="auto"/>
        </w:rPr>
      </w:pPr>
    </w:p>
    <w:p>
      <w:pPr>
        <w:ind w:right="40" w:firstLine="297"/>
        <w:spacing w:after="0" w:line="281" w:lineRule="auto"/>
        <w:rPr>
          <w:sz w:val="20"/>
          <w:szCs w:val="20"/>
          <w:color w:val="auto"/>
        </w:rPr>
      </w:pPr>
      <w:r>
        <w:rPr>
          <w:rFonts w:ascii="Arial" w:cs="Arial" w:eastAsia="Arial" w:hAnsi="Arial"/>
          <w:sz w:val="15"/>
          <w:szCs w:val="15"/>
          <w:color w:val="auto"/>
        </w:rPr>
        <w:t xml:space="preserve">Parallel shareholder derivative actions have also been filed, naming Clover as a nominal defendant. The first action was filed in the United States District Court for the District of Delaware and is captioned </w:t>
      </w:r>
      <w:r>
        <w:rPr>
          <w:rFonts w:ascii="Arial" w:cs="Arial" w:eastAsia="Arial" w:hAnsi="Arial"/>
          <w:sz w:val="15"/>
          <w:szCs w:val="15"/>
          <w:i w:val="1"/>
          <w:iCs w:val="1"/>
          <w:color w:val="auto"/>
        </w:rPr>
        <w:t>Furman v. Garipalli, et al.</w:t>
      </w:r>
      <w:r>
        <w:rPr>
          <w:rFonts w:ascii="Arial" w:cs="Arial" w:eastAsia="Arial" w:hAnsi="Arial"/>
          <w:sz w:val="15"/>
          <w:szCs w:val="15"/>
          <w:color w:val="auto"/>
        </w:rPr>
        <w:t xml:space="preserve">, Case No. 1:21-cv-00191 (D. Del.). The complaint asserts violations of sections 10(b) and 21D of the Exchange Act, breach of fiduciary duty, and waste of corporate assets against certain of the Corporation’s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w:t>
      </w:r>
      <w:r>
        <w:rPr>
          <w:rFonts w:ascii="Arial" w:cs="Arial" w:eastAsia="Arial" w:hAnsi="Arial"/>
          <w:sz w:val="15"/>
          <w:szCs w:val="15"/>
          <w:i w:val="1"/>
          <w:iCs w:val="1"/>
          <w:color w:val="auto"/>
        </w:rPr>
        <w:t>Sun v. Garipalli, et al.</w:t>
      </w:r>
      <w:r>
        <w:rPr>
          <w:rFonts w:ascii="Arial" w:cs="Arial" w:eastAsia="Arial" w:hAnsi="Arial"/>
          <w:sz w:val="15"/>
          <w:szCs w:val="15"/>
          <w:color w:val="auto"/>
        </w:rPr>
        <w:t xml:space="preserve">, Case No. 3:21-cv-00311 (M.D. Tenn.), and </w:t>
      </w:r>
      <w:r>
        <w:rPr>
          <w:rFonts w:ascii="Arial" w:cs="Arial" w:eastAsia="Arial" w:hAnsi="Arial"/>
          <w:sz w:val="15"/>
          <w:szCs w:val="15"/>
          <w:i w:val="1"/>
          <w:iCs w:val="1"/>
          <w:color w:val="auto"/>
        </w:rPr>
        <w:t>Luthra v. Garipalli, et al.</w:t>
      </w:r>
      <w:r>
        <w:rPr>
          <w:rFonts w:ascii="Arial" w:cs="Arial" w:eastAsia="Arial" w:hAnsi="Arial"/>
          <w:sz w:val="15"/>
          <w:szCs w:val="15"/>
          <w:color w:val="auto"/>
        </w:rPr>
        <w:t>,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11"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 xml:space="preserve">The fourth action was filed in the United States District of Delaware and is captioned </w:t>
      </w:r>
      <w:r>
        <w:rPr>
          <w:rFonts w:ascii="Arial" w:cs="Arial" w:eastAsia="Arial" w:hAnsi="Arial"/>
          <w:sz w:val="16"/>
          <w:szCs w:val="16"/>
          <w:i w:val="1"/>
          <w:iCs w:val="1"/>
          <w:color w:val="auto"/>
        </w:rPr>
        <w:t>Wiegand v. Garipalli, et al.</w:t>
      </w:r>
      <w:r>
        <w:rPr>
          <w:rFonts w:ascii="Arial" w:cs="Arial" w:eastAsia="Arial" w:hAnsi="Arial"/>
          <w:sz w:val="16"/>
          <w:szCs w:val="16"/>
          <w:color w:val="auto"/>
        </w:rPr>
        <w:t xml:space="preserve">, Case No. 1:21-cv-01053 (D. Del.). The complaint asserts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w:t>
      </w:r>
      <w:r>
        <w:rPr>
          <w:rFonts w:ascii="Arial" w:cs="Arial" w:eastAsia="Arial" w:hAnsi="Arial"/>
          <w:sz w:val="16"/>
          <w:szCs w:val="16"/>
          <w:i w:val="1"/>
          <w:iCs w:val="1"/>
          <w:color w:val="auto"/>
        </w:rPr>
        <w:t>Sankaranarayanan v.</w:t>
      </w:r>
      <w:r>
        <w:rPr>
          <w:rFonts w:ascii="Arial" w:cs="Arial" w:eastAsia="Arial" w:hAnsi="Arial"/>
          <w:sz w:val="16"/>
          <w:szCs w:val="16"/>
          <w:color w:val="auto"/>
        </w:rPr>
        <w:t xml:space="preserve"> </w:t>
      </w:r>
      <w:r>
        <w:rPr>
          <w:rFonts w:ascii="Arial" w:cs="Arial" w:eastAsia="Arial" w:hAnsi="Arial"/>
          <w:sz w:val="16"/>
          <w:szCs w:val="16"/>
          <w:i w:val="1"/>
          <w:iCs w:val="1"/>
          <w:color w:val="auto"/>
        </w:rPr>
        <w:t>Palihapitiya, et al.</w:t>
      </w:r>
      <w:r>
        <w:rPr>
          <w:rFonts w:ascii="Arial" w:cs="Arial" w:eastAsia="Arial" w:hAnsi="Arial"/>
          <w:sz w:val="16"/>
          <w:szCs w:val="16"/>
          <w:color w:val="auto"/>
        </w:rPr>
        <w:t>, Index No. 655420/2021 (N.Y. Sup. Ct.). The complaint asserts breach of fiduciary duty and unjust enrichment. The complaint names certain former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directors as defendants.</w:t>
      </w:r>
    </w:p>
    <w:p>
      <w:pPr>
        <w:spacing w:after="0" w:line="121"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 xml:space="preserve">On May 10, 2021, the Middle District of Tennessee shareholder derivative actions described above were consolidated under </w:t>
      </w:r>
      <w:r>
        <w:rPr>
          <w:rFonts w:ascii="Arial" w:cs="Arial" w:eastAsia="Arial" w:hAnsi="Arial"/>
          <w:sz w:val="15"/>
          <w:szCs w:val="15"/>
          <w:i w:val="1"/>
          <w:iCs w:val="1"/>
          <w:color w:val="auto"/>
        </w:rPr>
        <w:t>Sun v. Garipalli, et al.</w:t>
      </w:r>
      <w:r>
        <w:rPr>
          <w:rFonts w:ascii="Arial" w:cs="Arial" w:eastAsia="Arial" w:hAnsi="Arial"/>
          <w:sz w:val="15"/>
          <w:szCs w:val="15"/>
          <w:color w:val="auto"/>
        </w:rPr>
        <w:t xml:space="preserve">, Case No. 3:21-cv-00311 (M.D. Tenn.) as lead case. The court designated co-lead counsel and liaison counsel and ordered the parties to submit a proposed schedule for the initial stage of the case. In June 2021, the parties in the </w:t>
      </w:r>
      <w:r>
        <w:rPr>
          <w:rFonts w:ascii="Arial" w:cs="Arial" w:eastAsia="Arial" w:hAnsi="Arial"/>
          <w:sz w:val="15"/>
          <w:szCs w:val="15"/>
          <w:i w:val="1"/>
          <w:iCs w:val="1"/>
          <w:color w:val="auto"/>
        </w:rPr>
        <w:t>Sun</w:t>
      </w:r>
      <w:r>
        <w:rPr>
          <w:rFonts w:ascii="Arial" w:cs="Arial" w:eastAsia="Arial" w:hAnsi="Arial"/>
          <w:sz w:val="15"/>
          <w:szCs w:val="15"/>
          <w:color w:val="auto"/>
        </w:rPr>
        <w:t xml:space="preserve"> and </w:t>
      </w:r>
      <w:r>
        <w:rPr>
          <w:rFonts w:ascii="Arial" w:cs="Arial" w:eastAsia="Arial" w:hAnsi="Arial"/>
          <w:sz w:val="15"/>
          <w:szCs w:val="15"/>
          <w:i w:val="1"/>
          <w:iCs w:val="1"/>
          <w:color w:val="auto"/>
        </w:rPr>
        <w:t>Furman</w:t>
      </w:r>
      <w:r>
        <w:rPr>
          <w:rFonts w:ascii="Arial" w:cs="Arial" w:eastAsia="Arial" w:hAnsi="Arial"/>
          <w:sz w:val="15"/>
          <w:szCs w:val="15"/>
          <w:color w:val="auto"/>
        </w:rPr>
        <w:t xml:space="preserve"> actions submitted joint stipulations and proposed orders to stay both actions. Soon thereafter, the courts in both actions approved the stipulations, thereby staying all proceedings and deadlines in the </w:t>
      </w:r>
      <w:r>
        <w:rPr>
          <w:rFonts w:ascii="Arial" w:cs="Arial" w:eastAsia="Arial" w:hAnsi="Arial"/>
          <w:sz w:val="15"/>
          <w:szCs w:val="15"/>
          <w:i w:val="1"/>
          <w:iCs w:val="1"/>
          <w:color w:val="auto"/>
        </w:rPr>
        <w:t>Sun</w:t>
      </w:r>
      <w:r>
        <w:rPr>
          <w:rFonts w:ascii="Arial" w:cs="Arial" w:eastAsia="Arial" w:hAnsi="Arial"/>
          <w:sz w:val="15"/>
          <w:szCs w:val="15"/>
          <w:color w:val="auto"/>
        </w:rPr>
        <w:t xml:space="preserve"> and </w:t>
      </w:r>
      <w:r>
        <w:rPr>
          <w:rFonts w:ascii="Arial" w:cs="Arial" w:eastAsia="Arial" w:hAnsi="Arial"/>
          <w:sz w:val="15"/>
          <w:szCs w:val="15"/>
          <w:i w:val="1"/>
          <w:iCs w:val="1"/>
          <w:color w:val="auto"/>
        </w:rPr>
        <w:t>Furman</w:t>
      </w:r>
      <w:r>
        <w:rPr>
          <w:rFonts w:ascii="Arial" w:cs="Arial" w:eastAsia="Arial" w:hAnsi="Arial"/>
          <w:sz w:val="15"/>
          <w:szCs w:val="15"/>
          <w:color w:val="auto"/>
        </w:rPr>
        <w:t xml:space="preserve"> actions pending a final decision on a motion to dismiss in the Middle District of Tennessee class actions consolidated under the </w:t>
      </w:r>
      <w:r>
        <w:rPr>
          <w:rFonts w:ascii="Arial" w:cs="Arial" w:eastAsia="Arial" w:hAnsi="Arial"/>
          <w:sz w:val="15"/>
          <w:szCs w:val="15"/>
          <w:i w:val="1"/>
          <w:iCs w:val="1"/>
          <w:color w:val="auto"/>
        </w:rPr>
        <w:t>Bond</w:t>
      </w:r>
      <w:r>
        <w:rPr>
          <w:rFonts w:ascii="Arial" w:cs="Arial" w:eastAsia="Arial" w:hAnsi="Arial"/>
          <w:sz w:val="15"/>
          <w:szCs w:val="15"/>
          <w:color w:val="auto"/>
        </w:rPr>
        <w:t xml:space="preserve"> action. On September 16, 2021, the two District of Delaware derivative actions were consolidated under In re Clover Health Investments, Corp. Derivative Litigation, Case No. 1:21-cv-00191-LPS (Consolidated). The </w:t>
      </w:r>
      <w:r>
        <w:rPr>
          <w:rFonts w:ascii="Arial" w:cs="Arial" w:eastAsia="Arial" w:hAnsi="Arial"/>
          <w:sz w:val="15"/>
          <w:szCs w:val="15"/>
          <w:i w:val="1"/>
          <w:iCs w:val="1"/>
          <w:color w:val="auto"/>
        </w:rPr>
        <w:t>Furman</w:t>
      </w:r>
      <w:r>
        <w:rPr>
          <w:rFonts w:ascii="Arial" w:cs="Arial" w:eastAsia="Arial" w:hAnsi="Arial"/>
          <w:sz w:val="15"/>
          <w:szCs w:val="15"/>
          <w:color w:val="auto"/>
        </w:rPr>
        <w:t xml:space="preserve"> complaint was deemed the operative complaint. All proceedings and deadlines in that matter are also stayed pending a final decision on a motion to dismiss in the </w:t>
      </w:r>
      <w:r>
        <w:rPr>
          <w:rFonts w:ascii="Arial" w:cs="Arial" w:eastAsia="Arial" w:hAnsi="Arial"/>
          <w:sz w:val="15"/>
          <w:szCs w:val="15"/>
          <w:i w:val="1"/>
          <w:iCs w:val="1"/>
          <w:color w:val="auto"/>
        </w:rPr>
        <w:t>Bond</w:t>
      </w:r>
      <w:r>
        <w:rPr>
          <w:rFonts w:ascii="Arial" w:cs="Arial" w:eastAsia="Arial" w:hAnsi="Arial"/>
          <w:sz w:val="15"/>
          <w:szCs w:val="15"/>
          <w:color w:val="auto"/>
        </w:rPr>
        <w:t xml:space="preserve"> Action.</w:t>
      </w:r>
    </w:p>
    <w:p>
      <w:pPr>
        <w:spacing w:after="0" w:line="109" w:lineRule="exact"/>
        <w:rPr>
          <w:sz w:val="20"/>
          <w:szCs w:val="20"/>
          <w:color w:val="auto"/>
        </w:rPr>
      </w:pPr>
    </w:p>
    <w:p>
      <w:pPr>
        <w:jc w:val="both"/>
        <w:ind w:right="140" w:firstLine="297"/>
        <w:spacing w:after="0" w:line="274" w:lineRule="auto"/>
        <w:rPr>
          <w:sz w:val="20"/>
          <w:szCs w:val="20"/>
          <w:color w:val="auto"/>
        </w:rPr>
      </w:pPr>
      <w:r>
        <w:rPr>
          <w:rFonts w:ascii="Arial" w:cs="Arial" w:eastAsia="Arial" w:hAnsi="Arial"/>
          <w:sz w:val="16"/>
          <w:szCs w:val="16"/>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66"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work diligently to comply with all applicable laws and regulations. As an entity within the healthcare industry, and one operating MA plans, we are subject to comprehensive federal, state and international laws and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operations, financial position, or cash flows. See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for a discussion of the risks related to our compliance with federal, state and international laws and regulations.</w:t>
      </w:r>
    </w:p>
    <w:p>
      <w:pPr>
        <w:spacing w:after="0" w:line="118"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w:t>
      </w:r>
      <w:r>
        <w:rPr>
          <w:rFonts w:ascii="Arial" w:cs="Arial" w:eastAsia="Arial" w:hAnsi="Arial"/>
          <w:sz w:val="16"/>
          <w:szCs w:val="16"/>
          <w:i w:val="1"/>
          <w:iCs w:val="1"/>
          <w:color w:val="auto"/>
        </w:rPr>
        <w:t>We are and may be subject to investigations, and litigation which could be costly and time- consuming to defend, and the outcomes of which cannot be predicted</w:t>
      </w:r>
      <w:r>
        <w:rPr>
          <w:rFonts w:ascii="Arial" w:cs="Arial" w:eastAsia="Arial" w:hAnsi="Arial"/>
          <w:sz w:val="16"/>
          <w:szCs w:val="16"/>
          <w:color w:val="auto"/>
        </w:rPr>
        <w: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Federal laws and regulations, relevant agency oversight</w:t>
      </w:r>
    </w:p>
    <w:p>
      <w:pPr>
        <w:spacing w:after="0" w:line="162" w:lineRule="exact"/>
        <w:rPr>
          <w:sz w:val="20"/>
          <w:szCs w:val="20"/>
          <w:color w:val="auto"/>
        </w:rPr>
      </w:pPr>
    </w:p>
    <w:p>
      <w:pPr>
        <w:ind w:right="120" w:firstLine="297"/>
        <w:spacing w:after="0" w:line="264" w:lineRule="auto"/>
        <w:rPr>
          <w:sz w:val="20"/>
          <w:szCs w:val="20"/>
          <w:color w:val="auto"/>
        </w:rPr>
      </w:pPr>
      <w:r>
        <w:rPr>
          <w:rFonts w:ascii="Arial" w:cs="Arial" w:eastAsia="Arial" w:hAnsi="Arial"/>
          <w:sz w:val="16"/>
          <w:szCs w:val="16"/>
          <w:color w:val="auto"/>
        </w:rPr>
        <w:t>We are subject to various federal laws and regulations, and our activities are subject to regulation by several federal agencies. Our most comprehensive oversight comes from CMS, which regulates our MA plans and is the primary regulator for the DC Model, in which we participate. CMS regulates the payments made to us and the submission of information relating to the health status of patients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21"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investigations in the next few years.</w:t>
      </w:r>
    </w:p>
    <w:p>
      <w:pPr>
        <w:spacing w:after="0" w:line="118"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A portion of each MA plan’s reimbursement is tied to the plan’s “Star Ratings.”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 Our MA PPO plan received a 3.5 Star Rating for the 2020 measurement year, and our MA HMO plan received a 3.0 Star Rating. Our ability to maintain or improve our Star Rating may be significantly compromised by the COVID-19 pandemic, which has prevented all plans from incentivizing conduct to address patient care gaps and collecting information required to demonstrate plan compliance with and performance under the Star Rating metrics.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Privacy, security and data standards regulation</w:t>
      </w:r>
    </w:p>
    <w:p>
      <w:pPr>
        <w:spacing w:after="0" w:line="162" w:lineRule="exact"/>
        <w:rPr>
          <w:sz w:val="20"/>
          <w:szCs w:val="20"/>
          <w:color w:val="auto"/>
        </w:rPr>
      </w:pPr>
    </w:p>
    <w:p>
      <w:pPr>
        <w:ind w:right="160" w:firstLine="297"/>
        <w:spacing w:after="0" w:line="266" w:lineRule="auto"/>
        <w:rPr>
          <w:sz w:val="20"/>
          <w:szCs w:val="20"/>
          <w:color w:val="auto"/>
        </w:rPr>
      </w:pPr>
      <w:r>
        <w:rPr>
          <w:rFonts w:ascii="Arial" w:cs="Arial" w:eastAsia="Arial" w:hAnsi="Arial"/>
          <w:sz w:val="16"/>
          <w:szCs w:val="16"/>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17" w:name="page118"/>
    <w:bookmarkEnd w:id="117"/>
    <w:p>
      <w:pPr>
        <w:spacing w:after="0" w:line="23"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In particular, regulations promulgated pursuant to HIPAA impose a number of obligations on issuers of health insurance coverage and health benefit plan sponsors. Health insurers, HMOs and healthcare providers who transmit health information electronically are included in HIPAA’s definition of “Covered Entities.” Regulations promulgated to implement HIPAA and the Health Information Technology for Economic and Clinical Health Act also require that “business associates” (e.g., entities that provide services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and, in some cases, to the local media; and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119" w:lineRule="exact"/>
        <w:rPr>
          <w:sz w:val="20"/>
          <w:szCs w:val="20"/>
          <w:color w:val="auto"/>
        </w:rPr>
      </w:pPr>
    </w:p>
    <w:p>
      <w:pPr>
        <w:ind w:right="180" w:firstLine="297"/>
        <w:spacing w:after="0" w:line="264" w:lineRule="auto"/>
        <w:rPr>
          <w:sz w:val="20"/>
          <w:szCs w:val="20"/>
          <w:color w:val="auto"/>
        </w:rPr>
      </w:pPr>
      <w:r>
        <w:rPr>
          <w:rFonts w:ascii="Arial" w:cs="Arial" w:eastAsia="Arial" w:hAnsi="Arial"/>
          <w:sz w:val="16"/>
          <w:szCs w:val="16"/>
          <w:color w:val="auto"/>
        </w:rPr>
        <w:t>HIPAA does not preempt state laws that provide more stringent privacy protection than that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w:t>
      </w:r>
    </w:p>
    <w:p>
      <w:pPr>
        <w:spacing w:after="0" w:line="121" w:lineRule="exact"/>
        <w:rPr>
          <w:sz w:val="20"/>
          <w:szCs w:val="20"/>
          <w:color w:val="auto"/>
        </w:rPr>
      </w:pPr>
    </w:p>
    <w:p>
      <w:pPr>
        <w:ind w:right="100" w:firstLine="297"/>
        <w:spacing w:after="0" w:line="283" w:lineRule="auto"/>
        <w:rPr>
          <w:sz w:val="20"/>
          <w:szCs w:val="20"/>
          <w:color w:val="auto"/>
        </w:rPr>
      </w:pPr>
      <w:r>
        <w:rPr>
          <w:rFonts w:ascii="Arial" w:cs="Arial" w:eastAsia="Arial" w:hAnsi="Arial"/>
          <w:sz w:val="15"/>
          <w:szCs w:val="15"/>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lives under management that describe how we handle personal information and choices they may have about the way we handle personal information. If such information that we publish is considered untrue, we may be subject to government claims of unfair or deceptive trade practices, which could lead to significant liabilities and other consequences. The Cybersecurity Information Sharing Act of 2015 encourages organizations to share cyber threat indicators with the federal government and directs HHS to develop a set of voluntary cybersecurity best practices for organizations in the healthcare industry.</w:t>
      </w:r>
    </w:p>
    <w:p>
      <w:pPr>
        <w:spacing w:after="0" w:line="109" w:lineRule="exact"/>
        <w:rPr>
          <w:sz w:val="20"/>
          <w:szCs w:val="20"/>
          <w:color w:val="auto"/>
        </w:rPr>
      </w:pPr>
    </w:p>
    <w:p>
      <w:pPr>
        <w:ind w:right="200" w:firstLine="297"/>
        <w:spacing w:after="0" w:line="274" w:lineRule="auto"/>
        <w:rPr>
          <w:sz w:val="20"/>
          <w:szCs w:val="20"/>
          <w:color w:val="auto"/>
        </w:rPr>
      </w:pPr>
      <w:r>
        <w:rPr>
          <w:rFonts w:ascii="Arial" w:cs="Arial" w:eastAsia="Arial" w:hAnsi="Arial"/>
          <w:sz w:val="16"/>
          <w:szCs w:val="16"/>
          <w:color w:val="auto"/>
        </w:rPr>
        <w:t>In addition, states have begun to enact more comprehensive privacy laws and regulations addressing consumer rights relating to data protection, transparency and cybersecurity. Violations of federal and state privacy and security laws and other contractual requirements may result in significant liability and expense, damage to our reputation and the termination of relationships with our customers.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Fraud and abuse laws</w:t>
      </w:r>
    </w:p>
    <w:p>
      <w:pPr>
        <w:spacing w:after="0" w:line="162"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patients or for the coverage of products by a plan, billing for unnecessary medical services by a healthcare provider, improper marketing and beneficiary inducements,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8" w:name="page119"/>
    <w:bookmarkEnd w:id="118"/>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violations of patient privacy rights. Companies involved in federal and state healthcare programs such as Medicare are required to maintain compliance programs designed to detect and deter fraud, waste and abuse, and are often the subject of fraud, waste and abuse investigations and audits. The regulations and contractual requirements applicable to us and other participants in these programs are complex and subject to change. Although our compliance program is designed to meet all statutory and regulatory requirements, our policies and procedures are frequently under review and subject to updates, and our training and education programs continue to evolve.</w:t>
      </w:r>
    </w:p>
    <w:p>
      <w:pPr>
        <w:spacing w:after="0" w:line="118"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109" w:lineRule="exact"/>
        <w:rPr>
          <w:sz w:val="20"/>
          <w:szCs w:val="20"/>
          <w:color w:val="auto"/>
        </w:rPr>
      </w:pPr>
    </w:p>
    <w:p>
      <w:pPr>
        <w:ind w:right="120" w:firstLine="297"/>
        <w:spacing w:after="0" w:line="279" w:lineRule="auto"/>
        <w:rPr>
          <w:sz w:val="20"/>
          <w:szCs w:val="20"/>
          <w:color w:val="auto"/>
        </w:rPr>
      </w:pPr>
      <w:r>
        <w:rPr>
          <w:rFonts w:ascii="Arial" w:cs="Arial" w:eastAsia="Arial" w:hAnsi="Arial"/>
          <w:sz w:val="15"/>
          <w:szCs w:val="15"/>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Additional federal regulations</w:t>
      </w:r>
    </w:p>
    <w:p>
      <w:pPr>
        <w:spacing w:after="0" w:line="162" w:lineRule="exact"/>
        <w:rPr>
          <w:sz w:val="20"/>
          <w:szCs w:val="20"/>
          <w:color w:val="auto"/>
        </w:rPr>
      </w:pPr>
    </w:p>
    <w:p>
      <w:pPr>
        <w:ind w:right="240" w:firstLine="297"/>
        <w:spacing w:after="0" w:line="266" w:lineRule="auto"/>
        <w:rPr>
          <w:sz w:val="20"/>
          <w:szCs w:val="20"/>
          <w:color w:val="auto"/>
        </w:rPr>
      </w:pPr>
      <w:r>
        <w:rPr>
          <w:rFonts w:ascii="Arial" w:cs="Arial" w:eastAsia="Arial" w:hAnsi="Arial"/>
          <w:sz w:val="16"/>
          <w:szCs w:val="16"/>
          <w:color w:val="auto"/>
        </w:rPr>
        <w:t>Additionally, we may be subject to general consumer protection laws and regulations applicable to direct-to-consumer activities such as on-line communications including, but not limited to, the FTC’s Telemarketing Sales Rules and the Telephone Consumer Protection Act, which gives the FTC, Federal Communications Commission,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w:t>
      </w:r>
    </w:p>
    <w:p>
      <w:pPr>
        <w:spacing w:after="0" w:line="118" w:lineRule="exact"/>
        <w:rPr>
          <w:sz w:val="20"/>
          <w:szCs w:val="20"/>
          <w:color w:val="auto"/>
        </w:rPr>
      </w:pPr>
    </w:p>
    <w:p>
      <w:pPr>
        <w:ind w:right="300" w:firstLine="297"/>
        <w:spacing w:after="0" w:line="290" w:lineRule="auto"/>
        <w:rPr>
          <w:sz w:val="20"/>
          <w:szCs w:val="20"/>
          <w:color w:val="auto"/>
        </w:rPr>
      </w:pPr>
      <w:r>
        <w:rPr>
          <w:rFonts w:ascii="Arial" w:cs="Arial" w:eastAsia="Arial" w:hAnsi="Arial"/>
          <w:sz w:val="16"/>
          <w:szCs w:val="16"/>
          <w:color w:val="auto"/>
        </w:rPr>
        <w:t>We are also regularly assessing the medical device status of certain health information technology products and/ or solutions and clinical decision support tools, which may, at any time, require compliance with U.S. Food and Drug Administration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9" w:name="page120"/>
    <w:bookmarkEnd w:id="119"/>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State laws and regulation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Healthcare regulation.</w:t>
      </w:r>
    </w:p>
    <w:p>
      <w:pPr>
        <w:spacing w:after="0" w:line="162"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entity, requires reports to be filed directly with the New Jersey Department of Banking and Insurance (NJDOBI).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As of December 31, 2020,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entity which, for both the HMO and PPO, is New Jersey.</w:t>
      </w:r>
    </w:p>
    <w:p>
      <w:pPr>
        <w:spacing w:after="0" w:line="111"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Because we operate through a holding-company structure, we are regulated under state insurance holding company regulations and are dependent upon dividends and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118"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Some of our business activity is subject to other healthcare-related regulations and requirements, including PPO, MCO, utilization review,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Changes of control.</w:t>
      </w:r>
    </w:p>
    <w:p>
      <w:pPr>
        <w:spacing w:after="0" w:line="162" w:lineRule="exact"/>
        <w:rPr>
          <w:sz w:val="20"/>
          <w:szCs w:val="20"/>
          <w:color w:val="auto"/>
        </w:rPr>
      </w:pPr>
    </w:p>
    <w:p>
      <w:pPr>
        <w:ind w:right="120" w:firstLine="297"/>
        <w:spacing w:after="0" w:line="266" w:lineRule="auto"/>
        <w:rPr>
          <w:sz w:val="20"/>
          <w:szCs w:val="20"/>
          <w:color w:val="auto"/>
        </w:rPr>
      </w:pPr>
      <w:r>
        <w:rPr>
          <w:rFonts w:ascii="Arial" w:cs="Arial" w:eastAsia="Arial" w:hAnsi="Arial"/>
          <w:sz w:val="16"/>
          <w:szCs w:val="16"/>
          <w:color w:val="auto"/>
        </w:rPr>
        <w:t>Before a person can acquire control of a U.S. domestic insurer, prior written approval, or exemption therefrom, must be obtained from the insurance commissioner of the state where the insurer is domiciled, or the acquiror must make a disclaimer of control filing with the insurance department of such state, which filing must be accepted by such insurance department. Prior to granting approval of an application to acquire control of a domestic insurer, the domiciliary state insurance commissioner will consider a number of factors, including the financial strength of the proposed acquiror, the acquiror’s plans for the future operations of the domestic insurer, and any anti-competitive results that may arise from the consummation of the acquisition of control.</w:t>
      </w:r>
    </w:p>
    <w:p>
      <w:pPr>
        <w:spacing w:after="0" w:line="118" w:lineRule="exact"/>
        <w:rPr>
          <w:sz w:val="20"/>
          <w:szCs w:val="20"/>
          <w:color w:val="auto"/>
        </w:rPr>
      </w:pPr>
    </w:p>
    <w:p>
      <w:pPr>
        <w:ind w:right="240" w:firstLine="297"/>
        <w:spacing w:after="0" w:line="268" w:lineRule="auto"/>
        <w:rPr>
          <w:sz w:val="20"/>
          <w:szCs w:val="20"/>
          <w:color w:val="auto"/>
        </w:rPr>
      </w:pPr>
      <w:r>
        <w:rPr>
          <w:rFonts w:ascii="Arial" w:cs="Arial" w:eastAsia="Arial" w:hAnsi="Arial"/>
          <w:sz w:val="16"/>
          <w:szCs w:val="16"/>
          <w:color w:val="auto"/>
        </w:rPr>
        <w:t>Generally, state insurance statutes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exist in fact. The state regulators, however, may also find that “control” exists in circumstances in which a person owns or controls less than ten percent of the voting securities of the domestic insurer.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0" w:name="page121"/>
    <w:bookmarkEnd w:id="120"/>
    <w:p>
      <w:pPr>
        <w:spacing w:after="0" w:line="23" w:lineRule="exact"/>
        <w:rPr>
          <w:sz w:val="20"/>
          <w:szCs w:val="20"/>
          <w:color w:val="auto"/>
        </w:rPr>
      </w:pPr>
    </w:p>
    <w:p>
      <w:pPr>
        <w:ind w:right="120" w:firstLine="297"/>
        <w:spacing w:after="0" w:line="264" w:lineRule="auto"/>
        <w:rPr>
          <w:sz w:val="20"/>
          <w:szCs w:val="20"/>
          <w:color w:val="auto"/>
        </w:rPr>
      </w:pPr>
      <w:r>
        <w:rPr>
          <w:rFonts w:ascii="Arial" w:cs="Arial" w:eastAsia="Arial" w:hAnsi="Arial"/>
          <w:sz w:val="16"/>
          <w:szCs w:val="16"/>
          <w:color w:val="auto"/>
        </w:rPr>
        <w:t>As our regulated insurance entity is domiciled in New Jersey, the insurance laws and regulations of New Jersey would be applicable to any proposed acquisition of control of Clover. Under New Jersey law, generally no person may acquire control of any insurer, whether by purchase of its securities or otherwise, unless it gives prior notice to the insurer and receives prior approval, or exemption therefrom, from the NJDOBI. These regulations pertaining to an acquisition of control of an insurance company may discourage potential acquisition proposals and may delay, deter, or prevent a change of control of us, including through transactions that some or all of our stockholders might consider to be desirable. Such regulations may also inhibit our ability to acquire an insurance company should we wish to do so in the future.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Corporate practice of medicine and fee-splitting laws.</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18"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International Regulation</w:t>
      </w:r>
    </w:p>
    <w:p>
      <w:pPr>
        <w:spacing w:after="0" w:line="162" w:lineRule="exact"/>
        <w:rPr>
          <w:sz w:val="20"/>
          <w:szCs w:val="20"/>
          <w:color w:val="auto"/>
        </w:rPr>
      </w:pPr>
    </w:p>
    <w:p>
      <w:pPr>
        <w:ind w:right="120" w:firstLine="297"/>
        <w:spacing w:after="0" w:line="312" w:lineRule="auto"/>
        <w:rPr>
          <w:sz w:val="20"/>
          <w:szCs w:val="20"/>
          <w:color w:val="auto"/>
        </w:rPr>
      </w:pPr>
      <w:r>
        <w:rPr>
          <w:rFonts w:ascii="Arial" w:cs="Arial" w:eastAsia="Arial" w:hAnsi="Arial"/>
          <w:sz w:val="14"/>
          <w:szCs w:val="14"/>
          <w:color w:val="auto"/>
        </w:rPr>
        <w:t>We have significant operations, including certain outsourced operations and software research and development in other countries, such as Hong Kong, the Philippines, Colombia, India and Eastern Europe,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latter of which prohibits offering, promising, providing or authorizing others to give anything of value to a foreign government official to obtain or retain business or otherwise secure a business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21" w:name="page122"/>
    <w:bookmarkEnd w:id="121"/>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Executive Officers and Directors</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provides information regarding our executive officers, key employees and directors as of November 9, 2021:</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5300" w:type="dxa"/>
            <w:vAlign w:val="bottom"/>
          </w:tcPr>
          <w:p>
            <w:pPr>
              <w:ind w:left="2280"/>
              <w:spacing w:after="0"/>
              <w:rPr>
                <w:sz w:val="20"/>
                <w:szCs w:val="20"/>
                <w:color w:val="auto"/>
              </w:rPr>
            </w:pPr>
            <w:r>
              <w:rPr>
                <w:rFonts w:ascii="Arial" w:cs="Arial" w:eastAsia="Arial" w:hAnsi="Arial"/>
                <w:sz w:val="16"/>
                <w:szCs w:val="16"/>
                <w:b w:val="1"/>
                <w:bCs w:val="1"/>
                <w:color w:val="auto"/>
              </w:rPr>
              <w:t>Position(s)</w:t>
            </w:r>
          </w:p>
        </w:tc>
      </w:tr>
      <w:tr>
        <w:trPr>
          <w:trHeight w:val="203"/>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300" w:type="dxa"/>
            <w:vAlign w:val="bottom"/>
            <w:tcBorders>
              <w:top w:val="single" w:sz="8" w:color="auto"/>
            </w:tcBorders>
            <w:shd w:val="clear" w:color="auto" w:fill="CCEEFF"/>
          </w:tcPr>
          <w:p>
            <w:pPr>
              <w:spacing w:after="0"/>
              <w:rPr>
                <w:sz w:val="17"/>
                <w:szCs w:val="17"/>
                <w:color w:val="auto"/>
              </w:rPr>
            </w:pP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Vivek Garipalli</w:t>
            </w:r>
          </w:p>
        </w:tc>
        <w:tc>
          <w:tcPr>
            <w:tcW w:w="580" w:type="dxa"/>
            <w:vAlign w:val="bottom"/>
          </w:tcPr>
          <w:p>
            <w:pPr>
              <w:jc w:val="center"/>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Chief Executive Officer and Director</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Toy</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President, Chief Technology Officer and Director</w:t>
            </w: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Mark C. Herbers</w:t>
            </w:r>
          </w:p>
        </w:tc>
        <w:tc>
          <w:tcPr>
            <w:tcW w:w="580" w:type="dxa"/>
            <w:vAlign w:val="bottom"/>
          </w:tcPr>
          <w:p>
            <w:pPr>
              <w:jc w:val="center"/>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Interim Chief Financial Officer</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Gia Lee</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General Counsel and Corporate Secretary</w:t>
            </w: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Jamie L. Reynoso</w:t>
            </w:r>
          </w:p>
        </w:tc>
        <w:tc>
          <w:tcPr>
            <w:tcW w:w="58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Chief Operating Officer</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Prabhdeep Singh</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Chief Growth Officer</w:t>
            </w: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Key Employees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 Sophia Chang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Chief Clinical Informatics Officer</w:t>
            </w: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Dr. Kumar Dharmarajan</w:t>
            </w:r>
          </w:p>
        </w:tc>
        <w:tc>
          <w:tcPr>
            <w:tcW w:w="580" w:type="dxa"/>
            <w:vAlign w:val="bottom"/>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Chief Scientific Officer</w:t>
            </w:r>
          </w:p>
        </w:tc>
      </w:tr>
      <w:tr>
        <w:trPr>
          <w:trHeight w:val="21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 Mark Spektor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Chief Medical Officer</w:t>
            </w: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Non-Employee Directors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11"/>
        </w:trPr>
        <w:tc>
          <w:tcPr>
            <w:tcW w:w="5260" w:type="dxa"/>
            <w:vAlign w:val="bottom"/>
            <w:gridSpan w:val="2"/>
            <w:shd w:val="clear" w:color="auto" w:fill="CCEEFF"/>
          </w:tcPr>
          <w:p>
            <w:pPr>
              <w:ind w:left="20"/>
              <w:spacing w:after="0" w:line="211" w:lineRule="exact"/>
              <w:rPr>
                <w:sz w:val="20"/>
                <w:szCs w:val="20"/>
                <w:color w:val="auto"/>
              </w:rPr>
            </w:pPr>
            <w:r>
              <w:rPr>
                <w:rFonts w:ascii="Arial" w:cs="Arial" w:eastAsia="Arial" w:hAnsi="Arial"/>
                <w:sz w:val="16"/>
                <w:szCs w:val="16"/>
                <w:color w:val="auto"/>
              </w:rPr>
              <w:t>Chelsea Clinton</w:t>
            </w:r>
            <w:r>
              <w:rPr>
                <w:rFonts w:ascii="Arial" w:cs="Arial" w:eastAsia="Arial" w:hAnsi="Arial"/>
                <w:sz w:val="21"/>
                <w:szCs w:val="21"/>
                <w:color w:val="auto"/>
                <w:vertAlign w:val="superscript"/>
              </w:rPr>
              <w:t>(2)(3)</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10"/>
        </w:trPr>
        <w:tc>
          <w:tcPr>
            <w:tcW w:w="526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Demetrios Kouzoukas</w:t>
            </w:r>
            <w:r>
              <w:rPr>
                <w:rFonts w:ascii="Arial" w:cs="Arial" w:eastAsia="Arial" w:hAnsi="Arial"/>
                <w:sz w:val="21"/>
                <w:szCs w:val="21"/>
                <w:color w:val="auto"/>
                <w:vertAlign w:val="superscript"/>
              </w:rPr>
              <w:t>(1)</w:t>
            </w:r>
          </w:p>
        </w:tc>
        <w:tc>
          <w:tcPr>
            <w:tcW w:w="580" w:type="dxa"/>
            <w:vAlign w:val="bottom"/>
          </w:tcPr>
          <w:p>
            <w:pPr>
              <w:jc w:val="center"/>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Director</w:t>
            </w:r>
          </w:p>
        </w:tc>
      </w:tr>
      <w:tr>
        <w:trPr>
          <w:trHeight w:val="210"/>
        </w:trPr>
        <w:tc>
          <w:tcPr>
            <w:tcW w:w="526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William G. Robinson, Jr.</w:t>
            </w:r>
            <w:r>
              <w:rPr>
                <w:rFonts w:ascii="Arial" w:cs="Arial" w:eastAsia="Arial" w:hAnsi="Arial"/>
                <w:sz w:val="21"/>
                <w:szCs w:val="21"/>
                <w:color w:val="auto"/>
                <w:vertAlign w:val="superscript"/>
              </w:rPr>
              <w:t>(1)(2)</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210"/>
        </w:trPr>
        <w:tc>
          <w:tcPr>
            <w:tcW w:w="526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Lee A. Shapiro</w:t>
            </w:r>
            <w:r>
              <w:rPr>
                <w:rFonts w:ascii="Arial" w:cs="Arial" w:eastAsia="Arial" w:hAnsi="Arial"/>
                <w:sz w:val="21"/>
                <w:szCs w:val="21"/>
                <w:color w:val="auto"/>
                <w:vertAlign w:val="superscript"/>
              </w:rPr>
              <w:t>(1)(3)</w:t>
            </w:r>
          </w:p>
        </w:tc>
        <w:tc>
          <w:tcPr>
            <w:tcW w:w="580" w:type="dxa"/>
            <w:vAlign w:val="bottom"/>
          </w:tcPr>
          <w:p>
            <w:pPr>
              <w:jc w:val="center"/>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Director</w:t>
            </w:r>
          </w:p>
        </w:tc>
      </w:tr>
      <w:tr>
        <w:trPr>
          <w:trHeight w:val="21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Nathaniel S. Turner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8" w:lineRule="exact"/>
        <w:rPr>
          <w:sz w:val="20"/>
          <w:szCs w:val="20"/>
          <w:color w:val="auto"/>
        </w:rPr>
      </w:pP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Member of the Audit Committee.</w:t>
      </w:r>
    </w:p>
    <w:p>
      <w:pPr>
        <w:ind w:left="281" w:hanging="281"/>
        <w:spacing w:after="0" w:line="238" w:lineRule="auto"/>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Member of the Talent and Compensation Committee.</w:t>
      </w:r>
    </w:p>
    <w:p>
      <w:pPr>
        <w:ind w:left="281" w:hanging="281"/>
        <w:spacing w:after="0"/>
        <w:tabs>
          <w:tab w:leader="none" w:pos="281" w:val="left"/>
        </w:tabs>
        <w:numPr>
          <w:ilvl w:val="0"/>
          <w:numId w:val="53"/>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41"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62" w:lineRule="exact"/>
        <w:rPr>
          <w:sz w:val="20"/>
          <w:szCs w:val="20"/>
          <w:color w:val="auto"/>
        </w:rPr>
      </w:pPr>
    </w:p>
    <w:p>
      <w:pPr>
        <w:ind w:left="1" w:right="80" w:firstLine="297"/>
        <w:spacing w:after="0" w:line="274" w:lineRule="auto"/>
        <w:rPr>
          <w:sz w:val="20"/>
          <w:szCs w:val="20"/>
          <w:color w:val="auto"/>
        </w:rPr>
      </w:pPr>
      <w:r>
        <w:rPr>
          <w:rFonts w:ascii="Arial" w:cs="Arial" w:eastAsia="Arial" w:hAnsi="Arial"/>
          <w:sz w:val="16"/>
          <w:szCs w:val="16"/>
          <w:b w:val="1"/>
          <w:bCs w:val="1"/>
          <w:i w:val="1"/>
          <w:iCs w:val="1"/>
          <w:color w:val="auto"/>
        </w:rPr>
        <w:t xml:space="preserve">Vivek Garipalli. </w:t>
      </w:r>
      <w:r>
        <w:rPr>
          <w:rFonts w:ascii="Arial" w:cs="Arial" w:eastAsia="Arial" w:hAnsi="Arial"/>
          <w:sz w:val="16"/>
          <w:szCs w:val="16"/>
          <w:color w:val="auto"/>
        </w:rPr>
        <w:t>Vivek Garipalli has served as our Chief Executive Officer and as a member of our board of directors since the Closing and previously held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with Clover, which Mr. Garipalli co-founded, since July 2014. Previously, Mr. Garipalli also served as Clover’s President from July 2014 to March 2019. Mr. Garipalli holds a B.B.A. in entrepreneurship from Emory University.</w:t>
      </w:r>
    </w:p>
    <w:p>
      <w:pPr>
        <w:spacing w:after="0" w:line="112" w:lineRule="exact"/>
        <w:rPr>
          <w:sz w:val="20"/>
          <w:szCs w:val="20"/>
          <w:color w:val="auto"/>
        </w:rPr>
      </w:pPr>
    </w:p>
    <w:p>
      <w:pPr>
        <w:ind w:left="1" w:right="160" w:firstLine="297"/>
        <w:spacing w:after="0" w:line="290" w:lineRule="auto"/>
        <w:rPr>
          <w:sz w:val="20"/>
          <w:szCs w:val="20"/>
          <w:color w:val="auto"/>
        </w:rPr>
      </w:pPr>
      <w:r>
        <w:rPr>
          <w:rFonts w:ascii="Arial" w:cs="Arial" w:eastAsia="Arial" w:hAnsi="Arial"/>
          <w:sz w:val="16"/>
          <w:szCs w:val="16"/>
          <w:color w:val="auto"/>
        </w:rPr>
        <w:t>We believe that Mr. Garipalli is qualified to serve as a member of our board of directors due to the perspective and experience he brings as Clover’s co-founder and Chief Executive Officer and due to his extensive experience managing healthcare companies.</w:t>
      </w:r>
    </w:p>
    <w:p>
      <w:pPr>
        <w:spacing w:after="0" w:line="99" w:lineRule="exact"/>
        <w:rPr>
          <w:sz w:val="20"/>
          <w:szCs w:val="20"/>
          <w:color w:val="auto"/>
        </w:rPr>
      </w:pPr>
    </w:p>
    <w:p>
      <w:pPr>
        <w:ind w:left="1" w:right="40" w:firstLine="297"/>
        <w:spacing w:after="0" w:line="300" w:lineRule="auto"/>
        <w:rPr>
          <w:sz w:val="20"/>
          <w:szCs w:val="20"/>
          <w:color w:val="auto"/>
        </w:rPr>
      </w:pPr>
      <w:r>
        <w:rPr>
          <w:rFonts w:ascii="Arial" w:cs="Arial" w:eastAsia="Arial" w:hAnsi="Arial"/>
          <w:sz w:val="15"/>
          <w:szCs w:val="15"/>
          <w:b w:val="1"/>
          <w:bCs w:val="1"/>
          <w:i w:val="1"/>
          <w:iCs w:val="1"/>
          <w:color w:val="auto"/>
        </w:rPr>
        <w:t xml:space="preserve">Andrew Toy. </w:t>
      </w:r>
      <w:r>
        <w:rPr>
          <w:rFonts w:ascii="Arial" w:cs="Arial" w:eastAsia="Arial" w:hAnsi="Arial"/>
          <w:sz w:val="15"/>
          <w:szCs w:val="15"/>
          <w:color w:val="auto"/>
        </w:rPr>
        <w:t>Andrew Toy has served as our President, our Chief Technology Officer and as a member of our board of directors since the Closing and previously held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same positions with Clover since March 2019, February 2018 and November 2018, respectively. Prior to joining Clover, Mr. Toy served as a Product Director at Google LLC, a multinational technology company, from May 2014 to February 2018. Mr. Toy holds a B.S. and an M.S. in computer science from Stanford University.</w:t>
      </w:r>
    </w:p>
    <w:p>
      <w:pPr>
        <w:spacing w:after="0" w:line="95" w:lineRule="exact"/>
        <w:rPr>
          <w:sz w:val="20"/>
          <w:szCs w:val="20"/>
          <w:color w:val="auto"/>
        </w:rPr>
      </w:pPr>
    </w:p>
    <w:p>
      <w:pPr>
        <w:ind w:left="1" w:right="200" w:firstLine="297"/>
        <w:spacing w:after="0" w:line="290" w:lineRule="auto"/>
        <w:rPr>
          <w:sz w:val="20"/>
          <w:szCs w:val="20"/>
          <w:color w:val="auto"/>
        </w:rPr>
      </w:pPr>
      <w:r>
        <w:rPr>
          <w:rFonts w:ascii="Arial" w:cs="Arial" w:eastAsia="Arial" w:hAnsi="Arial"/>
          <w:sz w:val="16"/>
          <w:szCs w:val="16"/>
          <w:color w:val="auto"/>
        </w:rPr>
        <w:t>We believe that Mr. Toy is qualified to serve as a member of our board of directors due to the perspective and experience he brings as Clover’s President and Chief Technology Officer and due to his extensive experience overseeing technology and analytics at other companies.</w:t>
      </w:r>
    </w:p>
    <w:p>
      <w:pPr>
        <w:spacing w:after="0" w:line="99" w:lineRule="exact"/>
        <w:rPr>
          <w:sz w:val="20"/>
          <w:szCs w:val="20"/>
          <w:color w:val="auto"/>
        </w:rPr>
      </w:pPr>
    </w:p>
    <w:p>
      <w:pPr>
        <w:ind w:left="1" w:right="820" w:firstLine="297"/>
        <w:spacing w:after="0" w:line="290" w:lineRule="auto"/>
        <w:rPr>
          <w:sz w:val="20"/>
          <w:szCs w:val="20"/>
          <w:color w:val="auto"/>
        </w:rPr>
      </w:pPr>
      <w:r>
        <w:rPr>
          <w:rFonts w:ascii="Arial" w:cs="Arial" w:eastAsia="Arial" w:hAnsi="Arial"/>
          <w:sz w:val="16"/>
          <w:szCs w:val="16"/>
          <w:b w:val="1"/>
          <w:bCs w:val="1"/>
          <w:i w:val="1"/>
          <w:iCs w:val="1"/>
          <w:color w:val="auto"/>
        </w:rPr>
        <w:t xml:space="preserve">Mark C. Herbers. </w:t>
      </w:r>
      <w:r>
        <w:rPr>
          <w:rFonts w:ascii="Arial" w:cs="Arial" w:eastAsia="Arial" w:hAnsi="Arial"/>
          <w:sz w:val="16"/>
          <w:szCs w:val="16"/>
          <w:color w:val="auto"/>
        </w:rPr>
        <w:t>Mark C. Herbers has served as Interim Chief Financial Officer since August 2021. Since 2014, Mr. Herbers has served as a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AlixPartners, LLP, a global consulting firm. He also served as Interim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122" w:name="page123"/>
    <w:bookmarkEnd w:id="122"/>
    <w:p>
      <w:pPr>
        <w:spacing w:after="0" w:line="23" w:lineRule="exact"/>
        <w:rPr>
          <w:sz w:val="20"/>
          <w:szCs w:val="20"/>
          <w:color w:val="auto"/>
        </w:rPr>
      </w:pPr>
    </w:p>
    <w:p>
      <w:pPr>
        <w:jc w:val="both"/>
        <w:ind w:right="60"/>
        <w:spacing w:after="0" w:line="300" w:lineRule="auto"/>
        <w:rPr>
          <w:sz w:val="20"/>
          <w:szCs w:val="20"/>
          <w:color w:val="auto"/>
        </w:rPr>
      </w:pPr>
      <w:r>
        <w:rPr>
          <w:rFonts w:ascii="Arial" w:cs="Arial" w:eastAsia="Arial" w:hAnsi="Arial"/>
          <w:sz w:val="15"/>
          <w:szCs w:val="15"/>
          <w:color w:val="auto"/>
        </w:rPr>
        <w:t>CFO of American Renal Associates, a provider of outpatient dialysis services, from 2019 to 2021, as CEO/CRO of El Paso Children’s Hospital, a hospital, from 2015 to 2016, as Chief Financial Officer of St. Clare’s Health System, a hospital system, from 2012 to 2014, and as Managing Director at FTI Consulting, a consulting firm, from 2005 to 2014. Mr. Herbers holds a B.S. from Georgetown University and an MBA from Washington University in St. Louis, and he is a certified public accountant.</w:t>
      </w:r>
    </w:p>
    <w:p>
      <w:pPr>
        <w:spacing w:after="0" w:line="95"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b w:val="1"/>
          <w:bCs w:val="1"/>
          <w:i w:val="1"/>
          <w:iCs w:val="1"/>
          <w:color w:val="auto"/>
        </w:rPr>
        <w:t xml:space="preserve">Gia Lee. </w:t>
      </w:r>
      <w:r>
        <w:rPr>
          <w:rFonts w:ascii="Arial" w:cs="Arial" w:eastAsia="Arial" w:hAnsi="Arial"/>
          <w:sz w:val="16"/>
          <w:szCs w:val="16"/>
          <w:color w:val="auto"/>
        </w:rPr>
        <w:t>Gia Lee has served as our General Counsel and our Secretary since the Closing and previously held the same positions with Clover since January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2020, respectively. Prior to joining Clover, Ms. Lee served as Deputy General Counsel at the U.S. Department of Health and Human Services from June 2011 to January 2017. Ms. Lee also served as a professor at UCLA School of Law and as an Attorney-Advisor at the U.S. Department of Justice’s Office of Legal Counsel. Ms. Lee holds an A.B. in social studies and women’s studies from Harvard University, an MPhil in social and political theory from the University of Cambridge and a J.D. from Harvard Law School.</w:t>
      </w:r>
    </w:p>
    <w:p>
      <w:pPr>
        <w:spacing w:after="0" w:line="118" w:lineRule="exact"/>
        <w:rPr>
          <w:sz w:val="20"/>
          <w:szCs w:val="20"/>
          <w:color w:val="auto"/>
        </w:rPr>
      </w:pPr>
    </w:p>
    <w:p>
      <w:pPr>
        <w:ind w:right="20" w:firstLine="297"/>
        <w:spacing w:after="0" w:line="292" w:lineRule="auto"/>
        <w:rPr>
          <w:sz w:val="20"/>
          <w:szCs w:val="20"/>
          <w:color w:val="auto"/>
        </w:rPr>
      </w:pPr>
      <w:r>
        <w:rPr>
          <w:rFonts w:ascii="Arial" w:cs="Arial" w:eastAsia="Arial" w:hAnsi="Arial"/>
          <w:sz w:val="15"/>
          <w:szCs w:val="15"/>
          <w:b w:val="1"/>
          <w:bCs w:val="1"/>
          <w:i w:val="1"/>
          <w:iCs w:val="1"/>
          <w:color w:val="auto"/>
        </w:rPr>
        <w:t xml:space="preserve">Jamie L. Reynoso. </w:t>
      </w:r>
      <w:r>
        <w:rPr>
          <w:rFonts w:ascii="Arial" w:cs="Arial" w:eastAsia="Arial" w:hAnsi="Arial"/>
          <w:sz w:val="15"/>
          <w:szCs w:val="15"/>
          <w:color w:val="auto"/>
        </w:rPr>
        <w:t>Jamie L. Reynoso has served as our Chief Operating Officer since the Closing and previously held the same position with Clover since July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Prior to joining Clover, Ms. Reynoso served as the Chief Executive Officer and the Chief Operating Officer of Memorial Hermann Health Solutions, Inc., a provider of health insurance plans, from April 2016 to December 2019. From November 2012 to April 2016, Ms. Reynoso served as the Regional Vice President of Payer Strategy and Operations at Catholic Health Initiatives, a nonprofit, faith-based health system. Ms. Reynoso holds a B.B.A. from Texas A&amp;M University-Kingsville.</w:t>
      </w:r>
    </w:p>
    <w:p>
      <w:pPr>
        <w:spacing w:after="0" w:line="96" w:lineRule="exact"/>
        <w:rPr>
          <w:sz w:val="20"/>
          <w:szCs w:val="20"/>
          <w:color w:val="auto"/>
        </w:rPr>
      </w:pPr>
    </w:p>
    <w:p>
      <w:pPr>
        <w:ind w:right="60" w:firstLine="297"/>
        <w:spacing w:after="0" w:line="289" w:lineRule="auto"/>
        <w:rPr>
          <w:sz w:val="20"/>
          <w:szCs w:val="20"/>
          <w:color w:val="auto"/>
        </w:rPr>
      </w:pPr>
      <w:r>
        <w:rPr>
          <w:rFonts w:ascii="Arial" w:cs="Arial" w:eastAsia="Arial" w:hAnsi="Arial"/>
          <w:sz w:val="15"/>
          <w:szCs w:val="15"/>
          <w:b w:val="1"/>
          <w:bCs w:val="1"/>
          <w:i w:val="1"/>
          <w:iCs w:val="1"/>
          <w:color w:val="auto"/>
        </w:rPr>
        <w:t>Prabhdeep Singh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Prabhdeep Singh has served as our Chief Growth Officer since July 2021. Prior to joining Clover, Mr. Singh held the following positions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WeWork, a commercial real estate company: Global Head of Marketplace from February 2020 to July 2021, and Global Head of WeWork Labs from October 2018 to February 2020. Mr. Singh also held several positions at Uber Eats, an online food ordering and delivery company, including Head of Enterprise from January 2018 to October 2018 and as a General Manager from December 2016 to December 2017. From January 2013 to December 2016, Mr. Singh was a General Manager and Head of GLG Labs at the Gerson Lehrman Group, an international consulting firm. Mr. Singh holds a B.A. in Political Science and Philosophy from Boston College.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Key Employees</w:t>
      </w:r>
    </w:p>
    <w:p>
      <w:pPr>
        <w:spacing w:after="0" w:line="16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b w:val="1"/>
          <w:bCs w:val="1"/>
          <w:i w:val="1"/>
          <w:iCs w:val="1"/>
          <w:color w:val="auto"/>
        </w:rPr>
        <w:t xml:space="preserve">Dr. Sophia Chang. </w:t>
      </w:r>
      <w:r>
        <w:rPr>
          <w:rFonts w:ascii="Arial" w:cs="Arial" w:eastAsia="Arial" w:hAnsi="Arial"/>
          <w:sz w:val="16"/>
          <w:szCs w:val="16"/>
          <w:color w:val="auto"/>
        </w:rPr>
        <w:t>Dr. Sophia Chang has served as our Chief Clinical Informatics Officer since the Closing and previously held the same position with Clover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2017. Prior to joining Clover, Dr. Chang served as the Chief Clinical Innovation Officer at CareMore Health, a subsidiary of Anthem Inc., an integrated health plan and care delivery system for Medicare and Medicaid patients, from February 2016 to February 2017. From May 2014 to January 2016, Dr. Chang served as the Vice President of Programs at California Health Care Foundation, an independent, nonprofit organization that focuses on improving the healthcare system for the people of California. Dr. Chang holds a B.A. in political science from Amherst College, an M.P.H. from the University of California, Berkeley and an M.D. from Columbia University College of Physicians and Surgeons.</w:t>
      </w:r>
    </w:p>
    <w:p>
      <w:pPr>
        <w:spacing w:after="0" w:line="121" w:lineRule="exact"/>
        <w:rPr>
          <w:sz w:val="20"/>
          <w:szCs w:val="20"/>
          <w:color w:val="auto"/>
        </w:rPr>
      </w:pPr>
    </w:p>
    <w:p>
      <w:pPr>
        <w:ind w:right="60" w:firstLine="297"/>
        <w:spacing w:after="0" w:line="292" w:lineRule="auto"/>
        <w:rPr>
          <w:sz w:val="20"/>
          <w:szCs w:val="20"/>
          <w:color w:val="auto"/>
        </w:rPr>
      </w:pPr>
      <w:r>
        <w:rPr>
          <w:rFonts w:ascii="Arial" w:cs="Arial" w:eastAsia="Arial" w:hAnsi="Arial"/>
          <w:sz w:val="15"/>
          <w:szCs w:val="15"/>
          <w:b w:val="1"/>
          <w:bCs w:val="1"/>
          <w:i w:val="1"/>
          <w:iCs w:val="1"/>
          <w:color w:val="auto"/>
        </w:rPr>
        <w:t xml:space="preserve">Dr. Kumar Dharmarajan. </w:t>
      </w:r>
      <w:r>
        <w:rPr>
          <w:rFonts w:ascii="Arial" w:cs="Arial" w:eastAsia="Arial" w:hAnsi="Arial"/>
          <w:sz w:val="15"/>
          <w:szCs w:val="15"/>
          <w:color w:val="auto"/>
        </w:rPr>
        <w:t>Dr. Kumar Dharmarajan has served as our Chief Scientific Officer since the Closing and previously held the same position with Clover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July 2017. Dr. Dharmarajan has served as an Assistant Professor at Yale University School of Medicine and a member of the research faculty at Yale’s New Haven Hospital Center for Outcomes Research and Evaluation since July 2014. Dr. Dharmarajan holds an A.B. in social studies from Harvard University, an M.B.A. in business administration and management from Columbia Business School and an M.D. from Columbia University College of Physicians and Surgeons.</w:t>
      </w:r>
    </w:p>
    <w:p>
      <w:pPr>
        <w:spacing w:after="0" w:line="100" w:lineRule="exact"/>
        <w:rPr>
          <w:sz w:val="20"/>
          <w:szCs w:val="20"/>
          <w:color w:val="auto"/>
        </w:rPr>
      </w:pPr>
    </w:p>
    <w:p>
      <w:pPr>
        <w:ind w:right="240" w:firstLine="297"/>
        <w:spacing w:after="0" w:line="292" w:lineRule="auto"/>
        <w:rPr>
          <w:sz w:val="20"/>
          <w:szCs w:val="20"/>
          <w:color w:val="auto"/>
        </w:rPr>
      </w:pPr>
      <w:r>
        <w:rPr>
          <w:rFonts w:ascii="Arial" w:cs="Arial" w:eastAsia="Arial" w:hAnsi="Arial"/>
          <w:sz w:val="15"/>
          <w:szCs w:val="15"/>
          <w:b w:val="1"/>
          <w:bCs w:val="1"/>
          <w:i w:val="1"/>
          <w:iCs w:val="1"/>
          <w:color w:val="auto"/>
        </w:rPr>
        <w:t xml:space="preserve">Dr. Mark Spektor. </w:t>
      </w:r>
      <w:r>
        <w:rPr>
          <w:rFonts w:ascii="Arial" w:cs="Arial" w:eastAsia="Arial" w:hAnsi="Arial"/>
          <w:sz w:val="15"/>
          <w:szCs w:val="15"/>
          <w:color w:val="auto"/>
        </w:rPr>
        <w:t>Dr. Mark Spektor has served as our Chief Medical Officer since the Closing and previously held the same position with Clover since January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2015. Prior to joining Clover, Dr. Spektor served as the Chief Clinical Integration Officer at CarePoint Health System, a preventive medicine, disease management and healthcare education health system, from June 2014 to January 2015. Dr. Spektor holds a B.A. in political science and biology from Rutgers University, an M.B.A. in healthcare management from the University of Massachusetts, Amherst and a D.O. from the University of Medicine and Dentistry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62" w:lineRule="exact"/>
        <w:rPr>
          <w:sz w:val="20"/>
          <w:szCs w:val="20"/>
          <w:color w:val="auto"/>
        </w:rPr>
      </w:pPr>
    </w:p>
    <w:p>
      <w:pPr>
        <w:ind w:right="60" w:firstLine="297"/>
        <w:spacing w:after="0" w:line="261" w:lineRule="auto"/>
        <w:rPr>
          <w:sz w:val="20"/>
          <w:szCs w:val="20"/>
          <w:color w:val="auto"/>
        </w:rPr>
      </w:pPr>
      <w:r>
        <w:rPr>
          <w:rFonts w:ascii="Arial" w:cs="Arial" w:eastAsia="Arial" w:hAnsi="Arial"/>
          <w:sz w:val="16"/>
          <w:szCs w:val="16"/>
          <w:b w:val="1"/>
          <w:bCs w:val="1"/>
          <w:i w:val="1"/>
          <w:iCs w:val="1"/>
          <w:color w:val="auto"/>
        </w:rPr>
        <w:t xml:space="preserve">Chelsea Clinton. </w:t>
      </w:r>
      <w:r>
        <w:rPr>
          <w:rFonts w:ascii="Arial" w:cs="Arial" w:eastAsia="Arial" w:hAnsi="Arial"/>
          <w:sz w:val="16"/>
          <w:szCs w:val="16"/>
          <w:color w:val="auto"/>
        </w:rPr>
        <w:t>Chelsea Clinton has served as a member of our board of directors since the Closing and previously held the same position with Clover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2017. Since March 2013, Ms. Clinton has served as Vice Chair of the Clinton Foundation, where her work emphasizes improving global and domestic health, creating service opportunities and empowering the next generation of leaders. Ms. Clinton has also served as an Adjunct Assistant Professor at Columbia University’s Mailman School of Public Health since 2012. Ms. Clinton has served as a member of the board of directors of the Clinton Health Access Initiative since September 2011. Ms. Clinton has served as a member of the boards of directors of IAC Holdings, Inc., a media and internet company, since September 2011, Expedia Group, Inc. (formerly Expedia, Inc.), an online travel shopping company, since March 2017 and Nurx Inc., a telemedicine start-up company, since June 2018. In addition to her for-profit affiliations, Ms. Clinton currently serves on the boards of directors of The School of American Ballet, The Africa Center, the Alliance for a Healthier Generation, the Weill Cornell Medical College and Columbia University’s Mailman School of Public Health, and as Co-Chair of the Advisory Board of the Of Many Institute at New York University. Ms. Clinton holds a B.A. in history from Stanford University, an MPhil and a DPhil in international relations from Oxford University and an M.P.H. from Columbia University’s Mailman School of Public Health.</w:t>
      </w:r>
    </w:p>
    <w:p>
      <w:pPr>
        <w:spacing w:after="0" w:line="126"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We believe that Ms. Clinton is qualified to serve as a member of our board of directors because of her extensive health background, her experience as a director of public companies and non-profit organizations and her knowledge of our industry.</w:t>
      </w:r>
    </w:p>
    <w:p>
      <w:pPr>
        <w:spacing w:after="0" w:line="99"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b w:val="1"/>
          <w:bCs w:val="1"/>
          <w:i w:val="1"/>
          <w:iCs w:val="1"/>
          <w:color w:val="auto"/>
        </w:rPr>
        <w:t xml:space="preserve">Demetrios Kouzoukas. </w:t>
      </w:r>
      <w:r>
        <w:rPr>
          <w:rFonts w:ascii="Arial" w:cs="Arial" w:eastAsia="Arial" w:hAnsi="Arial"/>
          <w:sz w:val="16"/>
          <w:szCs w:val="16"/>
          <w:color w:val="auto"/>
        </w:rPr>
        <w:t>Demetrios L. Kouzoukas has served as a member of Clover’s board of directors since April 13, 2021. From February 2017 until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Mr. Kouzoukas served as the Director of the Center for Medicare and the Principal Deputy Administrator of the Centers for Medicare &amp; Medicaid Services (CMS). Prior to joining CMS, from 2012 to 2016, Mr. Kouzoukas served as General Counsel of the Medicare and Retirement Division of UnitedHealthcare, a health insurance company. Prior to UnitedHealthcare, from 2003 to 2009, Mr. Kouzoukas was Principal Associate Deputy Secretary of the U.S. Department of Health and Human Services (HHS), with responsibility for regulatory policy across HHS, and Deputy General Counsel. In 2014, Mr. Kouzoukas was appointed a Public Member of the Administrative Conference of the United States. Mr. Kouzoukas holds a B.A. in Political Science and Public Policy from The George Washington University and a J.D. from the University of Illinois College of Law.</w:t>
      </w:r>
    </w:p>
    <w:p>
      <w:pPr>
        <w:spacing w:after="0" w:line="12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We believe that Mr. Kouzoukas is qualified to serve as a member of our board of directors because of his in depth regulatory healthcare background, his experience as general counsel of a division of a health insurance company and his knowledge of our industry.</w:t>
      </w:r>
    </w:p>
    <w:p>
      <w:pPr>
        <w:spacing w:after="0" w:line="99"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b w:val="1"/>
          <w:bCs w:val="1"/>
          <w:i w:val="1"/>
          <w:iCs w:val="1"/>
          <w:color w:val="auto"/>
        </w:rPr>
        <w:t xml:space="preserve">William G. Robinson, Jr. </w:t>
      </w:r>
      <w:r>
        <w:rPr>
          <w:rFonts w:ascii="Arial" w:cs="Arial" w:eastAsia="Arial" w:hAnsi="Arial"/>
          <w:sz w:val="16"/>
          <w:szCs w:val="16"/>
          <w:color w:val="auto"/>
        </w:rPr>
        <w:t>William G. Robinson, Jr. has served as a member of our board of directors since March 25, 2021. Mr. Robinson has served as the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Broadgate Human Capital, LLC, a management consulting firm, since October 2018. Prior to Broadgate, Mr. Robinson served as the Executive Vice President and Chief Human Resources Officer for Sabre Corporation, a travel technology company, from December 2013 to September 2017. Prior to Sabre, Mr. Robinson served as the Senior Vice President and Chief Human Resources Officer at Coventry Health Care, a diversified managed health care company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security and industrial. Mr. Robinson has served as a member of the board of directors of American Public Education, Inc. since June 2016 and Must Ministries since June 2019. He has also served as a member of the board of trustees for the American Public University System since May 2020. Mr. Robinson holds a B.A. in communications from Wake Forest University and an M.A. in human resources from Bowie State University.</w:t>
      </w:r>
    </w:p>
    <w:p>
      <w:pPr>
        <w:spacing w:after="0" w:line="126" w:lineRule="exact"/>
        <w:rPr>
          <w:sz w:val="20"/>
          <w:szCs w:val="20"/>
          <w:color w:val="auto"/>
        </w:rPr>
      </w:pPr>
    </w:p>
    <w:p>
      <w:pPr>
        <w:ind w:right="260" w:firstLine="297"/>
        <w:spacing w:after="0" w:line="290" w:lineRule="auto"/>
        <w:rPr>
          <w:sz w:val="20"/>
          <w:szCs w:val="20"/>
          <w:color w:val="auto"/>
        </w:rPr>
      </w:pPr>
      <w:r>
        <w:rPr>
          <w:rFonts w:ascii="Arial" w:cs="Arial" w:eastAsia="Arial" w:hAnsi="Arial"/>
          <w:sz w:val="16"/>
          <w:szCs w:val="16"/>
          <w:color w:val="auto"/>
        </w:rPr>
        <w:t>We believe that Mr. Robinson is qualified to serve as a member of our board of directors because of his extensive experience as an executive officer in technology and healthcare companies, his experience as a director of a public company, and his knowledge of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3"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b w:val="1"/>
          <w:bCs w:val="1"/>
          <w:i w:val="1"/>
          <w:iCs w:val="1"/>
          <w:color w:val="auto"/>
        </w:rPr>
        <w:t xml:space="preserve">Lee A. Shapiro. </w:t>
      </w:r>
      <w:r>
        <w:rPr>
          <w:rFonts w:ascii="Arial" w:cs="Arial" w:eastAsia="Arial" w:hAnsi="Arial"/>
          <w:sz w:val="16"/>
          <w:szCs w:val="16"/>
          <w:color w:val="auto"/>
        </w:rPr>
        <w:t>Lee A. Shapiro has served as a member of our board of directors since the Closing. Mr. Shapiro co-founded and has served as the Managing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7Wire Ventures, an early-stage healthcare venture fund, since June 2013. Mr. Shapiro previously served as Chief Financial Officer of Livongo Health, Inc., a mobile health monitoring technology company, from December 2018 to November 2020. Mr. Shapiro served as a director from August 2013 until April 2019. Mr. Shapiro joined Allscripts Healthcare Solutions, Inc., a provider of electronic prescribing, practice management and electronic health record technology, in April 2000 and served as President from April 2002 to December 2012. He previously served as a director of Tivity Health, Inc., a provider of fitness and health improvement programs, from May 2015 to May 2020 and a director of Medidata Solutions, Inc., a global provider of cloud-based solutions for life sciences, from June 2011 to October 2019. He also serves as a director of some of the 7Wire Ventures portfolio companies. He serves on the National Board of the American Heart Association and the advisory board of the University of Chicago George Schulz Innovation Fund. Mr. Shapiro holds a B.S. in accountancy from the University of Illinois Urbana-Champaign and a J.D. from The University of Chicago Law School.</w:t>
      </w:r>
    </w:p>
    <w:p>
      <w:pPr>
        <w:spacing w:after="0" w:line="121" w:lineRule="exact"/>
        <w:rPr>
          <w:sz w:val="20"/>
          <w:szCs w:val="20"/>
          <w:color w:val="auto"/>
        </w:rPr>
      </w:pPr>
    </w:p>
    <w:p>
      <w:pPr>
        <w:ind w:right="360" w:firstLine="297"/>
        <w:spacing w:after="0" w:line="290" w:lineRule="auto"/>
        <w:rPr>
          <w:sz w:val="20"/>
          <w:szCs w:val="20"/>
          <w:color w:val="auto"/>
        </w:rPr>
      </w:pPr>
      <w:r>
        <w:rPr>
          <w:rFonts w:ascii="Arial" w:cs="Arial" w:eastAsia="Arial" w:hAnsi="Arial"/>
          <w:sz w:val="16"/>
          <w:szCs w:val="16"/>
          <w:color w:val="auto"/>
        </w:rPr>
        <w:t>We believe that Mr. Shapiro is qualified to serve as a member of our board of directors because of his extensive finance background, including service as a chief financial officer of a public company, his experience as a director of a public company, and his knowledge of our industry.</w:t>
      </w:r>
    </w:p>
    <w:p>
      <w:pPr>
        <w:spacing w:after="0" w:line="99"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b w:val="1"/>
          <w:bCs w:val="1"/>
          <w:i w:val="1"/>
          <w:iCs w:val="1"/>
          <w:color w:val="auto"/>
        </w:rPr>
        <w:t xml:space="preserve">Nathaniel S. Turner. </w:t>
      </w:r>
      <w:r>
        <w:rPr>
          <w:rFonts w:ascii="Arial" w:cs="Arial" w:eastAsia="Arial" w:hAnsi="Arial"/>
          <w:sz w:val="16"/>
          <w:szCs w:val="16"/>
          <w:color w:val="auto"/>
        </w:rPr>
        <w:t>Nathaniel S. Turner has served as a member of our board of directors since the Closing and previously held the same position with Clover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2015. Mr. Turner co-founded and has served as the Chief Executive Officer of Flatiron Health, Inc., a cancer research and data collection software company, since June 2012. From June 2010 to June 2012, Mr. Turner served as a Product Manager at Google Inc. Mr. Turner holds a B.S. in economics from the Wharton School of the University of Pennsylvania.</w:t>
      </w:r>
    </w:p>
    <w:p>
      <w:pPr>
        <w:spacing w:after="0" w:line="118"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We believe that Mr. Turner is qualified to serve as a member of our board of directors because of his extensive experience as an investor in many technology, high-growth, healthcare companies, his experience as an executive at a healthcare company, and his knowledge of our industry.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Our Board of Directors</w:t>
      </w:r>
    </w:p>
    <w:p>
      <w:pPr>
        <w:spacing w:after="0" w:line="166" w:lineRule="exact"/>
        <w:rPr>
          <w:sz w:val="20"/>
          <w:szCs w:val="20"/>
          <w:color w:val="auto"/>
        </w:rPr>
      </w:pPr>
    </w:p>
    <w:p>
      <w:pPr>
        <w:ind w:right="580" w:firstLine="297"/>
        <w:spacing w:after="0" w:line="290" w:lineRule="auto"/>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five directors.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Classified board of directors</w:t>
      </w:r>
    </w:p>
    <w:p>
      <w:pPr>
        <w:spacing w:after="0" w:line="166" w:lineRule="exact"/>
        <w:rPr>
          <w:sz w:val="20"/>
          <w:szCs w:val="20"/>
          <w:color w:val="auto"/>
        </w:rPr>
      </w:pPr>
    </w:p>
    <w:p>
      <w:pPr>
        <w:ind w:right="20" w:firstLine="297"/>
        <w:spacing w:after="0" w:line="290" w:lineRule="auto"/>
        <w:rPr>
          <w:sz w:val="20"/>
          <w:szCs w:val="20"/>
          <w:color w:val="auto"/>
        </w:rPr>
      </w:pPr>
      <w:r>
        <w:rPr>
          <w:rFonts w:ascii="Arial" w:cs="Arial" w:eastAsia="Arial" w:hAnsi="Arial"/>
          <w:sz w:val="16"/>
          <w:szCs w:val="16"/>
          <w:color w:val="auto"/>
        </w:rPr>
        <w:t>Our amended and restated certificate of incorporation and our amended and restated bylaws divide our board of directors into three classes, with staggered three-year terms:</w:t>
      </w:r>
    </w:p>
    <w:p>
      <w:pPr>
        <w:spacing w:after="0" w:line="99" w:lineRule="exact"/>
        <w:rPr>
          <w:sz w:val="20"/>
          <w:szCs w:val="20"/>
          <w:color w:val="auto"/>
        </w:rPr>
      </w:pPr>
    </w:p>
    <w:p>
      <w:pPr>
        <w:ind w:left="580" w:hanging="284"/>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Class I directors, whose initial term will expire at the annual meeting of stockholders expected to be held in 2022;</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Class II directors, whose initial term will expire at the annual meeting of stockholders expected to be held in 2023;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Class III directors, whose initial term will expire at the annual meeting of stockholders expected to be held in 2024.</w:t>
      </w:r>
    </w:p>
    <w:p>
      <w:pPr>
        <w:spacing w:after="0" w:line="162"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At each annual meeting of stockholders after the initial classification, the successors to directors whose terms have expired will be elected to serve from the time of election and qualification until the third annual meeting following election. Upon the completion of this offering, the Class I directors will consist of Mr. Shapiro; the Class II directors will consist of Mr. Kouzoukas, Mr. Toy and Mr. Turner; and the Class III directors will consist of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23"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Clinton and Mr. Garipalli. As a result, only one class of directors will be elected at each annual meeting of our stockholders, with the other classes continuing for the remainder of their respective three-year terms.</w:t>
      </w:r>
    </w:p>
    <w:p>
      <w:pPr>
        <w:spacing w:after="0" w:line="99"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In addition, our amended and restated bylaws provide that only the board of directors may fill vacancies, including newly created seats, on the board of directors until the next annual meeting of stockholders, subject to limited exceptions. Any additional directorships resulting from an increase in the number of directors will be distributed among the three classes so that, as nearly as possible, each class will consist of one-third of the total number of directors.</w:t>
      </w:r>
    </w:p>
    <w:p>
      <w:pPr>
        <w:spacing w:after="0" w:line="112"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This classification of the board of directors and the provisions described above may have the effect of delaying or preventing changes in our control or management. Our amended and restated certificate of incorporation further provide for the removal of a director only for cause and by the affirmative vote of the holders of two-thirds or more of the shares then entitled to vote at an election of our directors. See “Description of Securities— Anti-takeover Effects of Delaware Law and Our Charter and Bylaws.”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66" w:lineRule="exact"/>
        <w:rPr>
          <w:sz w:val="20"/>
          <w:szCs w:val="20"/>
          <w:color w:val="auto"/>
        </w:rPr>
      </w:pPr>
    </w:p>
    <w:p>
      <w:pPr>
        <w:jc w:val="both"/>
        <w:ind w:right="80" w:firstLine="297"/>
        <w:spacing w:after="0" w:line="274" w:lineRule="auto"/>
        <w:rPr>
          <w:sz w:val="20"/>
          <w:szCs w:val="20"/>
          <w:color w:val="auto"/>
        </w:rPr>
      </w:pPr>
      <w:r>
        <w:rPr>
          <w:rFonts w:ascii="Arial" w:cs="Arial" w:eastAsia="Arial" w:hAnsi="Arial"/>
          <w:sz w:val="16"/>
          <w:szCs w:val="16"/>
          <w:color w:val="auto"/>
        </w:rPr>
        <w:t>The Nasdaq listing rules generally require that a majority of the members of a listed company’s board of directors be independent within specified periods following the completion of an initial public offering. In addition, the listing rules generally require that, subject to specified exceptions, each member of a listed company’s audit, compensation and governance committees be independent.</w:t>
      </w:r>
    </w:p>
    <w:p>
      <w:pPr>
        <w:spacing w:after="0" w:line="11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or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Compensation committee members must also satisfy the independence criteria as required by Rule 10C-1 under the Exchange Act.</w:t>
      </w:r>
    </w:p>
    <w:p>
      <w:pPr>
        <w:spacing w:after="0" w:line="118"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Our board of directors has determined that none of the members of our board of directors other than Messrs. Garipalli and Toy has a relationship that would interfere with the exercise of independent judgment in carrying out the responsibilities of a director and that each of the members of our board of directors other than Messrs. Garipalli and Toy is “independent” as that term is defined under the Nasdaq rules.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Our Board of Directors</w:t>
      </w:r>
    </w:p>
    <w:p>
      <w:pPr>
        <w:spacing w:after="0" w:line="166" w:lineRule="exact"/>
        <w:rPr>
          <w:sz w:val="20"/>
          <w:szCs w:val="20"/>
          <w:color w:val="auto"/>
        </w:rPr>
      </w:pPr>
    </w:p>
    <w:p>
      <w:pPr>
        <w:jc w:val="both"/>
        <w:ind w:right="740" w:firstLine="297"/>
        <w:spacing w:after="0" w:line="300"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governance committee. The composition and responsibilities of each committee are described below. Copies of the charters for each committee are available on the investor relations portion of our website, www.cloverhealth.com. Members serve on these committees until their resignations or until otherwise determined by the board of directors.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62"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Our audit committee consists of Demetrios Kouzoukas, William G. Robinson, Jr., and Lee A. Shapiro, with Mr. Shapiro serving as the chair of the committee. The composition of our audit committee meets the requirements for independence under the current Nasdaq listing standards and SEC rules and regulations. Each member of our audit committee is financially literate. In addition, our board of directors has determined that Mr. Shapiro is an audit committee financial expert within the meaning of Item 407(d) of Regulation S-K of the Securities Act. Our audit committee is responsible for, among other things:</w:t>
      </w:r>
    </w:p>
    <w:p>
      <w:pPr>
        <w:spacing w:after="0" w:line="100" w:lineRule="exact"/>
        <w:rPr>
          <w:sz w:val="20"/>
          <w:szCs w:val="20"/>
          <w:color w:val="auto"/>
        </w:rPr>
      </w:pPr>
    </w:p>
    <w:p>
      <w:pPr>
        <w:ind w:left="580" w:hanging="284"/>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selecting a firm to serve as the independent registered public accounting firm to audit our financial statements;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helping to ensure the independence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23" w:lineRule="exact"/>
        <w:rPr>
          <w:sz w:val="20"/>
          <w:szCs w:val="20"/>
          <w:color w:val="auto"/>
        </w:rPr>
      </w:pPr>
    </w:p>
    <w:p>
      <w:pPr>
        <w:ind w:left="600" w:right="420" w:hanging="304"/>
        <w:spacing w:after="0" w:line="290" w:lineRule="auto"/>
        <w:tabs>
          <w:tab w:leader="none" w:pos="596"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accountants, our interim and year-end operating results;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developing procedures for employees to anonymously submit concerns about questionable accounting or audit matters;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considering the adequacy of our internal accounting controls and audit procedures.</w:t>
      </w:r>
    </w:p>
    <w:p>
      <w:pPr>
        <w:spacing w:after="0" w:line="162" w:lineRule="exact"/>
        <w:rPr>
          <w:sz w:val="20"/>
          <w:szCs w:val="20"/>
          <w:color w:val="auto"/>
        </w:rPr>
      </w:pPr>
    </w:p>
    <w:p>
      <w:pPr>
        <w:ind w:right="480" w:firstLine="297"/>
        <w:spacing w:after="0" w:line="290" w:lineRule="auto"/>
        <w:rPr>
          <w:sz w:val="20"/>
          <w:szCs w:val="20"/>
          <w:color w:val="auto"/>
        </w:rPr>
      </w:pPr>
      <w:r>
        <w:rPr>
          <w:rFonts w:ascii="Arial" w:cs="Arial" w:eastAsia="Arial" w:hAnsi="Arial"/>
          <w:sz w:val="16"/>
          <w:szCs w:val="16"/>
          <w:color w:val="auto"/>
        </w:rPr>
        <w:t>All audit services to be provided to us and all permissible non-audit services to be provided to us by our independent registered public accounting firm will be approved in advance by the audit committee.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62" w:lineRule="exact"/>
        <w:rPr>
          <w:sz w:val="20"/>
          <w:szCs w:val="20"/>
          <w:color w:val="auto"/>
        </w:rPr>
      </w:pPr>
    </w:p>
    <w:p>
      <w:pPr>
        <w:jc w:val="both"/>
        <w:ind w:right="440" w:firstLine="297"/>
        <w:spacing w:after="0" w:line="274" w:lineRule="auto"/>
        <w:rPr>
          <w:sz w:val="20"/>
          <w:szCs w:val="20"/>
          <w:color w:val="auto"/>
        </w:rPr>
      </w:pPr>
      <w:r>
        <w:rPr>
          <w:rFonts w:ascii="Arial" w:cs="Arial" w:eastAsia="Arial" w:hAnsi="Arial"/>
          <w:sz w:val="16"/>
          <w:szCs w:val="16"/>
          <w:color w:val="auto"/>
        </w:rPr>
        <w:t>Our nominating and corporate governance committee consists of Chelsea Clinton and Lee A. Shapiro, with Mr. Shapiro serving as chair of the committee. The composition of our nominating and governance committee meets the requirements for independence under the current Nasdaq listing standards and SEC rules and regulations. Our nominating and corporate governance committee is responsible for, among other things:</w:t>
      </w:r>
    </w:p>
    <w:p>
      <w:pPr>
        <w:spacing w:after="0" w:line="112" w:lineRule="exact"/>
        <w:rPr>
          <w:sz w:val="20"/>
          <w:szCs w:val="20"/>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identifying, evaluating and recommending nominees to our board of directors and its committees;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conducting searches for appropriate directors;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evaluating the performance of our board of directors and of individual directors;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the board and its committees;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developments in our corporate governance practices;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evaluating the adequacy of our corporate governance practices and reporting;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making recommendations to our board of directors concerning corporate governance matters.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Our compensation committee consists of Chelsea Clinton and William G. Robinson, Jr. with Mr. Robinson serving as chair of the committee. The composition of our compensation committee meets the requirements for independence under current Nasdaq listing standards and SEC rules and regulations. At least two members of this committee are also non-employee directors, as defined pursuant to Rule 16b-3 promulgated under the Exchange Act. The purpose of the compensation committee is to discharge the responsibilities of our board of directors relating to compensation of our executive officers. Our compensation committee is responsible for, among other things:</w:t>
      </w:r>
    </w:p>
    <w:p>
      <w:pPr>
        <w:spacing w:after="0" w:line="118" w:lineRule="exact"/>
        <w:rPr>
          <w:sz w:val="20"/>
          <w:szCs w:val="20"/>
          <w:color w:val="auto"/>
        </w:rPr>
      </w:pPr>
    </w:p>
    <w:p>
      <w:pPr>
        <w:ind w:left="580" w:hanging="284"/>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determining the compensation of our executive officers and recommending to our board of directors the compensation for our directors;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administering our stock and equity incentive plans;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incentive compensation and equity plans;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establishing and reviewing general policies relating to compensation and benefits of our employees.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66"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auto"/>
        </w:rPr>
        <w:t>None of the members of the compensation committee is currently or has been at any time one of our officers or employees. None of our executive officers currently serves, or has served during the last year, as a member of our board of directors or compensation committee of any entity, other than Clover, that has one or more executive officers serving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16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Our board of directors has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www.investors.cloverhealth.com. In addition, we intend to make any legally required disclosures regarding amendments to, or waivers of, provisions of our code of ethics on our website rather than by filing a Current Report on Form 8-K.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66"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Historically, we have neither had a formal compensation policy for our non-employee directors, nor have we had a formal policy of reimbursing expenses incurred by its non-employee directors in connection with their board service. However, we reimbursed our non-employee directors for reasonable expenses incurred in connection with their attendance at board of directors or committee meetings and occasionally granted stock options.</w:t>
      </w:r>
    </w:p>
    <w:p>
      <w:pPr>
        <w:spacing w:after="0" w:line="112" w:lineRule="exact"/>
        <w:rPr>
          <w:sz w:val="20"/>
          <w:szCs w:val="20"/>
          <w:color w:val="auto"/>
        </w:rPr>
      </w:pPr>
    </w:p>
    <w:p>
      <w:pPr>
        <w:ind w:right="80" w:firstLine="297"/>
        <w:spacing w:after="0" w:line="292" w:lineRule="auto"/>
        <w:rPr>
          <w:sz w:val="20"/>
          <w:szCs w:val="20"/>
          <w:color w:val="auto"/>
        </w:rPr>
      </w:pPr>
      <w:r>
        <w:rPr>
          <w:rFonts w:ascii="Arial" w:cs="Arial" w:eastAsia="Arial" w:hAnsi="Arial"/>
          <w:sz w:val="15"/>
          <w:szCs w:val="15"/>
          <w:color w:val="auto"/>
        </w:rPr>
        <w:t>We did not provide our non-employee directors with any cash, equity or other compensation in 2020. As of December 31, 2020, none of our non-employee directors held any equity awards other than Ms. Clinton who held 685,690 shares subject to outstanding stock options that were granted in February 2017 and October 2020. Neither Mr. Garipalli nor Mr. Toy received any additional compensation for service as a director for 2020. The compensation of Mr. Garipalli and Mr. Toy as named executive officers is set forth in the section titled “</w:t>
      </w:r>
      <w:r>
        <w:rPr>
          <w:rFonts w:ascii="Arial" w:cs="Arial" w:eastAsia="Arial" w:hAnsi="Arial"/>
          <w:sz w:val="15"/>
          <w:szCs w:val="15"/>
          <w:i w:val="1"/>
          <w:iCs w:val="1"/>
          <w:color w:val="auto"/>
        </w:rPr>
        <w:t>Executive Compensation—2020 Summary Compensation Table.</w:t>
      </w:r>
      <w:r>
        <w:rPr>
          <w:rFonts w:ascii="Arial" w:cs="Arial" w:eastAsia="Arial" w:hAnsi="Arial"/>
          <w:sz w:val="15"/>
          <w:szCs w:val="15"/>
          <w:color w:val="auto"/>
        </w:rPr>
        <w: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Non-Employee Director Compensation Policy</w:t>
      </w:r>
    </w:p>
    <w:p>
      <w:pPr>
        <w:spacing w:after="0" w:line="162" w:lineRule="exact"/>
        <w:rPr>
          <w:sz w:val="20"/>
          <w:szCs w:val="20"/>
          <w:color w:val="auto"/>
        </w:rPr>
      </w:pPr>
    </w:p>
    <w:p>
      <w:pPr>
        <w:ind w:right="260" w:firstLine="297"/>
        <w:spacing w:after="0" w:line="274" w:lineRule="auto"/>
        <w:rPr>
          <w:sz w:val="20"/>
          <w:szCs w:val="20"/>
          <w:color w:val="auto"/>
        </w:rPr>
      </w:pPr>
      <w:r>
        <w:rPr>
          <w:rFonts w:ascii="Arial" w:cs="Arial" w:eastAsia="Arial" w:hAnsi="Arial"/>
          <w:sz w:val="16"/>
          <w:szCs w:val="16"/>
          <w:color w:val="auto"/>
        </w:rPr>
        <w:t>In connection with the Business Combination, we adopted a new non-employee director compensation policy that became effective as of the Closing. Our non-employee director compensation policy is designed to align the interests of the non-employee directors with the interests of stockholders through equity awards and to attract and retain high quality non-employee directors by providing competitive compensation.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policy provides for the following annual cash retainers, which are payable quarterly in arrears and pro-rated for partial quarters of service: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Annual Board Member Service Retainer</w:t>
      </w:r>
    </w:p>
    <w:p>
      <w:pPr>
        <w:spacing w:after="0" w:line="162" w:lineRule="exact"/>
        <w:rPr>
          <w:sz w:val="20"/>
          <w:szCs w:val="20"/>
          <w:color w:val="auto"/>
        </w:rPr>
      </w:pPr>
    </w:p>
    <w:p>
      <w:pPr>
        <w:ind w:left="580" w:hanging="284"/>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Outside Directors: $50,000</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Outside Director serving as Chairperson: $50,000 (in addition to above)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Outside Director serving as Lead Independent Director: $30,000 (in addition to above)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Annual Committee Member Service Retainer</w:t>
      </w:r>
    </w:p>
    <w:p>
      <w:pPr>
        <w:spacing w:after="0" w:line="162" w:lineRule="exact"/>
        <w:rPr>
          <w:sz w:val="20"/>
          <w:szCs w:val="20"/>
          <w:color w:val="auto"/>
        </w:rPr>
      </w:pPr>
    </w:p>
    <w:p>
      <w:pPr>
        <w:ind w:left="580" w:hanging="284"/>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Member of the Audit Committee: $10,000</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Member of the Compensation Committee: $7,500</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 $5,000</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Annual Committee Chair Service Retainer (in lieu of the Annual Committee Member Service Retainer)</w:t>
      </w:r>
    </w:p>
    <w:p>
      <w:pPr>
        <w:spacing w:after="0" w:line="162" w:lineRule="exact"/>
        <w:rPr>
          <w:sz w:val="20"/>
          <w:szCs w:val="20"/>
          <w:color w:val="auto"/>
        </w:rPr>
      </w:pPr>
    </w:p>
    <w:p>
      <w:pPr>
        <w:ind w:left="580" w:hanging="284"/>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Chairperson of the Audit Committee: $25,000</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Chairperson of the Compensation Committee: $20,000</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Chairperson of the Nominating and Corporate Governance Committee: $15,000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23"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The policy also provides for equity awards of RSUs under the 2020 Plan covering shares of our Class A common stock to be granted to the non-employee directors upon their initial election or appointment to our board of directors and annually during their continued service thereafter.</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Equity Grants Prior to 2022 Annual Meeting</w:t>
      </w:r>
    </w:p>
    <w:p>
      <w:pPr>
        <w:spacing w:after="0" w:line="162" w:lineRule="exact"/>
        <w:rPr>
          <w:sz w:val="20"/>
          <w:szCs w:val="20"/>
          <w:color w:val="auto"/>
        </w:rPr>
      </w:pPr>
    </w:p>
    <w:p>
      <w:pPr>
        <w:ind w:right="400" w:firstLine="297"/>
        <w:spacing w:after="0" w:line="290" w:lineRule="auto"/>
        <w:rPr>
          <w:sz w:val="20"/>
          <w:szCs w:val="20"/>
          <w:color w:val="auto"/>
        </w:rPr>
      </w:pPr>
      <w:r>
        <w:rPr>
          <w:rFonts w:ascii="Arial" w:cs="Arial" w:eastAsia="Arial" w:hAnsi="Arial"/>
          <w:sz w:val="16"/>
          <w:szCs w:val="16"/>
          <w:color w:val="auto"/>
        </w:rPr>
        <w:t>Prior to the 2022 annual meeting of stockholders (the “2022 Annual Meeting”), non-employee directors will receive transitional RSU grants upon the following terms, which will vest, subject to continuous service through the applicable vesting dates:</w:t>
      </w:r>
    </w:p>
    <w:p>
      <w:pPr>
        <w:spacing w:after="0" w:line="99" w:lineRule="exact"/>
        <w:rPr>
          <w:sz w:val="20"/>
          <w:szCs w:val="20"/>
          <w:color w:val="auto"/>
        </w:rPr>
      </w:pPr>
    </w:p>
    <w:p>
      <w:pPr>
        <w:ind w:left="600" w:right="240" w:hanging="304"/>
        <w:spacing w:after="0" w:line="325" w:lineRule="auto"/>
        <w:tabs>
          <w:tab w:leader="none" w:pos="5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Non-employee directors who are initially elected or appointed on or after the Closing Date but before April 1, 2021 will be granted RSUs valued at $400,000, which will vest as to 50% of the RSUs on the first anniversary of the Closing and as to the remaining RSUs on the date of the 2022 Annual Meeting.</w:t>
      </w:r>
    </w:p>
    <w:p>
      <w:pPr>
        <w:spacing w:after="0" w:line="76" w:lineRule="exact"/>
        <w:rPr>
          <w:rFonts w:ascii="Arial" w:cs="Arial" w:eastAsia="Arial" w:hAnsi="Arial"/>
          <w:sz w:val="15"/>
          <w:szCs w:val="15"/>
          <w:color w:val="auto"/>
        </w:rPr>
      </w:pPr>
    </w:p>
    <w:p>
      <w:pPr>
        <w:ind w:left="600" w:right="360" w:hanging="304"/>
        <w:spacing w:after="0" w:line="290" w:lineRule="auto"/>
        <w:tabs>
          <w:tab w:leader="none" w:pos="5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Non-employee directors who are initially elected or appointed on or after April 1, 2021 but before the 2022 Annual Meeting will be granted RSUs valued at $200,000, which will vest in full on the date of the 2022 Annual Meeting.</w:t>
      </w:r>
    </w:p>
    <w:p>
      <w:pPr>
        <w:spacing w:after="0" w:line="99" w:lineRule="exact"/>
        <w:rPr>
          <w:rFonts w:ascii="Arial" w:cs="Arial" w:eastAsia="Arial" w:hAnsi="Arial"/>
          <w:sz w:val="16"/>
          <w:szCs w:val="16"/>
          <w:color w:val="auto"/>
        </w:rPr>
      </w:pPr>
    </w:p>
    <w:p>
      <w:pPr>
        <w:jc w:val="both"/>
        <w:ind w:left="600" w:right="100" w:hanging="304"/>
        <w:spacing w:after="0" w:line="300" w:lineRule="auto"/>
        <w:tabs>
          <w:tab w:leader="none" w:pos="5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Non-employee directors who served as members of the board of directors of Clover prior to the Business Combination and continue to serve as members of the board of directors of Clover Health after the Closing Date will be granted RSUs valued at $400,000 multiplied by the anticipated number of whole months from the Closing Date until the 2022 Annual Meeting divided by 24, which will vest in full on the date of the 2022 Annual Meeting.</w:t>
      </w:r>
    </w:p>
    <w:p>
      <w:pPr>
        <w:spacing w:after="0" w:line="94" w:lineRule="exact"/>
        <w:rPr>
          <w:rFonts w:ascii="Arial" w:cs="Arial" w:eastAsia="Arial" w:hAnsi="Arial"/>
          <w:sz w:val="15"/>
          <w:szCs w:val="15"/>
          <w:color w:val="auto"/>
        </w:rPr>
      </w:pPr>
    </w:p>
    <w:p>
      <w:pPr>
        <w:ind w:left="600" w:right="480" w:hanging="304"/>
        <w:spacing w:after="0" w:line="290" w:lineRule="auto"/>
        <w:tabs>
          <w:tab w:leader="none" w:pos="5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These transitional RSUs will be granted on the latest to occur of (i) the non-employee director’s election or appointment, (ii) the Closing Date and (iii) the effectiveness of our Registration Statement on Form S-8 for the 2020 Plan.</w:t>
      </w:r>
    </w:p>
    <w:p>
      <w:pPr>
        <w:spacing w:after="0" w:line="99" w:lineRule="exact"/>
        <w:rPr>
          <w:rFonts w:ascii="Arial" w:cs="Arial" w:eastAsia="Arial" w:hAnsi="Arial"/>
          <w:sz w:val="16"/>
          <w:szCs w:val="16"/>
          <w:color w:val="auto"/>
        </w:rPr>
      </w:pPr>
    </w:p>
    <w:p>
      <w:pPr>
        <w:ind w:left="600" w:right="260" w:hanging="304"/>
        <w:spacing w:after="0" w:line="290" w:lineRule="auto"/>
        <w:tabs>
          <w:tab w:leader="none" w:pos="5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granted 54,200 transitional RSUs to each of Mr. Robinson and Mr. Shapiro, and 38,392 transitional RSUs to each of Mr. Turner and Ms. Clinton effective April 1, 2021, and 25,608 transitional RSUs to Mr. Kouzoukas effective April 13, 2021.</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Equity Grants Beginning at 2022 Annual Meeting</w:t>
      </w:r>
    </w:p>
    <w:p>
      <w:pPr>
        <w:spacing w:after="0" w:line="162" w:lineRule="exact"/>
        <w:rPr>
          <w:sz w:val="20"/>
          <w:szCs w:val="20"/>
          <w:color w:val="auto"/>
        </w:rPr>
      </w:pPr>
    </w:p>
    <w:p>
      <w:pPr>
        <w:ind w:right="320" w:firstLine="297"/>
        <w:spacing w:after="0" w:line="290" w:lineRule="auto"/>
        <w:rPr>
          <w:sz w:val="20"/>
          <w:szCs w:val="20"/>
          <w:color w:val="auto"/>
        </w:rPr>
      </w:pPr>
      <w:r>
        <w:rPr>
          <w:rFonts w:ascii="Arial" w:cs="Arial" w:eastAsia="Arial" w:hAnsi="Arial"/>
          <w:sz w:val="16"/>
          <w:szCs w:val="16"/>
          <w:color w:val="auto"/>
        </w:rPr>
        <w:t>Beginning at the 2022 Annual Meeting, non-employee directors will receive RSU grants upon the following terms, which will vest, subject to continuous service through the applicable vesting dates:</w:t>
      </w:r>
    </w:p>
    <w:p>
      <w:pPr>
        <w:spacing w:after="0" w:line="99" w:lineRule="exact"/>
        <w:rPr>
          <w:sz w:val="20"/>
          <w:szCs w:val="20"/>
          <w:color w:val="auto"/>
        </w:rPr>
      </w:pPr>
    </w:p>
    <w:p>
      <w:pPr>
        <w:ind w:left="600" w:right="80" w:hanging="304"/>
        <w:spacing w:after="0" w:line="290" w:lineRule="auto"/>
        <w:tabs>
          <w:tab w:leader="none" w:pos="5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Non-employee directors who are initially elected or appointed on or after the 2022 Annual Meeting will be granted RSUs valued at $200,000, which will vest in full on the one-year anniversary of the director’s election or appointment.</w:t>
      </w:r>
    </w:p>
    <w:p>
      <w:pPr>
        <w:spacing w:after="0" w:line="99" w:lineRule="exact"/>
        <w:rPr>
          <w:rFonts w:ascii="Arial" w:cs="Arial" w:eastAsia="Arial" w:hAnsi="Arial"/>
          <w:sz w:val="16"/>
          <w:szCs w:val="16"/>
          <w:color w:val="auto"/>
        </w:rPr>
      </w:pPr>
    </w:p>
    <w:p>
      <w:pPr>
        <w:ind w:left="600" w:right="100" w:hanging="304"/>
        <w:spacing w:after="0" w:line="274" w:lineRule="auto"/>
        <w:tabs>
          <w:tab w:leader="none" w:pos="5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addition, at the close of business on each annual meeting of the shareholders beginning with the 2022 Annual Meeting, each non-employee director who has served at least three full months prior to such annual meeting will be granted RSUs valued at $200,000, which will vest in full on the earlier to occur of the next annual meeting of the shareholders or the one-year anniversary of the date of grant.</w:t>
      </w:r>
    </w:p>
    <w:p>
      <w:pPr>
        <w:spacing w:after="0" w:line="11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Our policy also provides that we will reimburse our non-employee directors for reasonable expenses incurred in connection with their attendance at board of directors or committee meetings.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of Directors and Officers</w:t>
      </w:r>
    </w:p>
    <w:p>
      <w:pPr>
        <w:spacing w:after="0" w:line="166" w:lineRule="exact"/>
        <w:rPr>
          <w:sz w:val="20"/>
          <w:szCs w:val="20"/>
          <w:color w:val="auto"/>
        </w:rPr>
      </w:pPr>
    </w:p>
    <w:p>
      <w:pPr>
        <w:jc w:val="both"/>
        <w:ind w:right="100" w:firstLine="297"/>
        <w:spacing w:after="0" w:line="274" w:lineRule="auto"/>
        <w:rPr>
          <w:sz w:val="20"/>
          <w:szCs w:val="20"/>
          <w:color w:val="auto"/>
        </w:rPr>
      </w:pPr>
      <w:r>
        <w:rPr>
          <w:rFonts w:ascii="Arial" w:cs="Arial" w:eastAsia="Arial" w:hAnsi="Arial"/>
          <w:sz w:val="16"/>
          <w:szCs w:val="16"/>
          <w:color w:val="auto"/>
        </w:rPr>
        <w:t>Our amended and restated certificate of incorporation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112" w:lineRule="exact"/>
        <w:rPr>
          <w:sz w:val="20"/>
          <w:szCs w:val="20"/>
          <w:color w:val="auto"/>
        </w:rPr>
      </w:pPr>
    </w:p>
    <w:p>
      <w:pPr>
        <w:ind w:left="580" w:hanging="284"/>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any breach of their duty of loyalty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3" w:lineRule="exact"/>
        <w:rPr>
          <w:sz w:val="20"/>
          <w:szCs w:val="20"/>
          <w:color w:val="auto"/>
        </w:rPr>
      </w:pPr>
    </w:p>
    <w:p>
      <w:pPr>
        <w:ind w:left="580" w:hanging="284"/>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any act or omission not in good faith or that involves intentional misconduct or a knowing violation of law;</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any transaction from which they derived an improper personal benefit.</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Our amended and restated bylaws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our employees or agents. Our amended and restated bylaws also provide that we must advance expenses incurred by or on behalf of a director or officer in advance of the final disposition of any action or proceeding, subject to limited exceptions.</w:t>
      </w:r>
    </w:p>
    <w:p>
      <w:pPr>
        <w:spacing w:after="0" w:line="118" w:lineRule="exact"/>
        <w:rPr>
          <w:sz w:val="20"/>
          <w:szCs w:val="20"/>
          <w:color w:val="auto"/>
        </w:rPr>
      </w:pPr>
    </w:p>
    <w:p>
      <w:pPr>
        <w:jc w:val="both"/>
        <w:ind w:right="340" w:firstLine="297"/>
        <w:spacing w:after="0" w:line="300" w:lineRule="auto"/>
        <w:rPr>
          <w:sz w:val="20"/>
          <w:szCs w:val="20"/>
          <w:color w:val="auto"/>
        </w:rPr>
      </w:pPr>
      <w:r>
        <w:rPr>
          <w:rFonts w:ascii="Arial" w:cs="Arial" w:eastAsia="Arial" w:hAnsi="Arial"/>
          <w:sz w:val="15"/>
          <w:szCs w:val="15"/>
          <w:color w:val="auto"/>
        </w:rPr>
        <w:t>We maintain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95"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We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18"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166" w:lineRule="exact"/>
        <w:rPr>
          <w:sz w:val="20"/>
          <w:szCs w:val="20"/>
          <w:color w:val="auto"/>
        </w:rPr>
      </w:pPr>
    </w:p>
    <w:p>
      <w:pPr>
        <w:ind w:left="1" w:right="220" w:firstLine="297"/>
        <w:spacing w:after="0" w:line="325" w:lineRule="auto"/>
        <w:rPr>
          <w:sz w:val="20"/>
          <w:szCs w:val="20"/>
          <w:color w:val="auto"/>
        </w:rPr>
      </w:pPr>
      <w:r>
        <w:rPr>
          <w:rFonts w:ascii="Arial" w:cs="Arial" w:eastAsia="Arial" w:hAnsi="Arial"/>
          <w:sz w:val="15"/>
          <w:szCs w:val="15"/>
          <w:color w:val="auto"/>
        </w:rPr>
        <w:t>The following table provides information concerning certain compensation awarded to, earned by or paid to our Chief Executive Officer and each of our two other most highly compensated officers, whom we collectively refer to as “named executive officers,” during the years ended December 31, 2019 and 2020.</w:t>
      </w:r>
    </w:p>
    <w:p>
      <w:pPr>
        <w:spacing w:after="0" w:line="92" w:lineRule="exact"/>
        <w:rPr>
          <w:sz w:val="20"/>
          <w:szCs w:val="20"/>
          <w:color w:val="auto"/>
        </w:rPr>
      </w:pPr>
    </w:p>
    <w:tbl>
      <w:tblPr>
        <w:tblLayout w:type="fixed"/>
        <w:tblInd w:w="1" w:type="dxa"/>
        <w:tblCellMar>
          <w:top w:w="0" w:type="dxa"/>
          <w:left w:w="0" w:type="dxa"/>
          <w:bottom w:w="0" w:type="dxa"/>
          <w:right w:w="0" w:type="dxa"/>
        </w:tblCellMar>
      </w:tblPr>
      <w:tr>
        <w:trPr>
          <w:trHeight w:val="195"/>
        </w:trPr>
        <w:tc>
          <w:tcPr>
            <w:tcW w:w="3580" w:type="dxa"/>
            <w:vAlign w:val="bottom"/>
          </w:tcPr>
          <w:p>
            <w:pPr>
              <w:ind w:left="98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6"/>
                <w:szCs w:val="16"/>
                <w:color w:val="auto"/>
              </w:rPr>
            </w:pPr>
          </w:p>
        </w:tc>
        <w:tc>
          <w:tcPr>
            <w:tcW w:w="1520" w:type="dxa"/>
            <w:vAlign w:val="bottom"/>
            <w:gridSpan w:val="2"/>
          </w:tcPr>
          <w:p>
            <w:pPr>
              <w:ind w:left="40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Arial" w:cs="Arial" w:eastAsia="Arial" w:hAnsi="Arial"/>
                <w:sz w:val="13"/>
                <w:szCs w:val="13"/>
                <w:b w:val="1"/>
                <w:bCs w:val="1"/>
                <w:color w:val="auto"/>
              </w:rPr>
              <w:t>Salary</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7"/>
                <w:szCs w:val="17"/>
                <w:b w:val="1"/>
                <w:bCs w:val="1"/>
                <w:color w:val="auto"/>
                <w:vertAlign w:val="superscript"/>
              </w:rPr>
              <w:t>(2)</w:t>
            </w:r>
          </w:p>
        </w:tc>
        <w:tc>
          <w:tcPr>
            <w:tcW w:w="1820" w:type="dxa"/>
            <w:vAlign w:val="bottom"/>
            <w:gridSpan w:val="4"/>
          </w:tcPr>
          <w:p>
            <w:pPr>
              <w:ind w:left="20"/>
              <w:spacing w:after="0"/>
              <w:rPr>
                <w:sz w:val="20"/>
                <w:szCs w:val="20"/>
                <w:color w:val="auto"/>
              </w:rPr>
            </w:pPr>
            <w:r>
              <w:rPr>
                <w:rFonts w:ascii="Arial" w:cs="Arial" w:eastAsia="Arial" w:hAnsi="Arial"/>
                <w:sz w:val="13"/>
                <w:szCs w:val="13"/>
                <w:b w:val="1"/>
                <w:bCs w:val="1"/>
                <w:color w:val="auto"/>
              </w:rPr>
              <w:t>All Other Compensation</w:t>
            </w:r>
          </w:p>
        </w:tc>
        <w:tc>
          <w:tcPr>
            <w:tcW w:w="1140" w:type="dxa"/>
            <w:vAlign w:val="bottom"/>
          </w:tcPr>
          <w:p>
            <w:pPr>
              <w:jc w:val="right"/>
              <w:ind w:right="40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3"/>
        </w:trPr>
        <w:tc>
          <w:tcPr>
            <w:tcW w:w="3580" w:type="dxa"/>
            <w:vAlign w:val="bottom"/>
            <w:tcBorders>
              <w:top w:val="single" w:sz="8" w:color="auto"/>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Vivek Garipalli</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8"/>
              <w:spacing w:after="0" w:line="174"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60"/>
              <w:spacing w:after="0" w:line="174"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8"/>
              <w:spacing w:after="0" w:line="174"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3580" w:type="dxa"/>
            <w:vAlign w:val="bottom"/>
            <w:vMerge w:val="restart"/>
            <w:shd w:val="clear" w:color="auto" w:fill="CCEEFF"/>
          </w:tcPr>
          <w:p>
            <w:pPr>
              <w:ind w:left="220"/>
              <w:spacing w:after="0"/>
              <w:rPr>
                <w:sz w:val="20"/>
                <w:szCs w:val="20"/>
                <w:color w:val="auto"/>
              </w:rPr>
            </w:pPr>
            <w:r>
              <w:rPr>
                <w:rFonts w:ascii="Arial" w:cs="Arial" w:eastAsia="Arial" w:hAnsi="Arial"/>
                <w:sz w:val="16"/>
                <w:szCs w:val="16"/>
                <w:i w:val="1"/>
                <w:iCs w:val="1"/>
                <w:color w:val="auto"/>
              </w:rPr>
              <w:t>Chief Executive Officer</w:t>
            </w: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1"/>
                <w:szCs w:val="11"/>
                <w:color w:val="auto"/>
              </w:rPr>
            </w:pPr>
          </w:p>
        </w:tc>
        <w:tc>
          <w:tcPr>
            <w:tcW w:w="1360" w:type="dxa"/>
            <w:vAlign w:val="bottom"/>
            <w:gridSpan w:val="3"/>
            <w:vMerge w:val="restart"/>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4"/>
        </w:trPr>
        <w:tc>
          <w:tcPr>
            <w:tcW w:w="3580" w:type="dxa"/>
            <w:vAlign w:val="bottom"/>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60" w:type="dxa"/>
            <w:vAlign w:val="bottom"/>
            <w:gridSpan w:val="3"/>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20"/>
              <w:spacing w:after="0"/>
              <w:rPr>
                <w:sz w:val="20"/>
                <w:szCs w:val="20"/>
                <w:color w:val="auto"/>
              </w:rPr>
            </w:pPr>
            <w:r>
              <w:rPr>
                <w:rFonts w:ascii="Arial" w:cs="Arial" w:eastAsia="Arial" w:hAnsi="Arial"/>
                <w:sz w:val="16"/>
                <w:szCs w:val="16"/>
                <w:color w:val="auto"/>
              </w:rPr>
              <w:t>Andrew Toy</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415,385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8,190,695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6"/>
                <w:szCs w:val="16"/>
                <w:color w:val="auto"/>
              </w:rPr>
              <w:t xml:space="preserve">11,805 </w:t>
            </w:r>
            <w:r>
              <w:rPr>
                <w:rFonts w:ascii="Arial" w:cs="Arial" w:eastAsia="Arial" w:hAnsi="Arial"/>
                <w:sz w:val="21"/>
                <w:szCs w:val="21"/>
                <w:color w:val="auto"/>
                <w:vertAlign w:val="superscript"/>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8,617,885</w:t>
            </w:r>
          </w:p>
        </w:tc>
        <w:tc>
          <w:tcPr>
            <w:tcW w:w="0" w:type="dxa"/>
            <w:vAlign w:val="bottom"/>
          </w:tcPr>
          <w:p>
            <w:pPr>
              <w:spacing w:after="0"/>
              <w:rPr>
                <w:sz w:val="1"/>
                <w:szCs w:val="1"/>
                <w:color w:val="auto"/>
              </w:rPr>
            </w:pPr>
          </w:p>
        </w:tc>
      </w:tr>
      <w:tr>
        <w:trPr>
          <w:trHeight w:val="215"/>
        </w:trPr>
        <w:tc>
          <w:tcPr>
            <w:tcW w:w="3580" w:type="dxa"/>
            <w:vAlign w:val="bottom"/>
          </w:tcPr>
          <w:p>
            <w:pPr>
              <w:ind w:left="220"/>
              <w:spacing w:after="0"/>
              <w:rPr>
                <w:sz w:val="20"/>
                <w:szCs w:val="20"/>
                <w:color w:val="auto"/>
              </w:rPr>
            </w:pPr>
            <w:r>
              <w:rPr>
                <w:rFonts w:ascii="Arial" w:cs="Arial" w:eastAsia="Arial" w:hAnsi="Arial"/>
                <w:sz w:val="16"/>
                <w:szCs w:val="16"/>
                <w:i w:val="1"/>
                <w:iCs w:val="1"/>
                <w:color w:val="auto"/>
              </w:rPr>
              <w:t>President and Chief Technology Officer</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Arial" w:cs="Arial" w:eastAsia="Arial" w:hAnsi="Arial"/>
                <w:sz w:val="16"/>
                <w:szCs w:val="16"/>
                <w:color w:val="auto"/>
              </w:rPr>
              <w:t xml:space="preserve">23,593 </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423,593</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Gia Lee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415,385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978,250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0" w:lineRule="exact"/>
              <w:rPr>
                <w:sz w:val="20"/>
                <w:szCs w:val="20"/>
                <w:color w:val="auto"/>
              </w:rPr>
            </w:pPr>
            <w:r>
              <w:rPr>
                <w:rFonts w:ascii="Arial" w:cs="Arial" w:eastAsia="Arial" w:hAnsi="Arial"/>
                <w:sz w:val="16"/>
                <w:szCs w:val="16"/>
                <w:color w:val="auto"/>
              </w:rPr>
              <w:t xml:space="preserve">10,577 </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1,404,212</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General Counsel and Secretary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331,731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58"/>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678,231</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___________________</w:t>
      </w:r>
    </w:p>
    <w:p>
      <w:pPr>
        <w:spacing w:after="0" w:line="19" w:lineRule="exact"/>
        <w:rPr>
          <w:sz w:val="20"/>
          <w:szCs w:val="20"/>
          <w:color w:val="auto"/>
        </w:rPr>
      </w:pPr>
    </w:p>
    <w:p>
      <w:pPr>
        <w:ind w:left="281" w:hanging="281"/>
        <w:spacing w:after="0"/>
        <w:tabs>
          <w:tab w:leader="none" w:pos="281" w:val="left"/>
        </w:tabs>
        <w:numPr>
          <w:ilvl w:val="0"/>
          <w:numId w:val="66"/>
        </w:numPr>
        <w:rPr>
          <w:rFonts w:ascii="Arial" w:cs="Arial" w:eastAsia="Arial" w:hAnsi="Arial"/>
          <w:sz w:val="13"/>
          <w:szCs w:val="13"/>
          <w:color w:val="auto"/>
        </w:rPr>
      </w:pPr>
      <w:r>
        <w:rPr>
          <w:rFonts w:ascii="Arial" w:cs="Arial" w:eastAsia="Arial" w:hAnsi="Arial"/>
          <w:sz w:val="13"/>
          <w:szCs w:val="13"/>
          <w:color w:val="auto"/>
        </w:rPr>
        <w:t>At his own recommendation to our board of directors, Mr. Garipalli elected to forgo any compensation for 2019 and 2020.</w:t>
      </w:r>
    </w:p>
    <w:p>
      <w:pPr>
        <w:ind w:left="301" w:hanging="301"/>
        <w:spacing w:after="0" w:line="238" w:lineRule="auto"/>
        <w:tabs>
          <w:tab w:leader="none" w:pos="294"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 reported in this column represents the aggregate grant date fair value of stock options granted under our 2014 Equity Incentive Plan as computed in accordance with FASB ASC Topic 718. The assumptions used in calculating the dollar amount recognized for financial statement reporting purposes of the stock option awards reported in this column are set forth in Note 18 to our consolidated financial statements included elsewhere in this prospectus. Note that the amount reported in this column reflects the accounting value for the stock option awards and may not correspond to the actual economic value that may be received by the named executive officer from the equity award.</w:t>
      </w:r>
    </w:p>
    <w:p>
      <w:pPr>
        <w:ind w:left="281" w:hanging="281"/>
        <w:spacing w:after="0" w:line="238" w:lineRule="auto"/>
        <w:tabs>
          <w:tab w:leader="none" w:pos="281"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amounts reported consist of (i) car services and related transportation costs of $3,805 and (ii) matching 401(k) contributions of $8,000.</w:t>
      </w:r>
    </w:p>
    <w:p>
      <w:pPr>
        <w:ind w:left="281" w:hanging="281"/>
        <w:spacing w:after="0" w:line="238" w:lineRule="auto"/>
        <w:tabs>
          <w:tab w:leader="none" w:pos="281"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amounts reported consist of (i) car services and related transportation costs of $17,516 and (ii) matching 401(k) contributions of $6,077.</w:t>
      </w:r>
    </w:p>
    <w:p>
      <w:pPr>
        <w:ind w:left="281" w:hanging="281"/>
        <w:spacing w:after="0"/>
        <w:tabs>
          <w:tab w:leader="none" w:pos="281"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amounts reported consist of matching 401(k) contributions.</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Executive Compensation Arrangements in Effect Prior to the Closing</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Executive Compensation Arrangements</w:t>
      </w:r>
    </w:p>
    <w:p>
      <w:pPr>
        <w:spacing w:after="0" w:line="162" w:lineRule="exact"/>
        <w:rPr>
          <w:sz w:val="20"/>
          <w:szCs w:val="20"/>
          <w:color w:val="auto"/>
        </w:rPr>
      </w:pPr>
    </w:p>
    <w:p>
      <w:pPr>
        <w:ind w:left="1" w:firstLine="297"/>
        <w:spacing w:after="0" w:line="268" w:lineRule="auto"/>
        <w:rPr>
          <w:sz w:val="20"/>
          <w:szCs w:val="20"/>
          <w:color w:val="auto"/>
        </w:rPr>
      </w:pPr>
      <w:r>
        <w:rPr>
          <w:rFonts w:ascii="Arial" w:cs="Arial" w:eastAsia="Arial" w:hAnsi="Arial"/>
          <w:sz w:val="16"/>
          <w:szCs w:val="16"/>
          <w:color w:val="auto"/>
        </w:rPr>
        <w:t>Clover previously entered into offer letters with Mr. Toy and Ms. Lee. Both of these arrangements provide for at will employment and generally include the named executive officer’s initial base salary and an initial equity award grant. In addition, Mr. Garipalli, Mr. Toy and Ms. Lee have each executed a confidential information and invention assignment agreement with Clover. Mr. Toy’s offer letter and all the benefits provided therein was superseded by the employment agreement that he entered into with Clover in connection with the Closing, which is described in more detail below.</w:t>
      </w:r>
    </w:p>
    <w:p>
      <w:pPr>
        <w:spacing w:after="0" w:line="118" w:lineRule="exact"/>
        <w:rPr>
          <w:sz w:val="20"/>
          <w:szCs w:val="20"/>
          <w:color w:val="auto"/>
        </w:rPr>
      </w:pPr>
    </w:p>
    <w:p>
      <w:pPr>
        <w:ind w:left="1" w:firstLine="297"/>
        <w:spacing w:after="0" w:line="274" w:lineRule="auto"/>
        <w:rPr>
          <w:sz w:val="20"/>
          <w:szCs w:val="20"/>
          <w:color w:val="auto"/>
        </w:rPr>
      </w:pPr>
      <w:r>
        <w:rPr>
          <w:rFonts w:ascii="Arial" w:cs="Arial" w:eastAsia="Arial" w:hAnsi="Arial"/>
          <w:sz w:val="16"/>
          <w:szCs w:val="16"/>
          <w:color w:val="auto"/>
        </w:rPr>
        <w:t>Ms. Lee’s offer letter provides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2020 Pension Benefits/Nonqualified Deferred Compensation Table</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None of Clover’s named executive officers participated in any defined benefit pension plans or any non-qualified deferred compensation plans in 2020.</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Other Elements of Compensation</w:t>
      </w:r>
    </w:p>
    <w:p>
      <w:pPr>
        <w:spacing w:after="0" w:line="162" w:lineRule="exact"/>
        <w:rPr>
          <w:sz w:val="20"/>
          <w:szCs w:val="20"/>
          <w:color w:val="auto"/>
        </w:rPr>
      </w:pPr>
    </w:p>
    <w:p>
      <w:pPr>
        <w:ind w:left="1" w:right="100" w:firstLine="297"/>
        <w:spacing w:after="0" w:line="268" w:lineRule="auto"/>
        <w:rPr>
          <w:sz w:val="20"/>
          <w:szCs w:val="20"/>
          <w:color w:val="auto"/>
        </w:rPr>
      </w:pPr>
      <w:r>
        <w:rPr>
          <w:rFonts w:ascii="Arial" w:cs="Arial" w:eastAsia="Arial" w:hAnsi="Arial"/>
          <w:sz w:val="16"/>
          <w:szCs w:val="16"/>
          <w:color w:val="auto"/>
        </w:rPr>
        <w:t>Clover’s named executive officers are eligible to participate in Clover’s employee benefit plans, including Clover’s medical, dental, vision, group life, disability and accidental death and dismemberment insurance plans, in each case, on the same basis as all of Clover’s other employees. Clover provides a 401(k) plan to its employees, including its current named executive officers, as discussed in the section below entitled “—401(k) Plan.” Clover generally does not provide perquisites or personal benefits to Clover’s named executive officers, except in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131" w:name="page132"/>
    <w:bookmarkEnd w:id="131"/>
    <w:p>
      <w:pPr>
        <w:spacing w:after="0" w:line="23" w:lineRule="exact"/>
        <w:rPr>
          <w:sz w:val="20"/>
          <w:szCs w:val="20"/>
          <w:color w:val="auto"/>
        </w:rPr>
      </w:pPr>
    </w:p>
    <w:p>
      <w:pPr>
        <w:ind w:left="1" w:firstLine="297"/>
        <w:spacing w:after="0" w:line="266" w:lineRule="auto"/>
        <w:rPr>
          <w:sz w:val="20"/>
          <w:szCs w:val="20"/>
          <w:color w:val="auto"/>
        </w:rPr>
      </w:pPr>
      <w:r>
        <w:rPr>
          <w:rFonts w:ascii="Arial" w:cs="Arial" w:eastAsia="Arial" w:hAnsi="Arial"/>
          <w:sz w:val="16"/>
          <w:szCs w:val="16"/>
          <w:color w:val="auto"/>
        </w:rPr>
        <w:t>401(k) Plan. Clover maintains a 401(k) plan that provides eligible employees with an opportunity to save for retirement on a tax advantaged basis. Eligible employees are able to defer eligible compensation subject to applicable annual Code limits. Employees are immediately and fully vested in their contributions. The 401(k) plan permits Clover to make matching contributions and profit-sharing contributions to eligible participants. Clover intends for its 401(k) plan to qualify under Sections 401(a) and 501(a) of the Code so that contributions by employees to the 401(k) plan, and earnings on those contributions, are not taxable to employees until withdrawn from the 401(k) plan.</w:t>
      </w:r>
    </w:p>
    <w:p>
      <w:pPr>
        <w:spacing w:after="0" w:line="1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Outstanding Equity Awards at 2020 Fiscal Year-End</w:t>
      </w:r>
    </w:p>
    <w:p>
      <w:pPr>
        <w:spacing w:after="0" w:line="166" w:lineRule="exact"/>
        <w:rPr>
          <w:sz w:val="20"/>
          <w:szCs w:val="20"/>
          <w:color w:val="auto"/>
        </w:rPr>
      </w:pPr>
    </w:p>
    <w:p>
      <w:pPr>
        <w:ind w:left="1" w:right="400" w:firstLine="297"/>
        <w:spacing w:after="0" w:line="290" w:lineRule="auto"/>
        <w:rPr>
          <w:sz w:val="20"/>
          <w:szCs w:val="20"/>
          <w:color w:val="auto"/>
        </w:rPr>
      </w:pPr>
      <w:r>
        <w:rPr>
          <w:rFonts w:ascii="Arial" w:cs="Arial" w:eastAsia="Arial" w:hAnsi="Arial"/>
          <w:sz w:val="16"/>
          <w:szCs w:val="16"/>
          <w:color w:val="auto"/>
        </w:rPr>
        <w:t>The following table provides information regarding outstanding stock options held by certain of the named executive officers as of December 31, 2020 on an as converted basis.</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5"/>
          </w:tcPr>
          <w:p>
            <w:pPr>
              <w:jc w:val="right"/>
              <w:ind w:right="1278"/>
              <w:spacing w:after="0"/>
              <w:rPr>
                <w:sz w:val="20"/>
                <w:szCs w:val="20"/>
                <w:color w:val="auto"/>
              </w:rPr>
            </w:pPr>
            <w:r>
              <w:rPr>
                <w:rFonts w:ascii="Arial" w:cs="Arial" w:eastAsia="Arial" w:hAnsi="Arial"/>
                <w:sz w:val="13"/>
                <w:szCs w:val="13"/>
                <w:b w:val="1"/>
                <w:bCs w:val="1"/>
                <w:color w:val="auto"/>
              </w:rPr>
              <w:t>Number of Securities</w:t>
            </w:r>
          </w:p>
        </w:tc>
        <w:tc>
          <w:tcPr>
            <w:tcW w:w="2960" w:type="dxa"/>
            <w:vAlign w:val="bottom"/>
            <w:gridSpan w:val="3"/>
          </w:tcPr>
          <w:p>
            <w:pPr>
              <w:jc w:val="right"/>
              <w:ind w:right="1079"/>
              <w:spacing w:after="0"/>
              <w:rPr>
                <w:sz w:val="20"/>
                <w:szCs w:val="20"/>
                <w:color w:val="auto"/>
              </w:rPr>
            </w:pPr>
            <w:r>
              <w:rPr>
                <w:rFonts w:ascii="Arial" w:cs="Arial" w:eastAsia="Arial" w:hAnsi="Arial"/>
                <w:sz w:val="13"/>
                <w:szCs w:val="13"/>
                <w:b w:val="1"/>
                <w:bCs w:val="1"/>
                <w:color w:val="auto"/>
              </w:rPr>
              <w:t>Option Awards</w:t>
            </w:r>
          </w:p>
        </w:tc>
      </w:tr>
      <w:tr>
        <w:trPr>
          <w:trHeight w:val="171"/>
        </w:trPr>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700" w:type="dxa"/>
            <w:vAlign w:val="bottom"/>
            <w:gridSpan w:val="2"/>
          </w:tcPr>
          <w:p>
            <w:pPr>
              <w:ind w:left="480"/>
              <w:spacing w:after="0"/>
              <w:rPr>
                <w:sz w:val="20"/>
                <w:szCs w:val="20"/>
                <w:color w:val="auto"/>
              </w:rPr>
            </w:pPr>
            <w:r>
              <w:rPr>
                <w:rFonts w:ascii="Arial" w:cs="Arial" w:eastAsia="Arial" w:hAnsi="Arial"/>
                <w:sz w:val="13"/>
                <w:szCs w:val="13"/>
                <w:b w:val="1"/>
                <w:bCs w:val="1"/>
                <w:color w:val="auto"/>
              </w:rPr>
              <w:t>Grant Date</w:t>
            </w:r>
          </w:p>
        </w:tc>
        <w:tc>
          <w:tcPr>
            <w:tcW w:w="1660" w:type="dxa"/>
            <w:vAlign w:val="bottom"/>
            <w:tcBorders>
              <w:top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Exercisable</w:t>
            </w:r>
          </w:p>
        </w:tc>
        <w:tc>
          <w:tcPr>
            <w:tcW w:w="1560" w:type="dxa"/>
            <w:vAlign w:val="bottom"/>
            <w:tcBorders>
              <w:top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Unexercisable</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Exercise Price</w:t>
            </w:r>
          </w:p>
        </w:tc>
        <w:tc>
          <w:tcPr>
            <w:tcW w:w="1540" w:type="dxa"/>
            <w:vAlign w:val="bottom"/>
            <w:tcBorders>
              <w:top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Expiration Date</w:t>
            </w:r>
          </w:p>
        </w:tc>
      </w:tr>
      <w:tr>
        <w:trPr>
          <w:trHeight w:val="204"/>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Vivek Garipalli</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Andrew Toy</w:t>
            </w:r>
          </w:p>
        </w:tc>
        <w:tc>
          <w:tcPr>
            <w:tcW w:w="1700" w:type="dxa"/>
            <w:vAlign w:val="bottom"/>
            <w:gridSpan w:val="2"/>
          </w:tcPr>
          <w:p>
            <w:pPr>
              <w:jc w:val="right"/>
              <w:spacing w:after="0" w:line="206" w:lineRule="exact"/>
              <w:rPr>
                <w:sz w:val="20"/>
                <w:szCs w:val="20"/>
                <w:color w:val="auto"/>
              </w:rPr>
            </w:pPr>
            <w:r>
              <w:rPr>
                <w:rFonts w:ascii="Arial" w:cs="Arial" w:eastAsia="Arial" w:hAnsi="Arial"/>
                <w:sz w:val="16"/>
                <w:szCs w:val="16"/>
                <w:color w:val="auto"/>
              </w:rPr>
              <w:t>07/22/2018</w:t>
            </w:r>
            <w:r>
              <w:rPr>
                <w:rFonts w:ascii="Arial" w:cs="Arial" w:eastAsia="Arial" w:hAnsi="Arial"/>
                <w:sz w:val="21"/>
                <w:szCs w:val="21"/>
                <w:color w:val="auto"/>
                <w:vertAlign w:val="superscript"/>
              </w:rPr>
              <w:t>(2)</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631,033</w:t>
            </w:r>
          </w:p>
        </w:tc>
        <w:tc>
          <w:tcPr>
            <w:tcW w:w="100" w:type="dxa"/>
            <w:vAlign w:val="bottom"/>
          </w:tcPr>
          <w:p>
            <w:pPr>
              <w:spacing w:after="0"/>
              <w:rPr>
                <w:sz w:val="17"/>
                <w:szCs w:val="17"/>
                <w:color w:val="auto"/>
              </w:rPr>
            </w:pPr>
          </w:p>
        </w:tc>
        <w:tc>
          <w:tcPr>
            <w:tcW w:w="1900" w:type="dxa"/>
            <w:vAlign w:val="bottom"/>
            <w:gridSpan w:val="3"/>
          </w:tcPr>
          <w:p>
            <w:pPr>
              <w:jc w:val="right"/>
              <w:ind w:right="31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07/21/2028</w:t>
            </w:r>
          </w:p>
        </w:tc>
      </w:tr>
      <w:tr>
        <w:trPr>
          <w:trHeight w:val="210"/>
        </w:trPr>
        <w:tc>
          <w:tcPr>
            <w:tcW w:w="2920" w:type="dxa"/>
            <w:vAlign w:val="bottom"/>
          </w:tcPr>
          <w:p>
            <w:pPr>
              <w:spacing w:after="0"/>
              <w:rPr>
                <w:sz w:val="18"/>
                <w:szCs w:val="18"/>
                <w:color w:val="auto"/>
              </w:rPr>
            </w:pPr>
          </w:p>
        </w:tc>
        <w:tc>
          <w:tcPr>
            <w:tcW w:w="1700" w:type="dxa"/>
            <w:vAlign w:val="bottom"/>
            <w:gridSpan w:val="2"/>
          </w:tcPr>
          <w:p>
            <w:pPr>
              <w:jc w:val="right"/>
              <w:spacing w:after="0" w:line="210" w:lineRule="exact"/>
              <w:rPr>
                <w:sz w:val="20"/>
                <w:szCs w:val="20"/>
                <w:color w:val="auto"/>
              </w:rPr>
            </w:pPr>
            <w:r>
              <w:rPr>
                <w:rFonts w:ascii="Arial" w:cs="Arial" w:eastAsia="Arial" w:hAnsi="Arial"/>
                <w:sz w:val="16"/>
                <w:szCs w:val="16"/>
                <w:color w:val="auto"/>
              </w:rPr>
              <w:t>07/22/2018</w:t>
            </w:r>
            <w:r>
              <w:rPr>
                <w:rFonts w:ascii="Arial" w:cs="Arial" w:eastAsia="Arial" w:hAnsi="Arial"/>
                <w:sz w:val="21"/>
                <w:szCs w:val="21"/>
                <w:color w:val="auto"/>
                <w:vertAlign w:val="superscript"/>
              </w:rPr>
              <w:t>(3)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3,155,168</w:t>
            </w:r>
          </w:p>
        </w:tc>
        <w:tc>
          <w:tcPr>
            <w:tcW w:w="100" w:type="dxa"/>
            <w:vAlign w:val="bottom"/>
          </w:tcPr>
          <w:p>
            <w:pPr>
              <w:spacing w:after="0"/>
              <w:rPr>
                <w:sz w:val="18"/>
                <w:szCs w:val="18"/>
                <w:color w:val="auto"/>
              </w:rPr>
            </w:pPr>
          </w:p>
        </w:tc>
        <w:tc>
          <w:tcPr>
            <w:tcW w:w="1900" w:type="dxa"/>
            <w:vAlign w:val="bottom"/>
            <w:gridSpan w:val="3"/>
          </w:tcPr>
          <w:p>
            <w:pPr>
              <w:jc w:val="right"/>
              <w:ind w:right="31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07/21/2028</w:t>
            </w:r>
          </w:p>
        </w:tc>
      </w:tr>
      <w:tr>
        <w:trPr>
          <w:trHeight w:val="210"/>
        </w:trPr>
        <w:tc>
          <w:tcPr>
            <w:tcW w:w="2920" w:type="dxa"/>
            <w:vAlign w:val="bottom"/>
          </w:tcPr>
          <w:p>
            <w:pPr>
              <w:spacing w:after="0"/>
              <w:rPr>
                <w:sz w:val="18"/>
                <w:szCs w:val="18"/>
                <w:color w:val="auto"/>
              </w:rPr>
            </w:pPr>
          </w:p>
        </w:tc>
        <w:tc>
          <w:tcPr>
            <w:tcW w:w="1700" w:type="dxa"/>
            <w:vAlign w:val="bottom"/>
            <w:gridSpan w:val="2"/>
          </w:tcPr>
          <w:p>
            <w:pPr>
              <w:jc w:val="right"/>
              <w:spacing w:after="0" w:line="210" w:lineRule="exact"/>
              <w:rPr>
                <w:sz w:val="20"/>
                <w:szCs w:val="20"/>
                <w:color w:val="auto"/>
              </w:rPr>
            </w:pPr>
            <w:r>
              <w:rPr>
                <w:rFonts w:ascii="Arial" w:cs="Arial" w:eastAsia="Arial" w:hAnsi="Arial"/>
                <w:sz w:val="16"/>
                <w:szCs w:val="16"/>
                <w:color w:val="auto"/>
              </w:rPr>
              <w:t>02/04/2020</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5,344,515</w:t>
            </w:r>
          </w:p>
        </w:tc>
        <w:tc>
          <w:tcPr>
            <w:tcW w:w="100" w:type="dxa"/>
            <w:vAlign w:val="bottom"/>
          </w:tcPr>
          <w:p>
            <w:pPr>
              <w:spacing w:after="0"/>
              <w:rPr>
                <w:sz w:val="18"/>
                <w:szCs w:val="18"/>
                <w:color w:val="auto"/>
              </w:rPr>
            </w:pPr>
          </w:p>
        </w:tc>
        <w:tc>
          <w:tcPr>
            <w:tcW w:w="1900" w:type="dxa"/>
            <w:vAlign w:val="bottom"/>
            <w:gridSpan w:val="3"/>
          </w:tcPr>
          <w:p>
            <w:pPr>
              <w:jc w:val="right"/>
              <w:ind w:right="31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02/03/2030</w:t>
            </w:r>
          </w:p>
        </w:tc>
      </w:tr>
      <w:tr>
        <w:trPr>
          <w:trHeight w:val="215"/>
        </w:trPr>
        <w:tc>
          <w:tcPr>
            <w:tcW w:w="2920" w:type="dxa"/>
            <w:vAlign w:val="bottom"/>
          </w:tcPr>
          <w:p>
            <w:pPr>
              <w:spacing w:after="0"/>
              <w:rPr>
                <w:sz w:val="18"/>
                <w:szCs w:val="18"/>
                <w:color w:val="auto"/>
              </w:rPr>
            </w:pPr>
          </w:p>
        </w:tc>
        <w:tc>
          <w:tcPr>
            <w:tcW w:w="1700" w:type="dxa"/>
            <w:vAlign w:val="bottom"/>
            <w:gridSpan w:val="2"/>
          </w:tcPr>
          <w:p>
            <w:pPr>
              <w:jc w:val="right"/>
              <w:spacing w:after="0" w:line="215" w:lineRule="exact"/>
              <w:rPr>
                <w:sz w:val="20"/>
                <w:szCs w:val="20"/>
                <w:color w:val="auto"/>
              </w:rPr>
            </w:pPr>
            <w:r>
              <w:rPr>
                <w:rFonts w:ascii="Arial" w:cs="Arial" w:eastAsia="Arial" w:hAnsi="Arial"/>
                <w:sz w:val="16"/>
                <w:szCs w:val="16"/>
                <w:color w:val="auto"/>
              </w:rPr>
              <w:t>02/04/2020</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3,669,607</w:t>
            </w:r>
          </w:p>
        </w:tc>
        <w:tc>
          <w:tcPr>
            <w:tcW w:w="100" w:type="dxa"/>
            <w:vAlign w:val="bottom"/>
          </w:tcPr>
          <w:p>
            <w:pPr>
              <w:spacing w:after="0"/>
              <w:rPr>
                <w:sz w:val="18"/>
                <w:szCs w:val="18"/>
                <w:color w:val="auto"/>
              </w:rPr>
            </w:pPr>
          </w:p>
        </w:tc>
        <w:tc>
          <w:tcPr>
            <w:tcW w:w="1900" w:type="dxa"/>
            <w:vAlign w:val="bottom"/>
            <w:gridSpan w:val="3"/>
          </w:tcPr>
          <w:p>
            <w:pPr>
              <w:jc w:val="right"/>
              <w:ind w:right="31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02/03/2030</w:t>
            </w: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Gia Lee</w:t>
            </w:r>
          </w:p>
        </w:tc>
        <w:tc>
          <w:tcPr>
            <w:tcW w:w="170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16"/>
                <w:szCs w:val="16"/>
                <w:color w:val="auto"/>
              </w:rPr>
              <w:t>03/26/2019</w:t>
            </w:r>
            <w:r>
              <w:rPr>
                <w:rFonts w:ascii="Arial" w:cs="Arial" w:eastAsia="Arial" w:hAnsi="Arial"/>
                <w:sz w:val="21"/>
                <w:szCs w:val="21"/>
                <w:color w:val="auto"/>
                <w:vertAlign w:val="superscript"/>
              </w:rPr>
              <w:t>(6)(7)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393,364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03/25/2029</w:t>
            </w:r>
          </w:p>
        </w:tc>
      </w:tr>
      <w:tr>
        <w:trPr>
          <w:trHeight w:val="210"/>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0" w:lineRule="exact"/>
              <w:rPr>
                <w:sz w:val="20"/>
                <w:szCs w:val="20"/>
                <w:color w:val="auto"/>
              </w:rPr>
            </w:pPr>
            <w:r>
              <w:rPr>
                <w:rFonts w:ascii="Arial" w:cs="Arial" w:eastAsia="Arial" w:hAnsi="Arial"/>
                <w:sz w:val="16"/>
                <w:szCs w:val="16"/>
                <w:color w:val="auto"/>
              </w:rPr>
              <w:t>02/04/2020</w:t>
            </w:r>
            <w:r>
              <w:rPr>
                <w:rFonts w:ascii="Arial" w:cs="Arial" w:eastAsia="Arial" w:hAnsi="Arial"/>
                <w:sz w:val="21"/>
                <w:szCs w:val="21"/>
                <w:color w:val="auto"/>
                <w:vertAlign w:val="superscript"/>
              </w:rPr>
              <w:t>(7)(8)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02/03/2030</w:t>
            </w:r>
          </w:p>
        </w:tc>
      </w:tr>
      <w:tr>
        <w:trPr>
          <w:trHeight w:val="210"/>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0" w:lineRule="exact"/>
              <w:rPr>
                <w:sz w:val="20"/>
                <w:szCs w:val="20"/>
                <w:color w:val="auto"/>
              </w:rPr>
            </w:pPr>
            <w:r>
              <w:rPr>
                <w:rFonts w:ascii="Arial" w:cs="Arial" w:eastAsia="Arial" w:hAnsi="Arial"/>
                <w:sz w:val="16"/>
                <w:szCs w:val="16"/>
                <w:color w:val="auto"/>
              </w:rPr>
              <w:t>02/04/2020</w:t>
            </w:r>
            <w:r>
              <w:rPr>
                <w:rFonts w:ascii="Arial" w:cs="Arial" w:eastAsia="Arial" w:hAnsi="Arial"/>
                <w:sz w:val="21"/>
                <w:szCs w:val="21"/>
                <w:color w:val="auto"/>
                <w:vertAlign w:val="superscript"/>
              </w:rPr>
              <w:t>(7)(9)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504,093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02/03/2030</w:t>
            </w:r>
          </w:p>
        </w:tc>
      </w:tr>
    </w:tbl>
    <w:p>
      <w:pPr>
        <w:spacing w:after="0" w:line="74"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w:t>
      </w:r>
    </w:p>
    <w:p>
      <w:pPr>
        <w:spacing w:after="0" w:line="19" w:lineRule="exact"/>
        <w:rPr>
          <w:sz w:val="20"/>
          <w:szCs w:val="20"/>
          <w:color w:val="auto"/>
        </w:rPr>
      </w:pPr>
    </w:p>
    <w:p>
      <w:pPr>
        <w:ind w:left="281" w:hanging="281"/>
        <w:spacing w:after="0"/>
        <w:tabs>
          <w:tab w:leader="none" w:pos="281" w:val="left"/>
        </w:tabs>
        <w:numPr>
          <w:ilvl w:val="0"/>
          <w:numId w:val="67"/>
        </w:numPr>
        <w:rPr>
          <w:rFonts w:ascii="Arial" w:cs="Arial" w:eastAsia="Arial" w:hAnsi="Arial"/>
          <w:sz w:val="13"/>
          <w:szCs w:val="13"/>
          <w:color w:val="auto"/>
        </w:rPr>
      </w:pPr>
      <w:r>
        <w:rPr>
          <w:rFonts w:ascii="Arial" w:cs="Arial" w:eastAsia="Arial" w:hAnsi="Arial"/>
          <w:sz w:val="13"/>
          <w:szCs w:val="13"/>
          <w:color w:val="auto"/>
        </w:rPr>
        <w:t>All of the outstanding equity awards were granted under our 2014 Plan.</w:t>
      </w:r>
    </w:p>
    <w:p>
      <w:pPr>
        <w:ind w:left="301" w:right="400" w:hanging="301"/>
        <w:spacing w:after="0" w:line="238"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1/12th of the shares subject to the option vested on February 5, 2018, and on each month thereafter, subject to continued service to us as of each vesting date, except as otherwise provided in the named executive officer’s employment agreement.</w:t>
      </w:r>
    </w:p>
    <w:p>
      <w:pPr>
        <w:ind w:left="301" w:right="100" w:hanging="301"/>
        <w:spacing w:after="0" w:line="238"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1/5th of the shares subject to the option vested on February 5, 2019, and an additional 1/48th of the remaining shares vest monthly thereafter, subject to continued service to us as of each vesting date, except as otherwise provided in the named executive officer’s employment agreement.</w:t>
      </w:r>
    </w:p>
    <w:p>
      <w:pPr>
        <w:ind w:left="301" w:right="180" w:hanging="301"/>
        <w:spacing w:after="0" w:line="238"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w:t>
      </w:r>
    </w:p>
    <w:p>
      <w:pPr>
        <w:ind w:left="301" w:right="180" w:hanging="301"/>
        <w:spacing w:after="0" w:line="238"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 The shares subject to the option are fully vested as of January 7, 2021.</w:t>
      </w:r>
    </w:p>
    <w:p>
      <w:pPr>
        <w:ind w:left="301" w:right="100" w:hanging="301"/>
        <w:spacing w:after="0" w:line="238"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1/5th of the shares subject to the option vested on January 14, 2020, and an additional 1/48th of the remaining shares vest monthly thereafter, subject to continued service to us as of each vesting date, except as otherwise provided in the named executive officer’s offer letter.</w:t>
      </w:r>
    </w:p>
    <w:p>
      <w:pPr>
        <w:ind w:left="281" w:hanging="281"/>
        <w:spacing w:after="0" w:line="238" w:lineRule="auto"/>
        <w:tabs>
          <w:tab w:leader="none" w:pos="281" w:val="left"/>
        </w:tabs>
        <w:numPr>
          <w:ilvl w:val="0"/>
          <w:numId w:val="67"/>
        </w:numPr>
        <w:rPr>
          <w:rFonts w:ascii="Arial" w:cs="Arial" w:eastAsia="Arial" w:hAnsi="Arial"/>
          <w:sz w:val="13"/>
          <w:szCs w:val="13"/>
          <w:color w:val="auto"/>
        </w:rPr>
      </w:pPr>
      <w:r>
        <w:rPr>
          <w:rFonts w:ascii="Arial" w:cs="Arial" w:eastAsia="Arial" w:hAnsi="Arial"/>
          <w:sz w:val="13"/>
          <w:szCs w:val="13"/>
          <w:color w:val="auto"/>
        </w:rPr>
        <w:t>50% of the option grant is early exercisable, while the other 50% becomes exercisable once vested, except as otherwise provided in the named executive officer’s offer letter.</w:t>
      </w:r>
    </w:p>
    <w:p>
      <w:pPr>
        <w:ind w:left="301" w:hanging="301"/>
        <w:spacing w:after="0" w:line="238"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1/60th of the shares subject to the option vested on February 14, 2019 and an additional 1/60th of the remaining shares vest monthly thereafter, subject to continued service to us as of each vesting date, except as otherwise provided in the name executive’s offer letter.</w:t>
      </w:r>
    </w:p>
    <w:p>
      <w:pPr>
        <w:ind w:left="301" w:right="40" w:hanging="301"/>
        <w:spacing w:after="0" w:line="247" w:lineRule="auto"/>
        <w:tabs>
          <w:tab w:leader="none" w:pos="290" w:val="left"/>
        </w:tabs>
        <w:numPr>
          <w:ilvl w:val="0"/>
          <w:numId w:val="67"/>
        </w:numPr>
        <w:rPr>
          <w:rFonts w:ascii="Arial" w:cs="Arial" w:eastAsia="Arial" w:hAnsi="Arial"/>
          <w:sz w:val="13"/>
          <w:szCs w:val="13"/>
          <w:color w:val="auto"/>
        </w:rPr>
      </w:pPr>
      <w:r>
        <w:rPr>
          <w:rFonts w:ascii="Arial" w:cs="Arial" w:eastAsia="Arial" w:hAnsi="Arial"/>
          <w:sz w:val="13"/>
          <w:szCs w:val="13"/>
          <w:color w:val="auto"/>
        </w:rPr>
        <w:t>24/60th of the shares subject to the option vest on January 1, 2022 and an additional 1/60th of the remaining shares vest monthly thereafter, subject to continued service to us as of each vesting date, except as otherwise provided in the name executive’s offer letter.</w:t>
      </w:r>
    </w:p>
    <w:p>
      <w:pPr>
        <w:spacing w:after="0" w:line="131"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2014 Plan</w:t>
      </w:r>
    </w:p>
    <w:p>
      <w:pPr>
        <w:spacing w:after="0" w:line="162" w:lineRule="exact"/>
        <w:rPr>
          <w:sz w:val="20"/>
          <w:szCs w:val="20"/>
          <w:color w:val="auto"/>
        </w:rPr>
      </w:pPr>
    </w:p>
    <w:p>
      <w:pPr>
        <w:ind w:left="1" w:right="280" w:firstLine="297"/>
        <w:spacing w:after="0" w:line="292" w:lineRule="auto"/>
        <w:rPr>
          <w:sz w:val="20"/>
          <w:szCs w:val="20"/>
          <w:color w:val="auto"/>
        </w:rPr>
      </w:pPr>
      <w:r>
        <w:rPr>
          <w:rFonts w:ascii="Arial" w:cs="Arial" w:eastAsia="Arial" w:hAnsi="Arial"/>
          <w:sz w:val="15"/>
          <w:szCs w:val="15"/>
          <w:color w:val="auto"/>
        </w:rPr>
        <w:t>General. Clover’s board of directors adopted the 2014 Equity Incentive Plan (the “2014 Plan”) in July 2014, and Clover’s stockholders approved the 2014 Plan in October 2014. The 2014 Plan was last amended in September 2018. Effective as of the Closing Date, the 2014 Plan terminated at which time the outstanding awards previously granted thereunder were assumed by us, and no new awards are available for grant under the 2014 Plan. Previously granted awards under the 2014 Plan continue to be subject to the terms and conditions of the 2014 Plan and the stock award agreements pursuant to which such awards were granted.</w:t>
      </w:r>
    </w:p>
    <w:p>
      <w:pPr>
        <w:spacing w:after="0" w:line="100" w:lineRule="exact"/>
        <w:rPr>
          <w:sz w:val="20"/>
          <w:szCs w:val="20"/>
          <w:color w:val="auto"/>
        </w:rPr>
      </w:pPr>
    </w:p>
    <w:p>
      <w:pPr>
        <w:ind w:left="301"/>
        <w:spacing w:after="0"/>
        <w:rPr>
          <w:sz w:val="20"/>
          <w:szCs w:val="20"/>
          <w:color w:val="auto"/>
        </w:rPr>
      </w:pPr>
      <w:r>
        <w:rPr>
          <w:rFonts w:ascii="Arial" w:cs="Arial" w:eastAsia="Arial" w:hAnsi="Arial"/>
          <w:sz w:val="16"/>
          <w:szCs w:val="16"/>
          <w:color w:val="auto"/>
        </w:rPr>
        <w:t>Plan administration. The compensation committee of the board of directors administers the 2014 Plan.</w:t>
      </w:r>
    </w:p>
    <w:p>
      <w:pPr>
        <w:spacing w:after="0" w:line="162" w:lineRule="exact"/>
        <w:rPr>
          <w:sz w:val="20"/>
          <w:szCs w:val="20"/>
          <w:color w:val="auto"/>
        </w:rPr>
      </w:pPr>
    </w:p>
    <w:p>
      <w:pPr>
        <w:ind w:left="1" w:right="520" w:firstLine="297"/>
        <w:spacing w:after="0" w:line="290" w:lineRule="auto"/>
        <w:rPr>
          <w:sz w:val="20"/>
          <w:szCs w:val="20"/>
          <w:color w:val="auto"/>
        </w:rPr>
      </w:pPr>
      <w:r>
        <w:rPr>
          <w:rFonts w:ascii="Arial" w:cs="Arial" w:eastAsia="Arial" w:hAnsi="Arial"/>
          <w:sz w:val="16"/>
          <w:szCs w:val="16"/>
          <w:color w:val="auto"/>
        </w:rPr>
        <w:t>Types of award. The 2014 Plan provided for incentive and nonstatutory stock options to purchase shares of Clover common stock, restricted stock awards and restricted stock unit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132" w:name="page133"/>
    <w:bookmarkEnd w:id="132"/>
    <w:p>
      <w:pPr>
        <w:spacing w:after="0" w:line="23" w:lineRule="exact"/>
        <w:rPr>
          <w:sz w:val="20"/>
          <w:szCs w:val="20"/>
          <w:color w:val="auto"/>
        </w:rPr>
      </w:pPr>
    </w:p>
    <w:p>
      <w:pPr>
        <w:ind w:right="80" w:firstLine="297"/>
        <w:spacing w:after="0" w:line="300" w:lineRule="auto"/>
        <w:rPr>
          <w:sz w:val="20"/>
          <w:szCs w:val="20"/>
          <w:color w:val="auto"/>
        </w:rPr>
      </w:pPr>
      <w:r>
        <w:rPr>
          <w:rFonts w:ascii="Arial" w:cs="Arial" w:eastAsia="Arial" w:hAnsi="Arial"/>
          <w:sz w:val="15"/>
          <w:szCs w:val="15"/>
          <w:color w:val="auto"/>
        </w:rPr>
        <w:t>Non-transferability of awards. Unless the administrator provides otherwise, Clover’s 2014 Plan generally does not allow for the transfer of awards other than by will or the laws of descent and distribution and only the recipient of an option right may exercise such an award during his or her lifetime. Notwithstanding the foregoing, a non-qualified stock option may be assigned in connection with a participant’s estate plan or pursuant to a domestic relations order.</w:t>
      </w:r>
    </w:p>
    <w:p>
      <w:pPr>
        <w:spacing w:after="0" w:line="95"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Certain adjustments. In the event of certain corporate events or changes in Clover’s capitalization, to prevent diminution or enlargement of the benefits or potential benefits available under the 2014 Plan, the administrator will make adjustments to one or more of the number, kind and class of securities that may be delivered under the 2014 Plan and/or the number, kind, class and price of securities covered by each outstanding award.</w:t>
      </w:r>
    </w:p>
    <w:p>
      <w:pPr>
        <w:spacing w:after="0" w:line="112" w:lineRule="exact"/>
        <w:rPr>
          <w:sz w:val="20"/>
          <w:szCs w:val="20"/>
          <w:color w:val="auto"/>
        </w:rPr>
      </w:pPr>
    </w:p>
    <w:p>
      <w:pPr>
        <w:ind w:right="20" w:firstLine="297"/>
        <w:spacing w:after="0" w:line="278" w:lineRule="auto"/>
        <w:rPr>
          <w:sz w:val="20"/>
          <w:szCs w:val="20"/>
          <w:color w:val="auto"/>
        </w:rPr>
      </w:pPr>
      <w:r>
        <w:rPr>
          <w:rFonts w:ascii="Arial" w:cs="Arial" w:eastAsia="Arial" w:hAnsi="Arial"/>
          <w:sz w:val="15"/>
          <w:szCs w:val="15"/>
          <w:color w:val="auto"/>
        </w:rPr>
        <w:t>Corporate event. The 2014 Plan provides that upon or in anticipation of any change in control (as defined in the 2014 Plan) of Clover or any of its affiliates or any other merger, consolidation, reorganization or other corporate transaction involving Clover or any of its affiliates including, without limitation, a transaction which results in Clover becoming a subsidiary of a corporate parent (each, a “Corporate Event”), the administrator may, in its sole and absolute discretion and without the need for the consent of any participant, take one or more of the following actions contingent upon the occurrence of that Corporate Event with respect to stock options, restricted stock and restricted stock units granted under the 2014 Plan: (i) cause any or all outstanding options held by participants affected by the Corporate Event to become vested and immediately exercisable, in whole or in part; (ii) cause any or all outstanding unvested options held by participants affected by the Corporate Event to be cancelled without consideration therefor; (iii) cause any or all restricted stock or restricted stock units held by participants affected by the Corporate Event to become non-forfeitable, in whole or in part; (iv) cause any option to be assumed or cancelled in exchange for a substitute option; (v) cancel any restricted stock or restricted stock unit held by a participant affected by the Corporate Event in exchange for restricted stock or restricted stock unit in respect of the capital stock of any successor or parent corporation; (vi) redeem any restricted stock held by a participant affected by the Corporate Event for cash and/or other substitute consideration with a value equal to the fair market value of an unrestricted share on the date of the Corporate Event; (vii) cancel any option held by a participant affected by the Corporate Event in exchange for cash and/or other substitute consideration with a value equal to (A) the number of shares subject to that option, multiplied by (B) the difference, if any, between the fair market value per share on the date of the Corporate Event and the exercise price of that option; provided, that if the fair market value per share on the date of the Corporate Event does not exceed the exercise price of any such option, the Board may cancel that option without any payment of consideration therefor; and (viii) cancel any restricted stock unit held by a participant affected by the Corporate Event in exchange for cash and/or other substitute consideration with a value equal to the fair market value per share on the date of the Corporate Event.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Equity Awards Under the 2014 Plan Granted in Connection with the Business Combination</w:t>
      </w:r>
    </w:p>
    <w:p>
      <w:pPr>
        <w:spacing w:after="0" w:line="162" w:lineRule="exact"/>
        <w:rPr>
          <w:sz w:val="20"/>
          <w:szCs w:val="20"/>
          <w:color w:val="auto"/>
        </w:rPr>
      </w:pPr>
    </w:p>
    <w:p>
      <w:pPr>
        <w:ind w:right="40" w:firstLine="297"/>
        <w:spacing w:after="0" w:line="290" w:lineRule="auto"/>
        <w:rPr>
          <w:sz w:val="20"/>
          <w:szCs w:val="20"/>
          <w:color w:val="auto"/>
        </w:rPr>
      </w:pPr>
      <w:r>
        <w:rPr>
          <w:rFonts w:ascii="Arial" w:cs="Arial" w:eastAsia="Arial" w:hAnsi="Arial"/>
          <w:sz w:val="16"/>
          <w:szCs w:val="16"/>
          <w:color w:val="auto"/>
        </w:rPr>
        <w:t>Clover’s board of directors granted the following stock awards under the 2014 Plan effective immediately prior to the Closing to Mr. Garipalli and Mr. Toy (the “Pre-Closing Founder Grants”).</w:t>
      </w:r>
    </w:p>
    <w:p>
      <w:pPr>
        <w:spacing w:after="0" w:line="99" w:lineRule="exact"/>
        <w:rPr>
          <w:sz w:val="20"/>
          <w:szCs w:val="20"/>
          <w:color w:val="auto"/>
        </w:rPr>
      </w:pPr>
    </w:p>
    <w:p>
      <w:pPr>
        <w:ind w:left="600" w:right="440" w:hanging="304"/>
        <w:spacing w:after="0" w:line="290" w:lineRule="auto"/>
        <w:tabs>
          <w:tab w:leader="none" w:pos="596" w:val="left"/>
        </w:tabs>
        <w:numPr>
          <w:ilvl w:val="0"/>
          <w:numId w:val="68"/>
        </w:numPr>
        <w:rPr>
          <w:rFonts w:ascii="Arial" w:cs="Arial" w:eastAsia="Arial" w:hAnsi="Arial"/>
          <w:sz w:val="16"/>
          <w:szCs w:val="16"/>
          <w:color w:val="auto"/>
        </w:rPr>
      </w:pPr>
      <w:r>
        <w:rPr>
          <w:rFonts w:ascii="Arial" w:cs="Arial" w:eastAsia="Arial" w:hAnsi="Arial"/>
          <w:sz w:val="16"/>
          <w:szCs w:val="16"/>
          <w:color w:val="auto"/>
        </w:rPr>
        <w:t>Garipalli Performance-Based Award –Clover granted Mr. Garipalli, a performance-based RSU award covering 7,164,581 shares of Class B common stock, which will vest and become settled by satisfying each of the following two conditions:</w:t>
      </w:r>
    </w:p>
    <w:p>
      <w:pPr>
        <w:spacing w:after="0" w:line="99" w:lineRule="exact"/>
        <w:rPr>
          <w:rFonts w:ascii="Arial" w:cs="Arial" w:eastAsia="Arial" w:hAnsi="Arial"/>
          <w:sz w:val="16"/>
          <w:szCs w:val="16"/>
          <w:color w:val="auto"/>
        </w:rPr>
      </w:pPr>
    </w:p>
    <w:p>
      <w:pPr>
        <w:ind w:left="1180" w:right="560" w:hanging="588"/>
        <w:spacing w:after="0" w:line="290" w:lineRule="auto"/>
        <w:tabs>
          <w:tab w:leader="none" w:pos="1174" w:val="left"/>
        </w:tabs>
        <w:numPr>
          <w:ilvl w:val="1"/>
          <w:numId w:val="68"/>
        </w:numPr>
        <w:rPr>
          <w:rFonts w:ascii="Arial" w:cs="Arial" w:eastAsia="Arial" w:hAnsi="Arial"/>
          <w:sz w:val="16"/>
          <w:szCs w:val="16"/>
          <w:color w:val="auto"/>
        </w:rPr>
      </w:pPr>
      <w:r>
        <w:rPr>
          <w:rFonts w:ascii="Arial" w:cs="Arial" w:eastAsia="Arial" w:hAnsi="Arial"/>
          <w:sz w:val="16"/>
          <w:szCs w:val="16"/>
          <w:color w:val="auto"/>
        </w:rPr>
        <w:t>Service - 20% will vest on each anniversary of the Closing, subject to Mr. Garipalli’s continued service to us as our CEO, Co-CEO or Executive Chairman through each vesting date; and</w:t>
      </w:r>
    </w:p>
    <w:p>
      <w:pPr>
        <w:spacing w:after="0" w:line="99" w:lineRule="exact"/>
        <w:rPr>
          <w:rFonts w:ascii="Arial" w:cs="Arial" w:eastAsia="Arial" w:hAnsi="Arial"/>
          <w:sz w:val="16"/>
          <w:szCs w:val="16"/>
          <w:color w:val="auto"/>
        </w:rPr>
      </w:pPr>
    </w:p>
    <w:p>
      <w:pPr>
        <w:ind w:left="1180" w:hanging="588"/>
        <w:spacing w:after="0" w:line="274" w:lineRule="auto"/>
        <w:tabs>
          <w:tab w:leader="none" w:pos="1174" w:val="left"/>
        </w:tabs>
        <w:numPr>
          <w:ilvl w:val="1"/>
          <w:numId w:val="68"/>
        </w:numPr>
        <w:rPr>
          <w:rFonts w:ascii="Arial" w:cs="Arial" w:eastAsia="Arial" w:hAnsi="Arial"/>
          <w:sz w:val="16"/>
          <w:szCs w:val="16"/>
          <w:color w:val="auto"/>
        </w:rPr>
      </w:pPr>
      <w:r>
        <w:rPr>
          <w:rFonts w:ascii="Arial" w:cs="Arial" w:eastAsia="Arial" w:hAnsi="Arial"/>
          <w:sz w:val="16"/>
          <w:szCs w:val="16"/>
          <w:color w:val="auto"/>
        </w:rPr>
        <w:t>Performance - Measured beginning after the first anniversary of the Closing, 50% will vest upon our volume-weighted average stock closing price reaching $20 for 90 consecutive calendar days, and the remaining 50% will vest upon our volume-weighted average stock closing price reaching $25 for 90 consecutive calendar days; provided all such vesting occurs within 5 years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3" w:lineRule="exact"/>
        <w:rPr>
          <w:sz w:val="20"/>
          <w:szCs w:val="20"/>
          <w:color w:val="auto"/>
        </w:rPr>
      </w:pPr>
    </w:p>
    <w:p>
      <w:pPr>
        <w:ind w:left="600" w:right="40" w:hanging="304"/>
        <w:spacing w:after="0" w:line="290" w:lineRule="auto"/>
        <w:tabs>
          <w:tab w:leader="none" w:pos="596"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Toy Performance-Based Award - Clover granted Mr. Toy, a performance-based RSU award covering 3,582,291 shares of Class B common stock, which will vest and become settled by satisfying each of the following two conditions:</w:t>
      </w:r>
    </w:p>
    <w:p>
      <w:pPr>
        <w:spacing w:after="0" w:line="99" w:lineRule="exact"/>
        <w:rPr>
          <w:rFonts w:ascii="Arial" w:cs="Arial" w:eastAsia="Arial" w:hAnsi="Arial"/>
          <w:sz w:val="16"/>
          <w:szCs w:val="16"/>
          <w:color w:val="auto"/>
        </w:rPr>
      </w:pPr>
    </w:p>
    <w:p>
      <w:pPr>
        <w:ind w:left="1180" w:hanging="588"/>
        <w:spacing w:after="0"/>
        <w:tabs>
          <w:tab w:leader="none" w:pos="11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Service - 20% will vest on each anniversary of the Closing, subject to Mr. Toy’s continued service to us through each vesting date; and</w:t>
      </w:r>
    </w:p>
    <w:p>
      <w:pPr>
        <w:spacing w:after="0" w:line="162" w:lineRule="exact"/>
        <w:rPr>
          <w:rFonts w:ascii="Arial" w:cs="Arial" w:eastAsia="Arial" w:hAnsi="Arial"/>
          <w:sz w:val="16"/>
          <w:szCs w:val="16"/>
          <w:color w:val="auto"/>
        </w:rPr>
      </w:pPr>
    </w:p>
    <w:p>
      <w:pPr>
        <w:ind w:left="1180" w:right="320" w:hanging="588"/>
        <w:spacing w:after="0" w:line="290" w:lineRule="auto"/>
        <w:tabs>
          <w:tab w:leader="none" w:pos="1174" w:val="left"/>
        </w:tabs>
        <w:numPr>
          <w:ilvl w:val="1"/>
          <w:numId w:val="69"/>
        </w:numPr>
        <w:rPr>
          <w:rFonts w:ascii="Arial" w:cs="Arial" w:eastAsia="Arial" w:hAnsi="Arial"/>
          <w:sz w:val="16"/>
          <w:szCs w:val="16"/>
          <w:color w:val="auto"/>
        </w:rPr>
      </w:pPr>
      <w:r>
        <w:rPr>
          <w:rFonts w:ascii="Arial" w:cs="Arial" w:eastAsia="Arial" w:hAnsi="Arial"/>
          <w:sz w:val="16"/>
          <w:szCs w:val="16"/>
          <w:color w:val="auto"/>
        </w:rPr>
        <w:t>Performance - Measured beginning after the first anniversary of the Closing, 100% will vest upon our volume-weighted average stock closing price reaching $20 for 90 consecutive calendar days; provided such vesting occurs on or within 5 years of the Closing.</w:t>
      </w:r>
    </w:p>
    <w:p>
      <w:pPr>
        <w:spacing w:after="0" w:line="99"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In addition, upon a change in control as defined in the 2014 Plan (which did not include the Business Combination), the Pre-Closing Founder Grants will fully vest as to their service conditions, and if the per share value in the change in control equals or exceeds the required stock closing price under their performance conditions, the awards will also fully vest as to the applicable performance conditions. Any portion of the awards unvested at the consummation of the change in control will be forfeited. The Pre-Closing Founder Grants will also be subject to the terms and conditions of the employment agreements that Mr. Garipalli and Mr. Toy entered into with Clover Health as discussed in the section below entitled “—</w:t>
      </w:r>
      <w:r>
        <w:rPr>
          <w:rFonts w:ascii="Arial" w:cs="Arial" w:eastAsia="Arial" w:hAnsi="Arial"/>
          <w:sz w:val="15"/>
          <w:szCs w:val="15"/>
          <w:i w:val="1"/>
          <w:iCs w:val="1"/>
          <w:color w:val="auto"/>
        </w:rPr>
        <w:t>Executive Compensation Arrangements in Effect as of the Closing.</w:t>
      </w:r>
      <w:r>
        <w:rPr>
          <w:rFonts w:ascii="Arial" w:cs="Arial" w:eastAsia="Arial" w:hAnsi="Arial"/>
          <w:sz w:val="15"/>
          <w:szCs w:val="15"/>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Arrangements in Effect as of the Closing</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Vivek Garipalli</w:t>
      </w:r>
    </w:p>
    <w:p>
      <w:pPr>
        <w:spacing w:after="0" w:line="162" w:lineRule="exact"/>
        <w:rPr>
          <w:sz w:val="20"/>
          <w:szCs w:val="20"/>
          <w:color w:val="auto"/>
        </w:rPr>
      </w:pPr>
    </w:p>
    <w:p>
      <w:pPr>
        <w:ind w:right="340" w:firstLine="297"/>
        <w:spacing w:after="0" w:line="274" w:lineRule="auto"/>
        <w:rPr>
          <w:sz w:val="20"/>
          <w:szCs w:val="20"/>
          <w:color w:val="auto"/>
        </w:rPr>
      </w:pPr>
      <w:r>
        <w:rPr>
          <w:rFonts w:ascii="Arial" w:cs="Arial" w:eastAsia="Arial" w:hAnsi="Arial"/>
          <w:sz w:val="16"/>
          <w:szCs w:val="16"/>
          <w:color w:val="auto"/>
        </w:rPr>
        <w:t>In connection with the Closing, on December 31, 2020, Clover entered into an employment agreement with Mr. Garipalli, which was assumed by Clover Health, pursuant to which Mr. Garipalli serves as Clover Health’s Chief Executive Officer and will report directly to Clover Health’s board of directors. Mr. Garipalli’s employment under the employment agreement is at-will.</w:t>
      </w:r>
    </w:p>
    <w:p>
      <w:pPr>
        <w:spacing w:after="0" w:line="112"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Under his employment agreement, Mr. Garipalli is not initially entitled to an annual base salary or incentive cash bonus, but such cash compensation may be provided to him in the future at the discretion of the board of directors or compensation committee. Mr. Garipalli is eligible to participate in the health, welfare and fringe benefit plans provided by us to our employees.</w:t>
      </w:r>
    </w:p>
    <w:p>
      <w:pPr>
        <w:spacing w:after="0" w:line="112" w:lineRule="exact"/>
        <w:rPr>
          <w:sz w:val="20"/>
          <w:szCs w:val="20"/>
          <w:color w:val="auto"/>
        </w:rPr>
      </w:pPr>
    </w:p>
    <w:p>
      <w:pPr>
        <w:ind w:right="180" w:firstLine="297"/>
        <w:spacing w:after="0" w:line="292" w:lineRule="auto"/>
        <w:rPr>
          <w:sz w:val="20"/>
          <w:szCs w:val="20"/>
          <w:color w:val="auto"/>
        </w:rPr>
      </w:pPr>
      <w:r>
        <w:rPr>
          <w:rFonts w:ascii="Arial" w:cs="Arial" w:eastAsia="Arial" w:hAnsi="Arial"/>
          <w:sz w:val="15"/>
          <w:szCs w:val="15"/>
          <w:color w:val="auto"/>
        </w:rPr>
        <w:t>Pursuant to his employment agreement, we granted Mr. Garipalli two RSU awards as of the date of the Closing, which collectively covers 22,284,655 shares of our Class B common stock that represent four percent (4%) of the number of shares of all classes of our common stock as of the Closing (together, the “Garipalli Management Plan RSUs”). The vesting schedule and other terms of the Garipalli Management Plan RSUs are described in the below sections entitled “—</w:t>
      </w:r>
      <w:r>
        <w:rPr>
          <w:rFonts w:ascii="Arial" w:cs="Arial" w:eastAsia="Arial" w:hAnsi="Arial"/>
          <w:sz w:val="15"/>
          <w:szCs w:val="15"/>
          <w:i w:val="1"/>
          <w:iCs w:val="1"/>
          <w:color w:val="auto"/>
        </w:rPr>
        <w:t>Management</w:t>
      </w:r>
      <w:r>
        <w:rPr>
          <w:rFonts w:ascii="Arial" w:cs="Arial" w:eastAsia="Arial" w:hAnsi="Arial"/>
          <w:sz w:val="15"/>
          <w:szCs w:val="15"/>
          <w:color w:val="auto"/>
        </w:rPr>
        <w:t xml:space="preserve"> </w:t>
      </w:r>
      <w:r>
        <w:rPr>
          <w:rFonts w:ascii="Arial" w:cs="Arial" w:eastAsia="Arial" w:hAnsi="Arial"/>
          <w:sz w:val="15"/>
          <w:szCs w:val="15"/>
          <w:i w:val="1"/>
          <w:iCs w:val="1"/>
          <w:color w:val="auto"/>
        </w:rPr>
        <w:t>Incentive Plan—Garipalli Time-Based Award</w:t>
      </w:r>
      <w:r>
        <w:rPr>
          <w:rFonts w:ascii="Arial" w:cs="Arial" w:eastAsia="Arial" w:hAnsi="Arial"/>
          <w:sz w:val="15"/>
          <w:szCs w:val="15"/>
          <w:color w:val="auto"/>
        </w:rPr>
        <w:t>” and “—</w:t>
      </w:r>
      <w:r>
        <w:rPr>
          <w:rFonts w:ascii="Arial" w:cs="Arial" w:eastAsia="Arial" w:hAnsi="Arial"/>
          <w:sz w:val="15"/>
          <w:szCs w:val="15"/>
          <w:i w:val="1"/>
          <w:iCs w:val="1"/>
          <w:color w:val="auto"/>
        </w:rPr>
        <w:t>Management Incentive Plan—Garipalli Performance-Based Award</w:t>
      </w:r>
      <w:r>
        <w:rPr>
          <w:rFonts w:ascii="Arial" w:cs="Arial" w:eastAsia="Arial" w:hAnsi="Arial"/>
          <w:sz w:val="15"/>
          <w:szCs w:val="15"/>
          <w:color w:val="auto"/>
        </w:rPr>
        <w:t>.”</w:t>
      </w:r>
    </w:p>
    <w:p>
      <w:pPr>
        <w:spacing w:after="0" w:line="100" w:lineRule="exact"/>
        <w:rPr>
          <w:sz w:val="20"/>
          <w:szCs w:val="20"/>
          <w:color w:val="auto"/>
        </w:rPr>
      </w:pPr>
    </w:p>
    <w:p>
      <w:pPr>
        <w:ind w:right="60" w:firstLine="297"/>
        <w:spacing w:after="0" w:line="292" w:lineRule="auto"/>
        <w:rPr>
          <w:sz w:val="20"/>
          <w:szCs w:val="20"/>
          <w:color w:val="auto"/>
        </w:rPr>
      </w:pPr>
      <w:r>
        <w:rPr>
          <w:rFonts w:ascii="Arial" w:cs="Arial" w:eastAsia="Arial" w:hAnsi="Arial"/>
          <w:sz w:val="15"/>
          <w:szCs w:val="15"/>
          <w:color w:val="auto"/>
        </w:rPr>
        <w:t>If Mr. Garipalli’s employment is terminated by the company without cause, or by Mr. Garipalli for good reason (each term as defined in his employment agreement) during the period beginning one month prior to and ending 12 months following a change in control (as defined in the 2020 Plan) subject to his execution and non-revocation of a general release of claims in our favor and continued compliance with customary confidentiality and non-solicitation requirements, then, in addition to any accrued amounts, Mr. Garipalli will be entitled to receive full accelerated vesting of all his outstanding and unvested equity awards.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purposes of Mr. Garipalli’s employment agreement:</w:t>
      </w:r>
    </w:p>
    <w:p>
      <w:pPr>
        <w:spacing w:after="0" w:line="162" w:lineRule="exact"/>
        <w:rPr>
          <w:sz w:val="20"/>
          <w:szCs w:val="20"/>
          <w:color w:val="auto"/>
        </w:rPr>
      </w:pPr>
    </w:p>
    <w:p>
      <w:pPr>
        <w:ind w:right="120" w:firstLine="297"/>
        <w:spacing w:after="0" w:line="268" w:lineRule="auto"/>
        <w:rPr>
          <w:sz w:val="20"/>
          <w:szCs w:val="20"/>
          <w:color w:val="auto"/>
        </w:rPr>
      </w:pPr>
      <w:r>
        <w:rPr>
          <w:rFonts w:ascii="Arial" w:cs="Arial" w:eastAsia="Arial" w:hAnsi="Arial"/>
          <w:sz w:val="16"/>
          <w:szCs w:val="16"/>
          <w:color w:val="auto"/>
        </w:rPr>
        <w:t>“Cause” is generally defined to mean, subject to certain notice requirements and cure rights, Mr. Garipalli’s: (i) gross negligence or willful misconduct in the performance of his duties or violation of any written company policy, (ii) commission of any act of fraud, theft, embezzlement, financial dishonesty, misappropriation or other willful misconduct that has caused or is reasonably expected to result in injury to the company, (iii) conviction of, or pleading guilty or nolo contendere to, any felony or a lesser crime involving dishonesty or moral turpitude,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3"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unlawful use (including being under the influence) or possession of illegal drugs on the premises of the company or while performing his duties, (v) unauthorized use or disclosure of any proprietary information or trade secrets of the company or any party to whom he owes an obligation of nondisclosure from his relationship with the company, or (vi) his material breach of any obligations under any written agreement with the company.</w:t>
      </w:r>
    </w:p>
    <w:p>
      <w:pPr>
        <w:spacing w:after="0" w:line="112"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auto"/>
        </w:rPr>
        <w:t>“Good reason” is generally defined to mean, subject to certain notice requirements and cure rights: (i) a material reduction of his duties, authority or responsibilities relative to immediately prior to such reduction, provided that a reduction solely by virtue of the company being acquired and made part of a larger entity will not constitute “good reason,” (ii) a material reduction in base salary (except where applicable to all similarly situated executive officers), provided, that a reduction of less than 10 percent will not be considered material, (iii) a material change in the geographic location of his primary work facility or location, provided, that a relocation of less than 50 miles from his then-present work location will not be considered material, or (v) a material breach by the company of a material provision of his employment agreement.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Andrew Toy</w:t>
      </w:r>
    </w:p>
    <w:p>
      <w:pPr>
        <w:spacing w:after="0" w:line="162"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In connection with the Closing, on December 31, 2020, Clover entered into an employment agreement with Mr. Toy, which was assumed by Clover Health, pursuant to which Mr. Toy serves as Clover Health’s President and Chief Technology Officer and will report directly to Mr. Garipalli. Mr. Toy’s employment under the employment agreement is at-will.</w:t>
      </w:r>
    </w:p>
    <w:p>
      <w:pPr>
        <w:spacing w:after="0" w:line="112"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Under his employment agreement, Mr. Toy will receive an initial annual base salary of $450,000 and will be eligible to receive an annual cash incentive bonus targeted at 100 percent (100%) of Mr. Toy’s then-current annual base salary. The actual amount of any such bonus will be determined by reference to the attainment of applicable Clover Health and/or individual performance objectives, as determined by the board of directors or compensation committee. Mr. Toy’s annual base salary and cash incentive bonus target percentage may be adjusted in the future at the discretion of the board of directors or compensation committee. Mr. Toy is also eligible to participate in the health, welfare and fringe benefit plans provided by us to our employees.</w:t>
      </w:r>
    </w:p>
    <w:p>
      <w:pPr>
        <w:spacing w:after="0" w:line="118" w:lineRule="exact"/>
        <w:rPr>
          <w:sz w:val="20"/>
          <w:szCs w:val="20"/>
          <w:color w:val="auto"/>
        </w:rPr>
      </w:pPr>
    </w:p>
    <w:p>
      <w:pPr>
        <w:ind w:right="160" w:firstLine="297"/>
        <w:spacing w:after="0" w:line="268" w:lineRule="auto"/>
        <w:rPr>
          <w:sz w:val="20"/>
          <w:szCs w:val="20"/>
          <w:color w:val="auto"/>
        </w:rPr>
      </w:pPr>
      <w:r>
        <w:rPr>
          <w:rFonts w:ascii="Arial" w:cs="Arial" w:eastAsia="Arial" w:hAnsi="Arial"/>
          <w:sz w:val="16"/>
          <w:szCs w:val="16"/>
          <w:color w:val="auto"/>
        </w:rPr>
        <w:t>Pursuant to the employment agreement, we granted Mr. Toy, an RSU award under the Management Incentive Plan as of the date of the Closing that covers 11,142,328 shares of our Class B common stock (the “Toy Management Plan RSUs”). The vesting schedule and other terms of the Toy Management Plan RSUs are described in the below section entitled “—Management Incentive Plan—Toy Performance-Based Award.” Mr. Toy will also be eligible for future equity awards from us under the 2020 Plan as determined by the board of directors or the compensation committee in their discretion.</w:t>
      </w:r>
    </w:p>
    <w:p>
      <w:pPr>
        <w:spacing w:after="0" w:line="118"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Effective as of the Closing Date, Mr. Toy also received vesting in full of his option granted on February 4, 2020 for 3,669,607 shares of Clover common stock (on an as-converted basis) under the 2014 Plan.</w:t>
      </w:r>
    </w:p>
    <w:p>
      <w:pPr>
        <w:spacing w:after="0" w:line="99"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If Mr. Toy’s employment is terminated by us without cause, or by Mr. Toy for good reason (each term as defined in his employment agreement), subject to his execution and non-revocation of a general release of claims in our favor and continued compliance with customary confidentiality and non-solicitation requirements, then, in addition to any accrued amounts, Mr. Toy will be entitled to receive the following severance payments and benefits: (i) an amount equal to Mr. Toy’s annual base salary then in effect and (ii) continued health care coverage for 12 months after the termination date. In addition, if Mr. Toy terminates his employment due to the failure to promote him to Chief Executive Officer immediately following the resignation or termination of Mr. Garipalli as our Chief Executive Officer, he will receive full accelerated vesting of all outstanding and unvested equity awards of Clover Health.</w:t>
      </w:r>
    </w:p>
    <w:p>
      <w:pPr>
        <w:spacing w:after="0" w:line="121"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However, if either such termination of employment occurs during the period beginning one month prior to and ending 12 months following a change in control (as defined in the 2020 Plan), subject to his execution and non-revocation a general release of claims in our favor and continued compliance with restrictive covenants, then, in addition to any accrued amounts, Mr. Toy instead will be entitled to receive the following severance payments and benefits: (i) an amount equal to one and one-half times Mr. Toy’s annual base salary then in effect, (ii) continued health care coverage for 18 months after the termination date and (iii) full accelerated vesting of all outstanding and unvested equity awards of Clover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3" w:lineRule="exact"/>
        <w:rPr>
          <w:sz w:val="20"/>
          <w:szCs w:val="20"/>
          <w:color w:val="auto"/>
        </w:rPr>
      </w:pPr>
    </w:p>
    <w:p>
      <w:pPr>
        <w:ind w:right="340" w:firstLine="297"/>
        <w:spacing w:after="0" w:line="290" w:lineRule="auto"/>
        <w:rPr>
          <w:sz w:val="20"/>
          <w:szCs w:val="20"/>
          <w:color w:val="auto"/>
        </w:rPr>
      </w:pPr>
      <w:r>
        <w:rPr>
          <w:rFonts w:ascii="Arial" w:cs="Arial" w:eastAsia="Arial" w:hAnsi="Arial"/>
          <w:sz w:val="16"/>
          <w:szCs w:val="16"/>
          <w:color w:val="auto"/>
        </w:rPr>
        <w:t>In Mr. Toy’s employment agreement, “cause” has the same definition as Mr. Garipalli’s described above. “Good reason,” for purposes of Mr. Toy’s employment agreement is defined as follows:</w:t>
      </w:r>
    </w:p>
    <w:p>
      <w:pPr>
        <w:spacing w:after="0" w:line="99" w:lineRule="exact"/>
        <w:rPr>
          <w:sz w:val="20"/>
          <w:szCs w:val="20"/>
          <w:color w:val="auto"/>
        </w:rPr>
      </w:pPr>
    </w:p>
    <w:p>
      <w:pPr>
        <w:ind w:right="80" w:firstLine="297"/>
        <w:spacing w:after="0" w:line="285" w:lineRule="auto"/>
        <w:rPr>
          <w:sz w:val="20"/>
          <w:szCs w:val="20"/>
          <w:color w:val="auto"/>
        </w:rPr>
      </w:pPr>
      <w:r>
        <w:rPr>
          <w:rFonts w:ascii="Arial" w:cs="Arial" w:eastAsia="Arial" w:hAnsi="Arial"/>
          <w:sz w:val="15"/>
          <w:szCs w:val="15"/>
          <w:color w:val="auto"/>
        </w:rPr>
        <w:t>“Good reason” is generally defined to mean, subject to certain notice requirements and cure rights: (i) the failure to promote or appoint him, in good faith, to Chief Executive Officer, immediately after the resignation or termination of Mr. Garipalli as Chief Executive Officer, (ii) a material reduction of his duties, authority or responsibilities relative to immediately prior to such reduction, (iii) any change of title (unless to Chief Executive Officer following the resignation of Mr. Garipalli), including a title change related to an acquisition by a larger entity, (iv) a material reduction in his base salary (except where applicable to all similarly situated executive officers), provided, that a reduction of less than ten percent will not be considered material, (v) any requirement for him to report to a work facility or location other than his home office or required business travel, or (iv) a material breach by the company of a material provision of his employment agreement.</w:t>
      </w:r>
    </w:p>
    <w:p>
      <w:pPr>
        <w:spacing w:after="0" w:line="106" w:lineRule="exact"/>
        <w:rPr>
          <w:sz w:val="20"/>
          <w:szCs w:val="20"/>
          <w:color w:val="auto"/>
        </w:rPr>
      </w:pPr>
    </w:p>
    <w:p>
      <w:pPr>
        <w:ind w:right="100" w:firstLine="297"/>
        <w:spacing w:after="0" w:line="300" w:lineRule="auto"/>
        <w:rPr>
          <w:sz w:val="20"/>
          <w:szCs w:val="20"/>
          <w:color w:val="auto"/>
        </w:rPr>
      </w:pPr>
      <w:r>
        <w:rPr>
          <w:rFonts w:ascii="Arial" w:cs="Arial" w:eastAsia="Arial" w:hAnsi="Arial"/>
          <w:sz w:val="15"/>
          <w:szCs w:val="15"/>
          <w:color w:val="auto"/>
        </w:rPr>
        <w:t>Mr. Garapalli’s and Mr. Toy’s employment agreements both require customary confidentiality, invention assignment and non-solicitation agreements, and include “best pay” provisions under Section 280G of the Code, pursuant to which any parachute payments that become payable to Mr. Garipalli or Mr. Toy will either be paid in full or reduced such that the payments are not subject to the excise tax under Section 4999 of the Code, whichever results in the better after-tax treatment.</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Gia Lee</w:t>
      </w:r>
    </w:p>
    <w:p>
      <w:pPr>
        <w:spacing w:after="0" w:line="162" w:lineRule="exact"/>
        <w:rPr>
          <w:sz w:val="20"/>
          <w:szCs w:val="20"/>
          <w:color w:val="auto"/>
        </w:rPr>
      </w:pPr>
    </w:p>
    <w:p>
      <w:pPr>
        <w:jc w:val="both"/>
        <w:ind w:right="120" w:firstLine="297"/>
        <w:spacing w:after="0" w:line="300" w:lineRule="auto"/>
        <w:rPr>
          <w:sz w:val="20"/>
          <w:szCs w:val="20"/>
          <w:color w:val="auto"/>
        </w:rPr>
      </w:pPr>
      <w:r>
        <w:rPr>
          <w:rFonts w:ascii="Arial" w:cs="Arial" w:eastAsia="Arial" w:hAnsi="Arial"/>
          <w:sz w:val="15"/>
          <w:szCs w:val="15"/>
          <w:color w:val="auto"/>
        </w:rPr>
        <w:t>We expect to enter into an employment agreement with Ms. Lee, pursuant to which Ms. Lee will serve as our General Counsel and will report directly to our Chief Executive Officer. We anticipate her agreement will establish, among other things, her base salary, target bonus opportunity, and standard employee benefits. Until then, the terms of Ms. Lee’s current offer letter as described above in “—Executive Compensation Arrangements in Effect Prior to the Closing” will continue to apply.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2020 Equity Incentive Plan</w:t>
      </w:r>
    </w:p>
    <w:p>
      <w:pPr>
        <w:spacing w:after="0" w:line="162"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On October 5, 2020, SCH’s board of directors adopted, and on January 6, 2021, our stockholders approved the 2020 Equity Incentive Plan (the “2020 Plan”). The 2020 Plan became effective on January 6, 2021.</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Purpose</w:t>
      </w:r>
    </w:p>
    <w:p>
      <w:pPr>
        <w:spacing w:after="0" w:line="162" w:lineRule="exact"/>
        <w:rPr>
          <w:sz w:val="20"/>
          <w:szCs w:val="20"/>
          <w:color w:val="auto"/>
        </w:rPr>
      </w:pPr>
    </w:p>
    <w:p>
      <w:pPr>
        <w:ind w:right="60" w:firstLine="297"/>
        <w:spacing w:after="0" w:line="287" w:lineRule="auto"/>
        <w:rPr>
          <w:sz w:val="20"/>
          <w:szCs w:val="20"/>
          <w:color w:val="auto"/>
        </w:rPr>
      </w:pPr>
      <w:r>
        <w:rPr>
          <w:rFonts w:ascii="Arial" w:cs="Arial" w:eastAsia="Arial" w:hAnsi="Arial"/>
          <w:sz w:val="15"/>
          <w:szCs w:val="15"/>
          <w:color w:val="auto"/>
        </w:rPr>
        <w:t>The 2020 Plan is intended to (i) attract and retain the best available personnel to ensure our success and accomplish our goals; (ii) incentivize employees, directors and independent contractors with long-term equity-based compensation to align their interests with our shareholders, and (iii) promote the success of our business. The 2020 Plan is intended to replace the 2014 Plan. Clover board of directors terminated the 2014 Plan, effective as of the Closing Date. No additional stock awards will be granted under the 2014 Plan, although all outstanding stock awards granted under the 2014 Plan immediately prior to the Closing were assumed by us and continue to be subject to the terms and conditions as set forth in the agreements evidencing such stock awards and the terms of the 2014 Plan.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Types of Stock Awards</w:t>
      </w:r>
    </w:p>
    <w:p>
      <w:pPr>
        <w:spacing w:after="0" w:line="162" w:lineRule="exact"/>
        <w:rPr>
          <w:sz w:val="20"/>
          <w:szCs w:val="20"/>
          <w:color w:val="auto"/>
        </w:rPr>
      </w:pPr>
    </w:p>
    <w:p>
      <w:pPr>
        <w:ind w:right="140" w:firstLine="297"/>
        <w:spacing w:after="0" w:line="290" w:lineRule="auto"/>
        <w:rPr>
          <w:sz w:val="20"/>
          <w:szCs w:val="20"/>
          <w:color w:val="auto"/>
        </w:rPr>
      </w:pPr>
      <w:r>
        <w:rPr>
          <w:rFonts w:ascii="Arial" w:cs="Arial" w:eastAsia="Arial" w:hAnsi="Arial"/>
          <w:sz w:val="16"/>
          <w:szCs w:val="16"/>
          <w:color w:val="auto"/>
        </w:rPr>
        <w:t>The 2020 Plan permits the grant of incentive stock options, nonstatutory stock options, stock appreciation rights (“SARs”), restricted stock, RSUs, and stock bonus awards (all such types of awards, collectively, “stock awards”).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Share Reserve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Number of Shares</w:t>
      </w:r>
    </w:p>
    <w:p>
      <w:pPr>
        <w:spacing w:after="0" w:line="162" w:lineRule="exact"/>
        <w:rPr>
          <w:sz w:val="20"/>
          <w:szCs w:val="20"/>
          <w:color w:val="auto"/>
        </w:rPr>
      </w:pPr>
    </w:p>
    <w:p>
      <w:pPr>
        <w:jc w:val="both"/>
        <w:ind w:firstLine="297"/>
        <w:spacing w:after="0" w:line="274" w:lineRule="auto"/>
        <w:rPr>
          <w:sz w:val="20"/>
          <w:szCs w:val="20"/>
          <w:color w:val="auto"/>
        </w:rPr>
      </w:pPr>
      <w:r>
        <w:rPr>
          <w:rFonts w:ascii="Arial" w:cs="Arial" w:eastAsia="Arial" w:hAnsi="Arial"/>
          <w:sz w:val="16"/>
          <w:szCs w:val="16"/>
          <w:color w:val="auto"/>
        </w:rPr>
        <w:t>Subject to adjustments as set forth in the 2020 Plan, the maximum aggregate number of shares of our Class A common stock that may be issued under the 2020 Plan is 30,641,401 shares. The shares may be authorized, but unissued, or reacquired Class A common stock. Furthermore, subject to adjustments as set forth in the 2020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no event will the maximum aggregate number of shares that may be issued under the 2020 Plan pursuant to incentive stock options exceed the number set forth above.</w:t>
      </w:r>
    </w:p>
    <w:p>
      <w:pPr>
        <w:spacing w:after="0" w:line="174"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The number of shares available for issuance under the 2020 Plan will be increased on the first day of each fiscal year beginning with the 2022 fiscal year in an amount equal to the lessor of (i) seven percent (7%) of the outstanding shares on the last day of the immediately preceding fiscal year and (ii) such number of shares determined by the board of directors; provided that for each fiscal year beginning with the 2025 fiscal year through the fiscal year that includes the expiration date of the 2020 Plan, each such increase shall be reduced to the lessor of five percent (5%) of the outstanding shares on the last day of the immediately preceding fiscal year or such number of shares determined by our board of directors.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Lapsed Awards</w:t>
      </w:r>
    </w:p>
    <w:p>
      <w:pPr>
        <w:spacing w:after="0" w:line="162"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If all or any part of a stock award expires, lapses or is terminated, exchanged for or settled in cash, surrendered, repurchased, or cancelled without having been fully exercised or forfeited, in any case, in a manner that results in us acquiring shares covered by the stock award at a price not greater than the price (as adjusted pursuant to the 2020 Plan) paid by the participant for such shares or not issuing any shares covered by the stock award, the unused shares covered by the stock award will, as applicable, become or again be available for stock award grants under the 2020 Plan. The payment of dividend equivalents in cash in conjunction with any outstanding stock awards shall not count against the share limit set forth in the 2020 Plan. Notwithstanding anything to the contrary contained herein, the following shares shall not be added to the shares authorized for grant under the 2020 Plan and shall not be available for future grants of stock awards: (i) shares subject to a SAR that are not issued in connection with the stock settlement of the SAR on exercise thereof; and (ii) shares purchased on the open market with the cash proceeds from the exercise of stock options; and (iii) shares delivered (either by actual delivery or attestation) to us by a participant to satisfy the applicable exercise or purchase price of a stock award and/or to satisfy any applicable tax withholding obligation with respect to a stock award (including shares retained by us from the stock award being exercised or purchased and/or creating the tax obligation).</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Assumption or Substitution of Awards by the Company</w:t>
      </w:r>
    </w:p>
    <w:p>
      <w:pPr>
        <w:spacing w:after="0" w:line="16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6"/>
          <w:szCs w:val="16"/>
          <w:color w:val="auto"/>
        </w:rPr>
        <w:t>The Plan Administrator (as defined below), from time to time, may determine to substitute or assume outstanding awards granted by another company, in connection with an acquisition, merger or consolidation of such other company, by either: (a) assuming such award under the 2020 Plan or (b) granting an award under the 2020 Plan in substitution of such other company’s award. Any awards that are assumed or substituted under the 2020 Plan will not reduce the number of shares authorized for grant under the Plan or authorized for grant to a participant in any fiscal year.</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Eligibility</w:t>
      </w:r>
    </w:p>
    <w:p>
      <w:pPr>
        <w:spacing w:after="0" w:line="162" w:lineRule="exact"/>
        <w:rPr>
          <w:sz w:val="20"/>
          <w:szCs w:val="20"/>
          <w:color w:val="auto"/>
        </w:rPr>
      </w:pPr>
    </w:p>
    <w:p>
      <w:pPr>
        <w:jc w:val="both"/>
        <w:ind w:right="40" w:firstLine="297"/>
        <w:spacing w:after="0" w:line="290" w:lineRule="auto"/>
        <w:rPr>
          <w:sz w:val="20"/>
          <w:szCs w:val="20"/>
          <w:color w:val="auto"/>
        </w:rPr>
      </w:pPr>
      <w:r>
        <w:rPr>
          <w:rFonts w:ascii="Arial" w:cs="Arial" w:eastAsia="Arial" w:hAnsi="Arial"/>
          <w:sz w:val="16"/>
          <w:szCs w:val="16"/>
          <w:color w:val="auto"/>
        </w:rPr>
        <w:t>Employees, directors and independent contractors of us or our affiliates are all eligible to participate in the 2020 Plan. Incentive stock options may only be granted to employees.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Administration</w:t>
      </w:r>
    </w:p>
    <w:p>
      <w:pPr>
        <w:spacing w:after="0" w:line="162"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The 2020 Plan must be administered by our board of directors or a committee thereof, which committee will be constituted to satisfy applicable laws (the “Plan Administrator”). Awards granted to an officer or director of Clover Health or any other person whose transactions in our Class A common stock are subject to Section 16 of the Exchange Act (each, an “Insider”) must be approved by two or more “non-employee directors” of the board of directors (as defined in the regulations promulgated under Section 16 of the Exchange Act). Currently, our compensation committee serves as the Plan Administrator.</w:t>
      </w:r>
    </w:p>
    <w:p>
      <w:pPr>
        <w:spacing w:after="0" w:line="118"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Subject to the terms of the 2020 Plan, the Plan Administrator has the authority, in its discretion, to (i) determine the fair market value in accordance with the 2020 Plan; (ii) select the service providers to whom stock awards may be granted under the 2020 Plan; (iii) determine the number of shares to be covered by each stock award granted under the 2020 Plan; (iv) approve forms of stock award agreements for use under the 2020 Plan; (v) determine the terms and conditions, not inconsistent with the terms of the 2020 Plan, of any stock award granted thereunder;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2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institute and determine the terms and conditions of an exchange program under the terms of the 2020 Plan (subject to shareholder approval); (vii) construe and interpret the terms of the 2020 Plan and stock awards granted pursuant to the 2020 Plan; (viii) correct any defect, supply any omission or reconcile any inconsistency in the 2020 Plan, any stock award or any stock award agreement; (ix) prescribe, amend and rescind rules and regulations relating to the 2020 Plan; (x) modify or amend each stock award (subject to the terms of the 2020 Plan); (xi) adjust performance goals applicable to a participant with respect to a stock award to take into account changes in applicable laws or in accounting or tax rules, or such other extraordinary events or circumstances; (xii) allow participants to satisfy tax withholding obligations in such manner as prescribed in the 2020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2020 Plan.</w:t>
      </w:r>
    </w:p>
    <w:p>
      <w:pPr>
        <w:spacing w:after="0" w:line="109"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However, to the extent permitted by applicable law and listing requirements, our board of directors or a committee thereof may delegate to one or more of our officers who may be (but are not required to be) Insiders, the authority to (a) designate employees who are not Insiders to be recipients of stock awards and determine the number of shares subject to stock awards granted to such designated employees, subject to certain restrictions that are set forth in the 2020 Plan and (b) take any and all actions on behalf of our board of directors or a committee thereof other than any actions that affect the amount or form of compensation of Insiders or have material tax, accounting, financial, human resource or legal consequences to us or our affiliates.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Stock Options</w:t>
      </w:r>
    </w:p>
    <w:p>
      <w:pPr>
        <w:spacing w:after="0" w:line="162"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Each stock option must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must be treated as nonstatutory stock options. Incentive stock options may only be granted to employees.</w:t>
      </w:r>
    </w:p>
    <w:p>
      <w:pPr>
        <w:spacing w:after="0" w:line="118"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The term of each stock option must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of our affiliates, the term of the incentive stock option will be 5 years from the date of grant or such shorter term as may be provided in the stock award agreement.</w:t>
      </w:r>
    </w:p>
    <w:p>
      <w:pPr>
        <w:spacing w:after="0" w:line="118"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of our affiliates,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and in a manner consistent with, Section 424(a) of the Code.</w:t>
      </w:r>
    </w:p>
    <w:p>
      <w:pPr>
        <w:spacing w:after="0" w:line="109"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At the time a stock option is granted, the Plan Administrator will fix the period within which the stock option may be exercised and will determine any conditions that must be satisfied before the stock option may be exercised. The Plan Administrator will also determine the acceptable form of consideration for exercising a stock option, including the method of payment. In the case of an incentive stock option, the Plan Administrator will determine the acceptable form of consideration at the time of grant.</w:t>
      </w:r>
    </w:p>
    <w:p>
      <w:pPr>
        <w:spacing w:after="0" w:line="118"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If a participant ceases to be a service provider other than for “Cause” (as defined in the 2020 Plan), the participant may exercise his or her stock option within such period of time as is specified in the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(as defined in the 2020 Plan), and three months following a termination for any other reason. Any outstanding stock option (including any vested portion thereof) held by a participant will immediately terminate in its entirety upon the participant being first notified of his or her termination for Cause and the participant will be prohibited from exercising his or her stock option from and after the date of such termination.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Stock Appreciation Rights (SARs)</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The Plan Administrator determines the terms and conditions of each SAR, provided that the exercise price for each SAR must be no less than 100% of the fair market value of the underlying shares of our Class A common stock on the date of grant. Upon exercise of a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in shares of equivalent value, or in some combination thereof, as determined by the Plan Administrator. SARs are exercisable at the times and on the terms established by the Plan Administrator.</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Restricted Stock and RSUs</w:t>
      </w:r>
    </w:p>
    <w:p>
      <w:pPr>
        <w:spacing w:after="0" w:line="162" w:lineRule="exact"/>
        <w:rPr>
          <w:sz w:val="20"/>
          <w:szCs w:val="20"/>
          <w:color w:val="auto"/>
        </w:rPr>
      </w:pPr>
    </w:p>
    <w:p>
      <w:pPr>
        <w:ind w:right="320" w:firstLine="297"/>
        <w:spacing w:after="0" w:line="266" w:lineRule="auto"/>
        <w:rPr>
          <w:sz w:val="20"/>
          <w:szCs w:val="20"/>
          <w:color w:val="auto"/>
        </w:rPr>
      </w:pPr>
      <w:r>
        <w:rPr>
          <w:rFonts w:ascii="Arial" w:cs="Arial" w:eastAsia="Arial" w:hAnsi="Arial"/>
          <w:sz w:val="16"/>
          <w:szCs w:val="16"/>
          <w:color w:val="auto"/>
        </w:rPr>
        <w:t>Restricted stock awards are grants of shares of our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our Class A common stock. Upon meeting the applicable vesting criteria, the participant will be entitled to receive a payout for his or her earned RSUs as determined by the Plan Administrator in the form of cash, shares, or a combination of both.</w:t>
      </w:r>
    </w:p>
    <w:p>
      <w:pPr>
        <w:spacing w:after="0" w:line="118"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In determining whether restricted stock or RSUs should be granted, and/or the vesting schedule for such a stock award, the Plan Administrator may impose whatever conditions on vesting as it determines to be appropriate.</w:t>
      </w:r>
    </w:p>
    <w:p>
      <w:pPr>
        <w:spacing w:after="0" w:line="99"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shares of restricted stock with respect to which they were paid.</w:t>
      </w:r>
    </w:p>
    <w:p>
      <w:pPr>
        <w:spacing w:after="0" w:line="118" w:lineRule="exact"/>
        <w:rPr>
          <w:sz w:val="20"/>
          <w:szCs w:val="20"/>
          <w:color w:val="auto"/>
        </w:rPr>
      </w:pPr>
    </w:p>
    <w:p>
      <w:pPr>
        <w:ind w:right="300" w:firstLine="297"/>
        <w:spacing w:after="0" w:line="325" w:lineRule="auto"/>
        <w:rPr>
          <w:sz w:val="20"/>
          <w:szCs w:val="20"/>
          <w:color w:val="auto"/>
        </w:rPr>
      </w:pPr>
      <w:r>
        <w:rPr>
          <w:rFonts w:ascii="Arial" w:cs="Arial" w:eastAsia="Arial" w:hAnsi="Arial"/>
          <w:sz w:val="15"/>
          <w:szCs w:val="15"/>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Stock Bonus Awards</w:t>
      </w:r>
    </w:p>
    <w:p>
      <w:pPr>
        <w:spacing w:after="0" w:line="162" w:lineRule="exact"/>
        <w:rPr>
          <w:sz w:val="20"/>
          <w:szCs w:val="20"/>
          <w:color w:val="auto"/>
        </w:rPr>
      </w:pPr>
    </w:p>
    <w:p>
      <w:pPr>
        <w:jc w:val="both"/>
        <w:ind w:right="20" w:firstLine="297"/>
        <w:spacing w:after="0" w:line="300" w:lineRule="auto"/>
        <w:rPr>
          <w:sz w:val="20"/>
          <w:szCs w:val="20"/>
          <w:color w:val="auto"/>
        </w:rPr>
      </w:pPr>
      <w:r>
        <w:rPr>
          <w:rFonts w:ascii="Arial" w:cs="Arial" w:eastAsia="Arial" w:hAnsi="Arial"/>
          <w:sz w:val="15"/>
          <w:szCs w:val="15"/>
          <w:color w:val="auto"/>
        </w:rPr>
        <w:t>A stock bonus award is an award of shares to an eligible person without a purchase price that is not subject to any restrictions. The Plan Administrator will determine the number of shares to be awarded to the participant under a stock bonus award. A stock bonus award may be paid in cash, whole shares, or a combination thereof, based on the fair market value of the shares subject to the stock bonus award on the date of payment, as determined in the sole discretion of the Plan Administrator.</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Performance Awards</w:t>
      </w:r>
    </w:p>
    <w:p>
      <w:pPr>
        <w:spacing w:after="0" w:line="162" w:lineRule="exact"/>
        <w:rPr>
          <w:sz w:val="20"/>
          <w:szCs w:val="20"/>
          <w:color w:val="auto"/>
        </w:rPr>
      </w:pPr>
    </w:p>
    <w:p>
      <w:pPr>
        <w:ind w:right="200" w:firstLine="297"/>
        <w:spacing w:after="0" w:line="268" w:lineRule="auto"/>
        <w:rPr>
          <w:sz w:val="20"/>
          <w:szCs w:val="20"/>
          <w:color w:val="auto"/>
        </w:rPr>
      </w:pPr>
      <w:r>
        <w:rPr>
          <w:rFonts w:ascii="Arial" w:cs="Arial" w:eastAsia="Arial" w:hAnsi="Arial"/>
          <w:sz w:val="16"/>
          <w:szCs w:val="16"/>
          <w:color w:val="auto"/>
        </w:rPr>
        <w:t>The Plan Administrator may grant stock options, SARs, restricted stock and RSUs that are subject to the satisfaction of specified performance criteria. The Plan Administrator determines the terms surrounding performance awards, including the required levels of performance with respect to specified business criteria (including any adjustment(s) thereto that will be applied in determining the achievement of such performance criteria), the corresponding amounts payable upon achievement of such levels of performance, and the termination and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provisions; provided that all performance criteria must be determined when the achievement of such criteria remains substantially uncertain.</w:t>
      </w:r>
    </w:p>
    <w:p>
      <w:pPr>
        <w:spacing w:after="0" w:line="162" w:lineRule="exact"/>
        <w:rPr>
          <w:sz w:val="20"/>
          <w:szCs w:val="20"/>
          <w:color w:val="auto"/>
        </w:rPr>
      </w:pPr>
    </w:p>
    <w:p>
      <w:pPr>
        <w:ind w:firstLine="297"/>
        <w:spacing w:after="0" w:line="260" w:lineRule="auto"/>
        <w:rPr>
          <w:sz w:val="20"/>
          <w:szCs w:val="20"/>
          <w:color w:val="auto"/>
        </w:rPr>
      </w:pPr>
      <w:r>
        <w:rPr>
          <w:rFonts w:ascii="Arial" w:cs="Arial" w:eastAsia="Arial" w:hAnsi="Arial"/>
          <w:sz w:val="16"/>
          <w:szCs w:val="16"/>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spacing w:after="0" w:line="129" w:lineRule="exact"/>
        <w:rPr>
          <w:sz w:val="20"/>
          <w:szCs w:val="20"/>
          <w:color w:val="auto"/>
        </w:rPr>
      </w:pPr>
    </w:p>
    <w:p>
      <w:pPr>
        <w:ind w:right="60" w:firstLine="297"/>
        <w:spacing w:after="0" w:line="287" w:lineRule="auto"/>
        <w:rPr>
          <w:sz w:val="20"/>
          <w:szCs w:val="20"/>
          <w:color w:val="auto"/>
        </w:rPr>
      </w:pPr>
      <w:r>
        <w:rPr>
          <w:rFonts w:ascii="Arial" w:cs="Arial" w:eastAsia="Arial" w:hAnsi="Arial"/>
          <w:sz w:val="15"/>
          <w:szCs w:val="15"/>
          <w:color w:val="auto"/>
        </w:rPr>
        <w:t>Performance goals may differ from participant to participant, performance period to performance period and from stock award to stock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the performance of us as a whole or against any of our affiliate(s), or a particular segment(s), a business unit(s) or a product(s) of us or individual project company, (v) on a pre-tax or after-tax basis, (vi) on a GAAP or non-GAAP basis, and/or (vii) using an actual foreign exchange rate or on a foreign exchange neutral basis.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Outside Director Limitations</w:t>
      </w:r>
    </w:p>
    <w:p>
      <w:pPr>
        <w:spacing w:after="0" w:line="162" w:lineRule="exact"/>
        <w:rPr>
          <w:sz w:val="20"/>
          <w:szCs w:val="20"/>
          <w:color w:val="auto"/>
        </w:rPr>
      </w:pPr>
    </w:p>
    <w:p>
      <w:pPr>
        <w:ind w:right="80" w:firstLine="297"/>
        <w:spacing w:after="0" w:line="285" w:lineRule="auto"/>
        <w:rPr>
          <w:sz w:val="20"/>
          <w:szCs w:val="20"/>
          <w:color w:val="auto"/>
        </w:rPr>
      </w:pPr>
      <w:r>
        <w:rPr>
          <w:rFonts w:ascii="Arial" w:cs="Arial" w:eastAsia="Arial" w:hAnsi="Arial"/>
          <w:sz w:val="15"/>
          <w:szCs w:val="15"/>
          <w:color w:val="auto"/>
        </w:rPr>
        <w:t>Stock awards granted during a single fiscal year under the 2020 Plan or otherwise, taken together with any cash fees paid during such fiscal year for services on the board of directors, will not exceed $1,000,000 in total value for any outside director serving as the lead director of the board of directors or chair of the board of directors and $750,000 in total value for any other outside director (calculating the value of any such stock awards based on the grant date fair value of such stock awards for financial reporting purposes). Such applicable limit will include the value of any stock awards that are received in lieu of all or a portion of any annual committee cash retainers or other similar cash-based payments. Stock awards granted to an individual while he or she was serving in the capacity as an employee or while he or she was an independent contractor but not an outside director will not count for purposes of these limits.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Leaves of Absence / Transfer Between Locations</w:t>
      </w:r>
    </w:p>
    <w:p>
      <w:pPr>
        <w:spacing w:after="0" w:line="162" w:lineRule="exact"/>
        <w:rPr>
          <w:sz w:val="20"/>
          <w:szCs w:val="20"/>
          <w:color w:val="auto"/>
        </w:rPr>
      </w:pPr>
    </w:p>
    <w:p>
      <w:pPr>
        <w:ind w:right="160" w:firstLine="297"/>
        <w:spacing w:after="0" w:line="263" w:lineRule="auto"/>
        <w:rPr>
          <w:sz w:val="20"/>
          <w:szCs w:val="20"/>
          <w:color w:val="auto"/>
        </w:rPr>
      </w:pPr>
      <w:r>
        <w:rPr>
          <w:rFonts w:ascii="Arial" w:cs="Arial" w:eastAsia="Arial" w:hAnsi="Arial"/>
          <w:sz w:val="16"/>
          <w:szCs w:val="16"/>
          <w:color w:val="auto"/>
        </w:rPr>
        <w:t>The Plan Administrator has the discretion to determine at any time whether and to what extent the vesting of stock awards will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of our affiliates. If an employee holds an incentive stock option and such leave exceeds three months then, for purposes of incentive stock option status only, such employee’s service as an employee will be deemed terminated on the first day following such three month period and the incentive stock option will thereafter automatically treated for tax purposes as a nonstatutory stock option in accordance with applicable laws, unless reemployment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expiration of such leave is guaranteed by contract or statute, or unless provided otherwise pursuant to a written company policy.</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Nontransferability of Stock Awards</w:t>
      </w:r>
    </w:p>
    <w:p>
      <w:pPr>
        <w:spacing w:after="0" w:line="162"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Clawback/Recovery</w:t>
      </w:r>
    </w:p>
    <w:p>
      <w:pPr>
        <w:spacing w:after="0" w:line="162" w:lineRule="exact"/>
        <w:rPr>
          <w:sz w:val="20"/>
          <w:szCs w:val="20"/>
          <w:color w:val="auto"/>
        </w:rPr>
      </w:pPr>
    </w:p>
    <w:p>
      <w:pPr>
        <w:ind w:right="140" w:firstLine="297"/>
        <w:spacing w:after="0" w:line="263" w:lineRule="auto"/>
        <w:rPr>
          <w:sz w:val="20"/>
          <w:szCs w:val="20"/>
          <w:color w:val="auto"/>
        </w:rPr>
      </w:pPr>
      <w:r>
        <w:rPr>
          <w:rFonts w:ascii="Arial" w:cs="Arial" w:eastAsia="Arial" w:hAnsi="Arial"/>
          <w:sz w:val="16"/>
          <w:szCs w:val="16"/>
          <w:color w:val="auto"/>
        </w:rPr>
        <w:t>The Plan Administrator may specify in a stock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2020 Plan, a stock award granted under the 2020 Plan will be subject to any clawback policy as may be established and/or amended from time to time by us.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Adjustment</w:t>
      </w:r>
    </w:p>
    <w:p>
      <w:pPr>
        <w:spacing w:after="0" w:line="162"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In the event of a stock split, reverse stock split, stock dividend, combination, consolidation, recapitalization or reclassification of the shares, subdivision of the shares, a rights offering, a reorganization, merger, spin-off, split-up, repurchase, or exchange of our capital stock or other securities of us or other significant corporate transaction, or other change affecting our capital stock occurs, the Plan Administrator, in order to prevent dilution, diminution or enlargement of the benefits or potential benefits intended to be made available under the 2020 Plan, will, in such manner as it may deem equitable, adjust the number, kind and class of securities that may be delivered under the 2020 Plan and/or the number, class, kind and price of securities covered by each outstanding stock award; provided that all such adjustments will be made in a manner that does not result in taxation under Section 409A of the Internal Revenue Code (Section 409A).</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Dissolution or Liquidation</w:t>
      </w:r>
    </w:p>
    <w:p>
      <w:pPr>
        <w:spacing w:after="0" w:line="162" w:lineRule="exact"/>
        <w:rPr>
          <w:sz w:val="20"/>
          <w:szCs w:val="20"/>
          <w:color w:val="auto"/>
        </w:rPr>
      </w:pPr>
    </w:p>
    <w:p>
      <w:pPr>
        <w:ind w:right="540" w:firstLine="297"/>
        <w:spacing w:after="0" w:line="274" w:lineRule="auto"/>
        <w:rPr>
          <w:sz w:val="20"/>
          <w:szCs w:val="20"/>
          <w:color w:val="auto"/>
        </w:rPr>
      </w:pPr>
      <w:r>
        <w:rPr>
          <w:rFonts w:ascii="Arial" w:cs="Arial" w:eastAsia="Arial" w:hAnsi="Arial"/>
          <w:sz w:val="16"/>
          <w:szCs w:val="16"/>
          <w:color w:val="auto"/>
        </w:rPr>
        <w:t>In the event of the proposed winding up, dissolution or liquidation of us, the Plan Administrator will notify each participant as soon as practicable prior to the effective date of such proposed transaction. To the extent it has not been previously exercised or settled, a stock award will terminate immediately prior to the consummation of such proposed action.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Corporate Transaction</w:t>
      </w:r>
    </w:p>
    <w:p>
      <w:pPr>
        <w:spacing w:after="0" w:line="162" w:lineRule="exact"/>
        <w:rPr>
          <w:sz w:val="20"/>
          <w:szCs w:val="20"/>
          <w:color w:val="auto"/>
        </w:rPr>
      </w:pPr>
    </w:p>
    <w:p>
      <w:pPr>
        <w:ind w:right="40" w:firstLine="297"/>
        <w:spacing w:after="0" w:line="262" w:lineRule="auto"/>
        <w:rPr>
          <w:sz w:val="20"/>
          <w:szCs w:val="20"/>
          <w:color w:val="auto"/>
        </w:rPr>
      </w:pPr>
      <w:r>
        <w:rPr>
          <w:rFonts w:ascii="Arial" w:cs="Arial" w:eastAsia="Arial" w:hAnsi="Arial"/>
          <w:sz w:val="16"/>
          <w:szCs w:val="16"/>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2020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2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paid or to be paid (if any) for the shares subject to the stock awards; provided, that, if the exercise price or purchase price for such stock awards equals or exceeds the fair market value of the shares subject to such stock awards, then the stock awards may be terminated without payment (provided further, that such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or (f) the opportunity for participants to exercise their stock options prior to the occurrence of the corporate transaction and the termination (for no consideration) upon the consummation of such corporate transaction of any stock options not exercised prior thereto.</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Change in Control</w:t>
      </w:r>
    </w:p>
    <w:p>
      <w:pPr>
        <w:spacing w:after="0" w:line="162"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auto"/>
        </w:rPr>
        <w:t>A stock award may be subject to additional acceleration of vesting and exercisability upon or after a change in control (as defined in the 2020 Plan) as may be provided in the stock award agreement for such stock award or as may be provided in any other written agreement between us or any of our affiliates and the participant, but in the absence of such provision, no such acceleration will occur.</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Amendment, Termination and Duration of the 2020 Plan</w:t>
      </w:r>
    </w:p>
    <w:p>
      <w:pPr>
        <w:spacing w:after="0" w:line="162" w:lineRule="exact"/>
        <w:rPr>
          <w:sz w:val="20"/>
          <w:szCs w:val="20"/>
          <w:color w:val="auto"/>
        </w:rPr>
      </w:pPr>
    </w:p>
    <w:p>
      <w:pPr>
        <w:jc w:val="both"/>
        <w:ind w:right="180" w:firstLine="297"/>
        <w:spacing w:after="0" w:line="274" w:lineRule="auto"/>
        <w:rPr>
          <w:sz w:val="20"/>
          <w:szCs w:val="20"/>
          <w:color w:val="auto"/>
        </w:rPr>
      </w:pPr>
      <w:r>
        <w:rPr>
          <w:rFonts w:ascii="Arial" w:cs="Arial" w:eastAsia="Arial" w:hAnsi="Arial"/>
          <w:sz w:val="16"/>
          <w:szCs w:val="16"/>
          <w:color w:val="auto"/>
        </w:rPr>
        <w:t>The 2020 Plan will continue in effect for a term of 10 years measured from the board approval date, unless terminated earlier under the terms of the 2020 Plan. The Plan Administrator may at any time amend, alter, suspend or terminate the 2020 Plan pursuant to the listing standards of any national securities exchange or association on which our securities are listed or as otherwise required by applicable law.</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Management Incentive Plan</w:t>
      </w:r>
    </w:p>
    <w:p>
      <w:pPr>
        <w:spacing w:after="0" w:line="162"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On October 5, 2020, SCH’s board of directors adopted, and on January 6, 2021, our stockholders approved the 2020 Management Incentive Plan (the “Management Incentive Plan”). The Management Incentive Plan became effective on January 6, 2021.</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Purpose</w:t>
      </w:r>
    </w:p>
    <w:p>
      <w:pPr>
        <w:spacing w:after="0" w:line="162" w:lineRule="exact"/>
        <w:rPr>
          <w:sz w:val="20"/>
          <w:szCs w:val="20"/>
          <w:color w:val="auto"/>
        </w:rPr>
      </w:pPr>
    </w:p>
    <w:p>
      <w:pPr>
        <w:ind w:right="900" w:firstLine="297"/>
        <w:spacing w:after="0" w:line="290" w:lineRule="auto"/>
        <w:rPr>
          <w:sz w:val="20"/>
          <w:szCs w:val="20"/>
          <w:color w:val="auto"/>
        </w:rPr>
      </w:pPr>
      <w:r>
        <w:rPr>
          <w:rFonts w:ascii="Arial" w:cs="Arial" w:eastAsia="Arial" w:hAnsi="Arial"/>
          <w:sz w:val="16"/>
          <w:szCs w:val="16"/>
          <w:color w:val="auto"/>
        </w:rPr>
        <w:t>The Management Incentive Plan is intended to (i) incentivize the Vivek Garipalli and Andrew Toy (the “MIP Participants”) with long-term equity-based compensation to align their interests with our shareholders and (ii) promote the success of our business.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Type of Stock Award</w:t>
      </w:r>
    </w:p>
    <w:p>
      <w:pPr>
        <w:spacing w:after="0" w:line="162" w:lineRule="exact"/>
        <w:rPr>
          <w:sz w:val="20"/>
          <w:szCs w:val="20"/>
          <w:color w:val="auto"/>
        </w:rPr>
      </w:pPr>
    </w:p>
    <w:p>
      <w:pPr>
        <w:ind w:right="380" w:firstLine="297"/>
        <w:spacing w:after="0" w:line="274" w:lineRule="auto"/>
        <w:rPr>
          <w:sz w:val="20"/>
          <w:szCs w:val="20"/>
          <w:color w:val="auto"/>
        </w:rPr>
      </w:pPr>
      <w:r>
        <w:rPr>
          <w:rFonts w:ascii="Arial" w:cs="Arial" w:eastAsia="Arial" w:hAnsi="Arial"/>
          <w:sz w:val="16"/>
          <w:szCs w:val="16"/>
          <w:color w:val="auto"/>
        </w:rPr>
        <w:t>The Management Incentive Plan only permits the grant of RSUs to MIP Participants in the amounts and pursuant to the terms set forth in the New Plan Benefits section of this prospectus. The 2020 Plan permits the grant of incentive stock options, nonstatutory stock options, restricted stock, restricted stock units, SARs, performance units and performance shares (all such types of awards, collectively, “stock awards”).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Share Reserve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Maximum Number of Shares</w:t>
      </w:r>
    </w:p>
    <w:p>
      <w:pPr>
        <w:spacing w:after="0" w:line="162" w:lineRule="exact"/>
        <w:rPr>
          <w:sz w:val="20"/>
          <w:szCs w:val="20"/>
          <w:color w:val="auto"/>
        </w:rPr>
      </w:pPr>
    </w:p>
    <w:p>
      <w:pPr>
        <w:ind w:right="280" w:firstLine="297"/>
        <w:spacing w:after="0" w:line="325" w:lineRule="auto"/>
        <w:rPr>
          <w:sz w:val="20"/>
          <w:szCs w:val="20"/>
          <w:color w:val="auto"/>
        </w:rPr>
      </w:pPr>
      <w:r>
        <w:rPr>
          <w:rFonts w:ascii="Arial" w:cs="Arial" w:eastAsia="Arial" w:hAnsi="Arial"/>
          <w:sz w:val="15"/>
          <w:szCs w:val="15"/>
          <w:color w:val="auto"/>
        </w:rPr>
        <w:t>Subject to adjustments as set forth in the Management Incentive Plan, the maximum aggregate number of shares of our Class B common stock that may be issued under the Management Incentive Plan is 33,426,983 shares. The shares may be authorized, but unissued, or reacquired our Class B common stock.</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Lapsed Awards</w:t>
      </w:r>
    </w:p>
    <w:p>
      <w:pPr>
        <w:spacing w:after="0" w:line="16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Once an RSU award is granted under the Management Incentive Plan, the shares underlying such award reduce the pool available for issuance under the Management Incentive Plan and, once granted pursuant to a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3" w:lineRule="exact"/>
        <w:rPr>
          <w:sz w:val="20"/>
          <w:szCs w:val="20"/>
          <w:color w:val="auto"/>
        </w:rPr>
      </w:pPr>
    </w:p>
    <w:p>
      <w:pPr>
        <w:ind w:left="1"/>
        <w:spacing w:after="0"/>
        <w:rPr>
          <w:sz w:val="20"/>
          <w:szCs w:val="20"/>
          <w:color w:val="auto"/>
        </w:rPr>
      </w:pPr>
      <w:r>
        <w:rPr>
          <w:rFonts w:ascii="Arial" w:cs="Arial" w:eastAsia="Arial" w:hAnsi="Arial"/>
          <w:sz w:val="16"/>
          <w:szCs w:val="16"/>
          <w:color w:val="auto"/>
        </w:rPr>
        <w:t>such shares will never be available for future issuance under the Management Incentive Plan under any circumstance.</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Eligibility</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Only the MIP Participants are eligible to receive RSUs under the Management Incentive Plan.</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Administration</w:t>
      </w:r>
    </w:p>
    <w:p>
      <w:pPr>
        <w:spacing w:after="0" w:line="162" w:lineRule="exact"/>
        <w:rPr>
          <w:sz w:val="20"/>
          <w:szCs w:val="20"/>
          <w:color w:val="auto"/>
        </w:rPr>
      </w:pPr>
    </w:p>
    <w:p>
      <w:pPr>
        <w:ind w:left="1" w:right="100" w:firstLine="297"/>
        <w:spacing w:after="0" w:line="290" w:lineRule="auto"/>
        <w:rPr>
          <w:sz w:val="20"/>
          <w:szCs w:val="20"/>
          <w:color w:val="auto"/>
        </w:rPr>
      </w:pPr>
      <w:r>
        <w:rPr>
          <w:rFonts w:ascii="Arial" w:cs="Arial" w:eastAsia="Arial" w:hAnsi="Arial"/>
          <w:sz w:val="16"/>
          <w:szCs w:val="16"/>
          <w:color w:val="auto"/>
        </w:rPr>
        <w:t>The Management Incentive Plan must administered by our board of directors or a committee thereof, which committee will be constituted to satisfy applicable laws (the “MIP Plan Administrator”). Currently, our compensation committee serves as the MIP Plan Administrator.</w:t>
      </w:r>
    </w:p>
    <w:p>
      <w:pPr>
        <w:spacing w:after="0" w:line="99" w:lineRule="exact"/>
        <w:rPr>
          <w:sz w:val="20"/>
          <w:szCs w:val="20"/>
          <w:color w:val="auto"/>
        </w:rPr>
      </w:pPr>
    </w:p>
    <w:p>
      <w:pPr>
        <w:ind w:left="1" w:right="60" w:firstLine="297"/>
        <w:spacing w:after="0" w:line="277" w:lineRule="auto"/>
        <w:rPr>
          <w:sz w:val="20"/>
          <w:szCs w:val="20"/>
          <w:color w:val="auto"/>
        </w:rPr>
      </w:pPr>
      <w:r>
        <w:rPr>
          <w:rFonts w:ascii="Arial" w:cs="Arial" w:eastAsia="Arial" w:hAnsi="Arial"/>
          <w:sz w:val="15"/>
          <w:szCs w:val="15"/>
          <w:color w:val="auto"/>
        </w:rPr>
        <w:t>Subject to the terms of the Management Incentive Plan, the MIP Plan Administrator has the authority to (i) grant RSUs to MIP Participants in the amounts and pursuant to the terms set forth in the New Plan Benefits section of this prospectus; (ii) approve forms of RSU award agreements for use under the Management Incentive Plan, provided such forms of RSU award agreements are consistent with the terms of the Management Incentive Plan; (iii) construe and interpret the terms of the Management Incentive Plan and RSU awards granted pursuant to the Management Incentive Plan; (iv) correct any defect, supply any omission or reconcile any inconsistency in the Management Incentive Plan, any RSU award or any RSU award agreement; (v) prescribe, amend and rescind rules and regulations relating to the Management Incentive Plan; (vi) modify or amend each RSU award (subject to the terms of the Management Incentive Plan), including but not limited to the discretionary authority to accelerate vesting; (vii) allow participants to satisfy tax withholding obligations in such manner as prescribed in the Management Incentive Plan; (viii) authorize any person to execute on our behalf any instrument required to effect the grant of a RSU award previously granted by the MIP Plan Administrator;</w:t>
      </w:r>
    </w:p>
    <w:p>
      <w:pPr>
        <w:spacing w:after="0" w:line="1" w:lineRule="exact"/>
        <w:rPr>
          <w:sz w:val="20"/>
          <w:szCs w:val="20"/>
          <w:color w:val="auto"/>
        </w:rPr>
      </w:pPr>
    </w:p>
    <w:p>
      <w:pPr>
        <w:ind w:left="1" w:right="740" w:hanging="1"/>
        <w:spacing w:after="0" w:line="276" w:lineRule="auto"/>
        <w:tabs>
          <w:tab w:leader="none" w:pos="2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allow a participant to defer the receipt of the delivery of shares that would otherwise be due to such participant under a RSU award; and (x) make all other determinations deemed necessary or advisable for administering the Management Incentive Plan.</w:t>
      </w:r>
    </w:p>
    <w:p>
      <w:pPr>
        <w:spacing w:after="0" w:line="110"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RSUs</w:t>
      </w:r>
    </w:p>
    <w:p>
      <w:pPr>
        <w:spacing w:after="0" w:line="162" w:lineRule="exact"/>
        <w:rPr>
          <w:sz w:val="20"/>
          <w:szCs w:val="20"/>
          <w:color w:val="auto"/>
        </w:rPr>
      </w:pPr>
    </w:p>
    <w:p>
      <w:pPr>
        <w:jc w:val="both"/>
        <w:ind w:left="1" w:right="280" w:firstLine="297"/>
        <w:spacing w:after="0" w:line="274" w:lineRule="auto"/>
        <w:rPr>
          <w:sz w:val="20"/>
          <w:szCs w:val="20"/>
          <w:color w:val="auto"/>
        </w:rPr>
      </w:pPr>
      <w:r>
        <w:rPr>
          <w:rFonts w:ascii="Arial" w:cs="Arial" w:eastAsia="Arial" w:hAnsi="Arial"/>
          <w:sz w:val="16"/>
          <w:szCs w:val="16"/>
          <w:color w:val="auto"/>
        </w:rPr>
        <w:t>Each RSU is a bookkeeping entry representing an amount equal to the fair market value of one share of our Class B common stock. Upon meeting the applicable vesting criteria, the MIP Participants will be entitled to receive a payout upon the date(s) determined by the MIP Plan Administrator and set forth in their RSU award agreement for his earned RSUs in the form of shares.</w:t>
      </w:r>
    </w:p>
    <w:p>
      <w:pPr>
        <w:spacing w:after="0" w:line="112" w:lineRule="exact"/>
        <w:rPr>
          <w:sz w:val="20"/>
          <w:szCs w:val="20"/>
          <w:color w:val="auto"/>
        </w:rPr>
      </w:pPr>
    </w:p>
    <w:p>
      <w:pPr>
        <w:ind w:left="1" w:right="340" w:firstLine="297"/>
        <w:spacing w:after="0" w:line="290" w:lineRule="auto"/>
        <w:rPr>
          <w:sz w:val="20"/>
          <w:szCs w:val="20"/>
          <w:color w:val="auto"/>
        </w:rPr>
      </w:pPr>
      <w:r>
        <w:rPr>
          <w:rFonts w:ascii="Arial" w:cs="Arial" w:eastAsia="Arial" w:hAnsi="Arial"/>
          <w:sz w:val="16"/>
          <w:szCs w:val="16"/>
          <w:color w:val="auto"/>
        </w:rPr>
        <w:t>The RSU awards were granted to the MIP Participants on the Closing Date. Each RSU award will vest pursuant to the criteria set forth in the New Plan Benefits section of this prospectus.</w:t>
      </w:r>
    </w:p>
    <w:p>
      <w:pPr>
        <w:spacing w:after="0" w:line="99" w:lineRule="exact"/>
        <w:rPr>
          <w:sz w:val="20"/>
          <w:szCs w:val="20"/>
          <w:color w:val="auto"/>
        </w:rPr>
      </w:pPr>
    </w:p>
    <w:p>
      <w:pPr>
        <w:ind w:left="1" w:right="220" w:firstLine="297"/>
        <w:spacing w:after="0" w:line="366" w:lineRule="auto"/>
        <w:rPr>
          <w:sz w:val="20"/>
          <w:szCs w:val="20"/>
          <w:color w:val="auto"/>
        </w:rPr>
      </w:pPr>
      <w:r>
        <w:rPr>
          <w:rFonts w:ascii="Arial" w:cs="Arial" w:eastAsia="Arial" w:hAnsi="Arial"/>
          <w:sz w:val="14"/>
          <w:szCs w:val="14"/>
          <w:color w:val="auto"/>
        </w:rPr>
        <w:t>During the vesting period, each MIP Participant holding RSUs will hold no voting rights by virtue of such RSUs. The MIP Plan Administrator may, in its sole discretion, award dividend equivalents in connection with the grant of RSUs that may be settled in cash, in shares of equivalent value, or in some combination thereof.</w:t>
      </w:r>
    </w:p>
    <w:p>
      <w:pPr>
        <w:spacing w:after="0" w:line="53"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Performance-Based RSUs</w:t>
      </w:r>
    </w:p>
    <w:p>
      <w:pPr>
        <w:spacing w:after="0" w:line="162" w:lineRule="exact"/>
        <w:rPr>
          <w:sz w:val="20"/>
          <w:szCs w:val="20"/>
          <w:color w:val="auto"/>
        </w:rPr>
      </w:pPr>
    </w:p>
    <w:p>
      <w:pPr>
        <w:ind w:left="1" w:right="100" w:firstLine="297"/>
        <w:spacing w:after="0" w:line="274" w:lineRule="auto"/>
        <w:rPr>
          <w:sz w:val="20"/>
          <w:szCs w:val="20"/>
          <w:color w:val="auto"/>
        </w:rPr>
      </w:pPr>
      <w:r>
        <w:rPr>
          <w:rFonts w:ascii="Arial" w:cs="Arial" w:eastAsia="Arial" w:hAnsi="Arial"/>
          <w:sz w:val="16"/>
          <w:szCs w:val="16"/>
          <w:color w:val="auto"/>
        </w:rPr>
        <w:t>Certain RSU awards granted under the Management Incentive Plan are performance-based awards that will only vest upon the achievement of pre-established stock price goals set forth in the New Plan Benefits section of this prospectus. The MIP Plan Administrator will determine and approve the extent to which such stock price goals have been timely achieved and the extent to which the shares subject to such RSU award have thereby been earned.</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Leaves of Absence/Transfer Between Locations</w:t>
      </w:r>
    </w:p>
    <w:p>
      <w:pPr>
        <w:spacing w:after="0" w:line="162" w:lineRule="exact"/>
        <w:rPr>
          <w:sz w:val="20"/>
          <w:szCs w:val="20"/>
          <w:color w:val="auto"/>
        </w:rPr>
      </w:pPr>
    </w:p>
    <w:p>
      <w:pPr>
        <w:ind w:left="1" w:firstLine="297"/>
        <w:spacing w:after="0" w:line="268" w:lineRule="auto"/>
        <w:rPr>
          <w:sz w:val="20"/>
          <w:szCs w:val="20"/>
          <w:color w:val="auto"/>
        </w:rPr>
      </w:pPr>
      <w:r>
        <w:rPr>
          <w:rFonts w:ascii="Arial" w:cs="Arial" w:eastAsia="Arial" w:hAnsi="Arial"/>
          <w:sz w:val="16"/>
          <w:szCs w:val="16"/>
          <w:color w:val="auto"/>
        </w:rPr>
        <w:t>The MIP Plan Administrator has the discretion to determine at any time whether and to what extent the vesting of RSU awards will be suspended during any leave of absence; provided that in the absence of such determination, vesting of RSU awards will continue during any paid leave and will be suspended during any unpaid leave (unless otherwise required by applicable laws). An RSU award will not cease to vest in the case of (i) any leave of absence approved by the MIP Plan Administrator or (ii) transfers between our locations or between us and any of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1"/>
          </w:cols>
          <w:pgMar w:left="319" w:top="1440" w:right="379" w:bottom="1440" w:gutter="0" w:footer="0" w:header="0"/>
        </w:sectPr>
      </w:pPr>
    </w:p>
    <w:bookmarkStart w:id="143" w:name="page144"/>
    <w:bookmarkEnd w:id="143"/>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Nontransferability of RSU Awards</w:t>
      </w:r>
    </w:p>
    <w:p>
      <w:pPr>
        <w:spacing w:after="0" w:line="162" w:lineRule="exact"/>
        <w:rPr>
          <w:sz w:val="20"/>
          <w:szCs w:val="20"/>
          <w:color w:val="auto"/>
        </w:rPr>
      </w:pPr>
    </w:p>
    <w:p>
      <w:pPr>
        <w:ind w:right="320" w:firstLine="297"/>
        <w:spacing w:after="0" w:line="290" w:lineRule="auto"/>
        <w:rPr>
          <w:sz w:val="20"/>
          <w:szCs w:val="20"/>
          <w:color w:val="auto"/>
        </w:rPr>
      </w:pPr>
      <w:r>
        <w:rPr>
          <w:rFonts w:ascii="Arial" w:cs="Arial" w:eastAsia="Arial" w:hAnsi="Arial"/>
          <w:sz w:val="16"/>
          <w:szCs w:val="16"/>
          <w:color w:val="auto"/>
        </w:rPr>
        <w:t>Unless determined otherwise by the MIP Plan Administrator, an RSU award may not be sold, pledged, assigned, hypothecated, transferred, or disposed of in any manner.</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Clawback/Recovery</w:t>
      </w:r>
    </w:p>
    <w:p>
      <w:pPr>
        <w:spacing w:after="0" w:line="162"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The MIP Plan Administrator may specify in a RSU award agreement that the participant’s rights, payments, and/or benefits with respect to a RSU award will be subject to reduction, cancellation, forfeiture, and/or recoupment upon the occurrence of certain specified events, in addition to any applicable vesting, performance or other conditions and restrictions of a RSU award. Notwithstanding any provisions to the contrary under the Management Incentive Plan, an RSU award granted under the Management Incentive Plan will be subject to any clawback policy as may be established and/or amended from time to time by us. The MIP Plan Administrator may require a participant to forfeit or return to and/or reimburse us for all or a portion of the RSU award and/or shares issued under the RSU award, any amounts paid under the RSU award, and any payments or proceeds paid or provided upon disposition of the shares issued under the RSU award, pursuant to the terms of such company policy or as necessary or appropriate to comply with applicable laws.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Adjustments</w:t>
      </w:r>
    </w:p>
    <w:p>
      <w:pPr>
        <w:spacing w:after="0" w:line="162"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In the event of a stock split, reverse stock split, stock dividend, combination, consolidation, recapitalization or reclassification of the shares, subdivision of the shares, a rights offering, a reorganization, merger, spin-off, split-up, repurchase, or exchange of our common stock or other securities of us or other significant corporate transaction, or other change affecting our capital stock occurs, the MIP Plan Administrator, in order to prevent dilution, diminution or enlargement of the benefits or potential benefits intended to be made available under the Management Incentive Plan, will, in such manner as it may deem equitable, adjust the number, kind and class of securities that may be delivered under the Management Incentive Plan and/or the number, class, kind and price of securities covered by each outstanding RSU award; provided that all such adjustments will be made in a manner that does not result in taxation under Section 409A.</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Dissolution or Liquidation</w:t>
      </w:r>
    </w:p>
    <w:p>
      <w:pPr>
        <w:spacing w:after="0" w:line="162"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In the event of the proposed winding up, dissolution or liquidation of us, the MIP Plan Administrator will notify each participant as soon as practicable prior to the effective date of such proposed transaction. To the extent it has not been previously settled, an RSU award will terminate immediately prior to the consummation of such proposed action.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Corporate Transaction</w:t>
      </w:r>
    </w:p>
    <w:p>
      <w:pPr>
        <w:spacing w:after="0" w:line="162" w:lineRule="exact"/>
        <w:rPr>
          <w:sz w:val="20"/>
          <w:szCs w:val="20"/>
          <w:color w:val="auto"/>
        </w:rPr>
      </w:pPr>
    </w:p>
    <w:p>
      <w:pPr>
        <w:ind w:firstLine="297"/>
        <w:spacing w:after="0" w:line="303" w:lineRule="auto"/>
        <w:rPr>
          <w:sz w:val="20"/>
          <w:szCs w:val="20"/>
          <w:color w:val="auto"/>
        </w:rPr>
      </w:pPr>
      <w:r>
        <w:rPr>
          <w:rFonts w:ascii="Arial" w:cs="Arial" w:eastAsia="Arial" w:hAnsi="Arial"/>
          <w:sz w:val="14"/>
          <w:szCs w:val="14"/>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Management Incentive Plan) each outstanding RSU award (vested or unvested) will be treated as the MIP Plan Administrator determines, which determination may provide for one or more of the following: (a) the continuation of such outstanding RSU awards (if we are the surviving corporation); (b) the assumption of such outstanding RSU awards by the surviving corporation or its parent; (c) the substitution by the surviving corporation or its parent of new stock options or other equity awards for such RSU awards; (d) the cancellation of such RSU awards in exchange for a payment to the participants equal to the fair market value of the shares subject to such RSU awards as of the Closing Date of such corporate transaction (provided that such payment may be subject to the same conditions that apply to the consideration that will be paid to holders of shares in connection with the transaction, subject to applicable law); or (e) the full or partial acceleration of vesting and accelerated expiration of an outstanding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Change in Control</w:t>
      </w:r>
    </w:p>
    <w:p>
      <w:pPr>
        <w:spacing w:after="0" w:line="16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An RSU award may be subject to additional acceleration of vesting upon or after a change in control (as defined in the Management Incentive Plan) as may be provided in any other written agreement between us or any of our affiliates and the participant, but in the absence of such provision, no such acceleration will occur. In connection with the Business Combination, we entered into an employment agreement with each MIP Participant, effective as of the Closing Date, which provides for among other things, certain severance payments and benefits and the accelerated vesting of equity in connection with each named executive officer’s termination of employment or resignation for good reason under various circumstances, including in connection with a change in control of Clover Health. See the above section entitled “—Executive Compensation Arrangements in Effect as of the Closing” for more information.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Amendment, Termination and Duration of the Management Incentive Plan</w:t>
      </w:r>
    </w:p>
    <w:p>
      <w:pPr>
        <w:spacing w:after="0" w:line="16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The Management Incentive Plan will continue in effect until all the RSU awards granted thereunder are no longer outstanding. The MIP Plan Administrator may at any time amend, alter, suspend or terminate the Management Incentive Plan.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made the following grants described below, effective as of the Closing Date, under the Management Incentive Plan: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Garipalli Time-Based Award</w:t>
      </w:r>
    </w:p>
    <w:p>
      <w:pPr>
        <w:spacing w:after="0" w:line="162"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Vivek Garipalli received an RSU award under the MIP (the “Garipalli Time-Based Award”) covering 16,713,491 shares of Class B common stock. The Garipalli Time-Based Award shall become vested as to twenty percent (20%) of the RSUs subject to the Garipalli Time-Based Award on each of the first five (5) anniversaries of the Closing Date, subject to Mr. Garipalli’s continuous service as Clover Health’s CEO, Co-CEO or Executive Chairman through each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Garipalli Performance-Based Award</w:t>
      </w:r>
    </w:p>
    <w:p>
      <w:pPr>
        <w:spacing w:after="0" w:line="162" w:lineRule="exact"/>
        <w:rPr>
          <w:sz w:val="20"/>
          <w:szCs w:val="20"/>
          <w:color w:val="auto"/>
        </w:rPr>
      </w:pPr>
    </w:p>
    <w:p>
      <w:pPr>
        <w:ind w:right="440" w:firstLine="297"/>
        <w:spacing w:after="0" w:line="290" w:lineRule="auto"/>
        <w:rPr>
          <w:sz w:val="20"/>
          <w:szCs w:val="20"/>
          <w:color w:val="auto"/>
        </w:rPr>
      </w:pPr>
      <w:r>
        <w:rPr>
          <w:rFonts w:ascii="Arial" w:cs="Arial" w:eastAsia="Arial" w:hAnsi="Arial"/>
          <w:sz w:val="16"/>
          <w:szCs w:val="16"/>
          <w:color w:val="auto"/>
        </w:rPr>
        <w:t>Mr. Garipalli received an RSU award under the Management Incentive Plan (the, “Garipalli Performance-Based Award”) covering 5,571,164 shares of Class B common stock, which will vest and become settled by satisfying two conditions, as set forth below:</w:t>
      </w:r>
    </w:p>
    <w:p>
      <w:pPr>
        <w:spacing w:after="0" w:line="99" w:lineRule="exact"/>
        <w:rPr>
          <w:sz w:val="20"/>
          <w:szCs w:val="20"/>
          <w:color w:val="auto"/>
        </w:rPr>
      </w:pPr>
    </w:p>
    <w:p>
      <w:pPr>
        <w:ind w:left="600" w:hanging="304"/>
        <w:spacing w:after="0" w:line="292" w:lineRule="auto"/>
        <w:tabs>
          <w:tab w:leader="none" w:pos="596" w:val="left"/>
        </w:tabs>
        <w:numPr>
          <w:ilvl w:val="0"/>
          <w:numId w:val="71"/>
        </w:numPr>
        <w:rPr>
          <w:rFonts w:ascii="Arial" w:cs="Arial" w:eastAsia="Arial" w:hAnsi="Arial"/>
          <w:sz w:val="15"/>
          <w:szCs w:val="15"/>
          <w:color w:val="auto"/>
        </w:rPr>
      </w:pPr>
      <w:r>
        <w:rPr>
          <w:rFonts w:ascii="Arial" w:cs="Arial" w:eastAsia="Arial" w:hAnsi="Arial"/>
          <w:sz w:val="15"/>
          <w:szCs w:val="15"/>
          <w:color w:val="auto"/>
        </w:rPr>
        <w:t>Service requirement—the service requirement will be satisfied at a rate of twenty percent (20%) of the RSUs subject to the Garipalli Performance-Based Award on each of the first five anniversaries of the Closing Date, subject to Mr. Garipalli’s continuous service as Clover Health’s CEO, Co-CEO or Executive Chairman through each service-based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100" w:lineRule="exact"/>
        <w:rPr>
          <w:rFonts w:ascii="Arial" w:cs="Arial" w:eastAsia="Arial" w:hAnsi="Arial"/>
          <w:sz w:val="15"/>
          <w:szCs w:val="15"/>
          <w:color w:val="auto"/>
        </w:rPr>
      </w:pPr>
    </w:p>
    <w:p>
      <w:pPr>
        <w:ind w:left="600" w:right="200" w:hanging="304"/>
        <w:spacing w:after="0" w:line="274" w:lineRule="auto"/>
        <w:tabs>
          <w:tab w:leader="none" w:pos="596"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Performance requirement—the performance requirement will be satisfied if we achieve a volume-weighted average stock price above a threshold of $30, for a period of ninety (90) consecutive calendar days; provided that the performance metrics will not be measured nor may be satisfied prior to the one year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Toy Performance-Based Award</w:t>
      </w:r>
    </w:p>
    <w:p>
      <w:pPr>
        <w:spacing w:after="0" w:line="16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Andrew Toy received an RSU award under the Management Incentive Plan (the “Toy Performance-Based Award”) covering 11,142,328 shares of Class B common stock, which will vest and become settled by satisfying two conditions, as set forth below:</w:t>
      </w:r>
    </w:p>
    <w:p>
      <w:pPr>
        <w:spacing w:after="0" w:line="99" w:lineRule="exact"/>
        <w:rPr>
          <w:sz w:val="20"/>
          <w:szCs w:val="20"/>
          <w:color w:val="auto"/>
        </w:rPr>
      </w:pPr>
    </w:p>
    <w:p>
      <w:pPr>
        <w:ind w:left="600" w:right="40" w:hanging="304"/>
        <w:spacing w:after="0" w:line="292" w:lineRule="auto"/>
        <w:tabs>
          <w:tab w:leader="none" w:pos="596" w:val="left"/>
        </w:tabs>
        <w:numPr>
          <w:ilvl w:val="0"/>
          <w:numId w:val="72"/>
        </w:numPr>
        <w:rPr>
          <w:rFonts w:ascii="Arial" w:cs="Arial" w:eastAsia="Arial" w:hAnsi="Arial"/>
          <w:sz w:val="15"/>
          <w:szCs w:val="15"/>
          <w:color w:val="auto"/>
        </w:rPr>
      </w:pPr>
      <w:r>
        <w:rPr>
          <w:rFonts w:ascii="Arial" w:cs="Arial" w:eastAsia="Arial" w:hAnsi="Arial"/>
          <w:sz w:val="15"/>
          <w:szCs w:val="15"/>
          <w:color w:val="auto"/>
        </w:rPr>
        <w:t>Service requirement—the service requirement will be satisfied at a rate of twenty percent (20%) of the RSUs subject to the Toy Performance-Based Award on each of the first five anniversaries of the Closing Date, subject to Mr. Toy’s continuous service as a service provider to Clover Health through each service-based vesting date. Except as set forth in Mr. Toy’s employment agreement with us, if Mr. Toy is terminated for any reason prior to any applicable vesting date, any then unvested RSUs will be forfeited for no consideration. The RSUs shall settle as set forth in the RSU award agreement.</w:t>
      </w:r>
    </w:p>
    <w:p>
      <w:pPr>
        <w:spacing w:after="0" w:line="100" w:lineRule="exact"/>
        <w:rPr>
          <w:rFonts w:ascii="Arial" w:cs="Arial" w:eastAsia="Arial" w:hAnsi="Arial"/>
          <w:sz w:val="15"/>
          <w:szCs w:val="15"/>
          <w:color w:val="auto"/>
        </w:rPr>
      </w:pPr>
    </w:p>
    <w:p>
      <w:pPr>
        <w:ind w:left="600" w:right="20" w:hanging="304"/>
        <w:spacing w:after="0" w:line="274" w:lineRule="auto"/>
        <w:tabs>
          <w:tab w:leader="none" w:pos="596" w:val="left"/>
        </w:tabs>
        <w:numPr>
          <w:ilvl w:val="0"/>
          <w:numId w:val="72"/>
        </w:numPr>
        <w:rPr>
          <w:rFonts w:ascii="Arial" w:cs="Arial" w:eastAsia="Arial" w:hAnsi="Arial"/>
          <w:sz w:val="16"/>
          <w:szCs w:val="16"/>
          <w:color w:val="auto"/>
        </w:rPr>
      </w:pPr>
      <w:r>
        <w:rPr>
          <w:rFonts w:ascii="Arial" w:cs="Arial" w:eastAsia="Arial" w:hAnsi="Arial"/>
          <w:sz w:val="16"/>
          <w:szCs w:val="16"/>
          <w:color w:val="auto"/>
        </w:rPr>
        <w:t>Performance requirement—the performance requirement will be satisfied if we achieve a volume-weighted average stock price above a threshold broken out into two equal tranches as set forth in the below table, for a period of ninety (90) consecutive calendar days; provided that the performance metrics will not be measured nor may be satisfied prior to the one year anniversary of the Closing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Tranche</w:t>
            </w: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Number of Shares of Class</w:t>
            </w:r>
          </w:p>
        </w:tc>
        <w:tc>
          <w:tcPr>
            <w:tcW w:w="180" w:type="dxa"/>
            <w:vAlign w:val="bottom"/>
          </w:tcPr>
          <w:p>
            <w:pPr>
              <w:spacing w:after="0"/>
              <w:rPr>
                <w:sz w:val="13"/>
                <w:szCs w:val="13"/>
                <w:color w:val="auto"/>
              </w:rPr>
            </w:pPr>
          </w:p>
        </w:tc>
        <w:tc>
          <w:tcPr>
            <w:tcW w:w="138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w w:val="96"/>
              </w:rPr>
              <w:t>Stock Price Hurdle</w:t>
            </w:r>
          </w:p>
        </w:tc>
        <w:tc>
          <w:tcPr>
            <w:tcW w:w="0" w:type="dxa"/>
            <w:vAlign w:val="bottom"/>
          </w:tcPr>
          <w:p>
            <w:pPr>
              <w:spacing w:after="0"/>
              <w:rPr>
                <w:sz w:val="1"/>
                <w:szCs w:val="1"/>
                <w:color w:val="auto"/>
              </w:rPr>
            </w:pPr>
          </w:p>
        </w:tc>
      </w:tr>
      <w:tr>
        <w:trPr>
          <w:trHeight w:val="171"/>
        </w:trPr>
        <w:tc>
          <w:tcPr>
            <w:tcW w:w="802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B Common Stock</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5,571,164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580" w:type="dxa"/>
            <w:vAlign w:val="bottom"/>
          </w:tcPr>
          <w:p>
            <w:pPr>
              <w:jc w:val="right"/>
              <w:ind w:right="6"/>
              <w:spacing w:after="0"/>
              <w:rPr>
                <w:sz w:val="20"/>
                <w:szCs w:val="20"/>
                <w:color w:val="auto"/>
              </w:rPr>
            </w:pPr>
            <w:r>
              <w:rPr>
                <w:rFonts w:ascii="Arial" w:cs="Arial" w:eastAsia="Arial" w:hAnsi="Arial"/>
                <w:sz w:val="16"/>
                <w:szCs w:val="16"/>
                <w:color w:val="auto"/>
              </w:rPr>
              <w:t>5,571,164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General Terms</w:t>
      </w:r>
    </w:p>
    <w:p>
      <w:pPr>
        <w:spacing w:after="0" w:line="16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Each of the Garipalli Performance-Based Award and the Toy Performance-Based Award (collectively, the “Performance-Based Awards”) will include the following general terms:</w:t>
      </w:r>
    </w:p>
    <w:p>
      <w:pPr>
        <w:spacing w:after="0" w:line="99" w:lineRule="exact"/>
        <w:rPr>
          <w:sz w:val="20"/>
          <w:szCs w:val="20"/>
          <w:color w:val="auto"/>
        </w:rPr>
      </w:pPr>
    </w:p>
    <w:p>
      <w:pPr>
        <w:ind w:left="580" w:hanging="284"/>
        <w:spacing w:after="0"/>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performance requirement must be satisfied within five (5) years of the Closing Date (the “Performance Deadline”).</w:t>
      </w:r>
    </w:p>
    <w:p>
      <w:pPr>
        <w:spacing w:after="0" w:line="162"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Any portion of a Performance-Based Award that is unvested as of the Performance Deadline will be forfeited for no consideration.</w:t>
      </w:r>
    </w:p>
    <w:p>
      <w:pPr>
        <w:spacing w:after="0" w:line="162" w:lineRule="exact"/>
        <w:rPr>
          <w:rFonts w:ascii="Arial" w:cs="Arial" w:eastAsia="Arial" w:hAnsi="Arial"/>
          <w:sz w:val="16"/>
          <w:szCs w:val="16"/>
          <w:color w:val="auto"/>
        </w:rPr>
      </w:pPr>
    </w:p>
    <w:p>
      <w:pPr>
        <w:ind w:left="600" w:hanging="304"/>
        <w:spacing w:after="0" w:line="266" w:lineRule="auto"/>
        <w:tabs>
          <w:tab w:leader="none" w:pos="596"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a change in control (as defined in the Management Incentive Plan),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 For the avoidance of doubt, the transaction contemplated by the Merger Agreement, shall not constitute a change in control for purposes of these Performance-Based Awards.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2020 Employee Stock Purchase Plan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October 5, 2020, SCH’s board of directors adopted, and on January 6, 2021, our stockholders approved the 2020 Employee Stock Purchase Plan (the “ESPP”).</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ESPP became effective on January 6, 2021.</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Purpose</w:t>
      </w:r>
    </w:p>
    <w:p>
      <w:pPr>
        <w:spacing w:after="0" w:line="162" w:lineRule="exact"/>
        <w:rPr>
          <w:sz w:val="20"/>
          <w:szCs w:val="20"/>
          <w:color w:val="auto"/>
        </w:rPr>
      </w:pPr>
    </w:p>
    <w:p>
      <w:pPr>
        <w:ind w:right="180" w:firstLine="297"/>
        <w:spacing w:after="0" w:line="266" w:lineRule="auto"/>
        <w:rPr>
          <w:sz w:val="20"/>
          <w:szCs w:val="20"/>
          <w:color w:val="auto"/>
        </w:rPr>
      </w:pPr>
      <w:r>
        <w:rPr>
          <w:rFonts w:ascii="Arial" w:cs="Arial" w:eastAsia="Arial" w:hAnsi="Arial"/>
          <w:sz w:val="16"/>
          <w:szCs w:val="16"/>
          <w:color w:val="auto"/>
        </w:rPr>
        <w:t>The ESPP provides a means by which eligible employees and/or eligible service providers of either our company or designated related corporations and affiliates (Designated Companies) may be given an opportunity to purchase shares of our Class A common stock. The ESPP permits us to grant a series of purchase rights to eligible employees and eligible service providers. By means of the ESPP, we seek to (i) retain and assist the Designated Companies in retaining the services of such eligible employees and eligible service providers, (ii) secure and retain the services of new eligible employees and eligible service providers and (iii) provide incentives for such persons to exert maximum efforts for our success and that of the Designated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Qualified and Non-Qualified Offerings Permitted</w:t>
      </w:r>
    </w:p>
    <w:p>
      <w:pPr>
        <w:spacing w:after="0" w:line="162" w:lineRule="exact"/>
        <w:rPr>
          <w:sz w:val="20"/>
          <w:szCs w:val="20"/>
          <w:color w:val="auto"/>
        </w:rPr>
      </w:pPr>
    </w:p>
    <w:p>
      <w:pPr>
        <w:ind w:right="20" w:firstLine="297"/>
        <w:spacing w:after="0" w:line="283" w:lineRule="auto"/>
        <w:rPr>
          <w:sz w:val="20"/>
          <w:szCs w:val="20"/>
          <w:color w:val="auto"/>
        </w:rPr>
      </w:pPr>
      <w:r>
        <w:rPr>
          <w:rFonts w:ascii="Arial" w:cs="Arial" w:eastAsia="Arial" w:hAnsi="Arial"/>
          <w:sz w:val="15"/>
          <w:szCs w:val="15"/>
          <w:color w:val="auto"/>
        </w:rPr>
        <w:t>The ESPP includes two components: a “423 Component” and a “Non-423 Component.” We intend for the 423 Component to qualify as an Employee Stock Purchase Plan pursuant to Section 423 of the Code. The 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ESPP Administrator (as defined below), the Non-423 Component will be operated and administered in the same manner as the 423 Component. Eligible employees may participate in the 423 Component or Non-423 Component of the ESPP. Eligible service providers (who may or may not be eligible employees) may only participate in the Non-423 Component of the ESPP.</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Administration</w:t>
      </w:r>
    </w:p>
    <w:p>
      <w:pPr>
        <w:spacing w:after="0" w:line="162"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auto"/>
        </w:rPr>
        <w:t>Our board of directors has the power to delegate administration of the ESPP to a committee composed of not fewer than one member of our board of directors. The ESPP is administered by our board of directors or a committee thereof (the “ESPP Administrator”). The ESPP Administrator has the final power to construe and interpret both the ESPP and the rights granted under it. The ESPP Administrator has the power, subject to the provisions of the ESPP, to determine when and how rights to purchase our Class A common stock will be granted, the provisions of each offering of such rights (which need not be identical), and whether any employee or other service provider will be eligible to participate in the 423 Component or Non-423 Component of the ESPP. Whether or not our board of directors has delegated administration of the ESPP to a committee, the board of directors will have the final power to determine all questions of policy and expediency that may arise in the administration of the ESPP. Currently, our compensation committee serves as the ESPP Plan Administrator.</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Stock Subject to ESPP</w:t>
      </w:r>
    </w:p>
    <w:p>
      <w:pPr>
        <w:spacing w:after="0" w:line="162"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Subject to adjustments as provided in the ESPP, the maximum number of shares of our Class A common stock that may be issued under the ESPP will not exceed 2,785,582, plus the number of shares of our Class A common stock that are automatically added on the first day of each fiscal year beginning with the 2022 fiscal year and ending on (and including) the first day of the 2030 fiscal year in an amount equal to the lesser of (i) one percent (1%) of the total number of shares of our Class A common stock outstanding on the last day of the calendar month prior to the date of such automatic increase, and (ii) such number of shares of our Class A common stock as determined by the ESPP Administrator; provided that the maximum number of shares of our Class A common stock reserved under the ESPP shall not exceed 10% of the total outstanding capital stock of the combined company (inclusive of the shares reserved under the ESPP) as of the Closing Date on an as-converted basis. Notwithstanding the foregoing, the ESPP Administrator may act prior to the first day of any fiscal year to provide that there will be no increase in the share reserve for such fiscal year or that the increase in the share reserve for such fiscal year will be a lesser number of shares of our Class A common stock than would otherwise occur pursuant to the preceding sentence. If any purchase right granted under the ESPP terminates without having been exercised in full, the shares of our Class A common stock not purchased under such purchase right will again become available for issuance under the ESPP.</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Offerings</w:t>
      </w:r>
    </w:p>
    <w:p>
      <w:pPr>
        <w:spacing w:after="0" w:line="162"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The ESPP is implemented by offerings of rights to all eligible employees and eligible service providers from time to time. Offerings may be comprised of one or more purchase periods. The maximum length for an offering under the ESPP is 27 months. The provisions of separate offerings need not be identical. When a participant elects to join an offering, he or she is granted a purchase right to acquire shares of our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our Class A common stock,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Eligibility</w:t>
      </w:r>
    </w:p>
    <w:p>
      <w:pPr>
        <w:spacing w:after="0" w:line="162"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Purchase rights may be granted only to our employees, employees of designated related corporations or, solely with respect to the Non-423 Component, employees of an affiliate (other than a designated related corporation) or eligible service providers. The ESPP Administrator may provide that employees will not be eligible to be granted purchase rights under the ESPP if, on the offering date, the employee (i) has not completed at least 2 years of service since the employee’s last hire date (or such lesser period as the ESPP Administrator may determine), (ii) customarily works not more than 20 hours per week (or such lesser period as the ESPP Administrator may determine), (iii) customarily works not more than 5 months per calendar year (or such lesser period as the ESPP Administrator may determine), (iv) is a highly compensated employee within the meaning of the Code, or (v) has not satisfied such other criteria as the ESPP Administrator may determine consistent with Section 423 of the Code. Unless otherwise determined by the ESPP Administrator for any offering, an employee will not be eligible to be granted purchase rights unless, on the offering date, the employee customarily works more than 20 hours per week and more than 5 months per calendar year.</w:t>
      </w:r>
    </w:p>
    <w:p>
      <w:pPr>
        <w:spacing w:after="0" w:line="109"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Plans, do not permit such eligible employee’s rights to purchase stock to accrue in excess of $25,000 worth of stock in any calendar year.</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Participation in the ESPP</w:t>
      </w:r>
    </w:p>
    <w:p>
      <w:pPr>
        <w:spacing w:after="0" w:line="162" w:lineRule="exact"/>
        <w:rPr>
          <w:sz w:val="20"/>
          <w:szCs w:val="20"/>
          <w:color w:val="auto"/>
        </w:rPr>
      </w:pPr>
    </w:p>
    <w:p>
      <w:pPr>
        <w:ind w:right="100" w:firstLine="297"/>
        <w:spacing w:after="0" w:line="287" w:lineRule="auto"/>
        <w:rPr>
          <w:sz w:val="20"/>
          <w:szCs w:val="20"/>
          <w:color w:val="auto"/>
        </w:rPr>
      </w:pPr>
      <w:r>
        <w:rPr>
          <w:rFonts w:ascii="Arial" w:cs="Arial" w:eastAsia="Arial" w:hAnsi="Arial"/>
          <w:sz w:val="15"/>
          <w:szCs w:val="15"/>
          <w:color w:val="auto"/>
        </w:rPr>
        <w:t>On each offering date, each eligible employee or eligible service provider, pursuant to an offering made under the ESPP, will be granted a purchase right to purchase up to that number of shares of our Class A common stock purchasable either with a percentage or with a maximum dollar amount, as designated by the ESPP Administrator; provided however, that in the case of eligible employees, such percentage or maximum dollar amount will in either case not exceed 15% of such employee’s earnings during the period that begins on the offering date (or such later date as the ESPP Administrator determines for a particular offering) and ends on the date stated in the offering, which date will be no later than the end of the offering, unless otherwise provided for in an offering.</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Purchase Price</w:t>
      </w:r>
    </w:p>
    <w:p>
      <w:pPr>
        <w:spacing w:after="0" w:line="162" w:lineRule="exact"/>
        <w:rPr>
          <w:sz w:val="20"/>
          <w:szCs w:val="20"/>
          <w:color w:val="auto"/>
        </w:rPr>
      </w:pPr>
    </w:p>
    <w:p>
      <w:pPr>
        <w:jc w:val="both"/>
        <w:ind w:right="120" w:firstLine="297"/>
        <w:spacing w:after="0" w:line="274" w:lineRule="auto"/>
        <w:rPr>
          <w:sz w:val="20"/>
          <w:szCs w:val="20"/>
          <w:color w:val="auto"/>
        </w:rPr>
      </w:pPr>
      <w:r>
        <w:rPr>
          <w:rFonts w:ascii="Arial" w:cs="Arial" w:eastAsia="Arial" w:hAnsi="Arial"/>
          <w:sz w:val="16"/>
          <w:szCs w:val="16"/>
          <w:color w:val="auto"/>
        </w:rPr>
        <w:t>The purchase price of shares of our Class A common stock acquired pursuant to purchase rights will be not less than the lesser of (i) 85% of the fair market value of the shares of our Class A common stock on the offering date; or (ii) 85% of the fair market value of the shares of our Class A common stock on the applicable purchase date (i.e., the last day of the applicable purchase period).</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Payment of Purchase Price; Payroll Deductions</w:t>
      </w:r>
    </w:p>
    <w:p>
      <w:pPr>
        <w:spacing w:after="0" w:line="162"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Purchase of Stock</w:t>
      </w:r>
    </w:p>
    <w:p>
      <w:pPr>
        <w:spacing w:after="0" w:line="162"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The ESPP Administrator will establish one or more purchase dates during an offering on which purchase rights granted for that offering will be exercised and shares of our Class A common stock will be purchased in accordance with such offering. In connection with each offering, the ESPP Administrator may specify a maximum number of shares of our Class A common stock that may be purchased by any participant or all participants. If the aggregate purchase of shares of our Class A common stock issuable on exercise of purchase rights granted under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3" w:lineRule="exact"/>
        <w:rPr>
          <w:sz w:val="20"/>
          <w:szCs w:val="20"/>
          <w:color w:val="auto"/>
        </w:rPr>
      </w:pPr>
    </w:p>
    <w:p>
      <w:pPr>
        <w:ind w:right="600"/>
        <w:spacing w:after="0" w:line="274" w:lineRule="auto"/>
        <w:rPr>
          <w:sz w:val="20"/>
          <w:szCs w:val="20"/>
          <w:color w:val="auto"/>
        </w:rPr>
      </w:pPr>
      <w:r>
        <w:rPr>
          <w:rFonts w:ascii="Arial" w:cs="Arial" w:eastAsia="Arial" w:hAnsi="Arial"/>
          <w:sz w:val="16"/>
          <w:szCs w:val="16"/>
          <w:color w:val="auto"/>
        </w:rPr>
        <w:t>would exceed any such maximum aggregate number, then, in the absence of any ESPP Administrator action otherwise, a pro rata (based on each participant’s accumulated contributions) allocation of the shares of our Class A common stock available will be made in as nearly a uniform manner as will be practicable and equitable.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Withdrawal</w:t>
      </w:r>
    </w:p>
    <w:p>
      <w:pPr>
        <w:spacing w:after="0" w:line="162" w:lineRule="exact"/>
        <w:rPr>
          <w:sz w:val="20"/>
          <w:szCs w:val="20"/>
          <w:color w:val="auto"/>
        </w:rPr>
      </w:pPr>
    </w:p>
    <w:p>
      <w:pPr>
        <w:ind w:right="80" w:firstLine="297"/>
        <w:spacing w:after="0" w:line="287" w:lineRule="auto"/>
        <w:rPr>
          <w:sz w:val="20"/>
          <w:szCs w:val="20"/>
          <w:color w:val="auto"/>
        </w:rPr>
      </w:pPr>
      <w:r>
        <w:rPr>
          <w:rFonts w:ascii="Arial" w:cs="Arial" w:eastAsia="Arial" w:hAnsi="Arial"/>
          <w:sz w:val="15"/>
          <w:szCs w:val="15"/>
          <w:color w:val="auto"/>
        </w:rPr>
        <w:t>During an offering, a participant may cease making contributions and withdraw from the offering by delivering to us or any third party designated by us a company provided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Termination of Eligibility</w:t>
      </w:r>
    </w:p>
    <w:p>
      <w:pPr>
        <w:spacing w:after="0" w:line="162"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will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Leave of Absence</w:t>
      </w:r>
    </w:p>
    <w:p>
      <w:pPr>
        <w:spacing w:after="0" w:line="162"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A participant will not be deemed to have terminated employment or failed to remain continuously employed by us or a Designated Company in the case of sick leave, military leave, or any other leave of absence approved by us; provided that such leave is for a period of not more than three months or reemployment upon the expiration of such leave is guaranteed by contract or statute. We will have sole discretion to determine whether a participant has terminated employment and the effective date on which the participant terminated employment, regardless of any notice period or garden leave required under local law.</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Employment Transfers</w:t>
      </w:r>
    </w:p>
    <w:p>
      <w:pPr>
        <w:spacing w:after="0" w:line="162"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Unless otherwise determined by the ESPP Administrator, a participant whose employment transfers or whose employment terminates with an immediate rehire (with no break in service) by or between us and a Designated Company or between Designated Companies will not be treated as having terminated employment for purposes of participating in the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ESPP, we will distribute as soon as practicable to such individual all of his or her accumulated but unused contributions.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Restrictions on Transfer</w:t>
      </w:r>
    </w:p>
    <w:p>
      <w:pPr>
        <w:spacing w:after="0" w:line="162" w:lineRule="exact"/>
        <w:rPr>
          <w:sz w:val="20"/>
          <w:szCs w:val="20"/>
          <w:color w:val="auto"/>
        </w:rPr>
      </w:pPr>
    </w:p>
    <w:p>
      <w:pPr>
        <w:ind w:right="220" w:firstLine="297"/>
        <w:spacing w:after="0" w:line="290" w:lineRule="auto"/>
        <w:rPr>
          <w:sz w:val="20"/>
          <w:szCs w:val="20"/>
          <w:color w:val="auto"/>
        </w:rPr>
      </w:pPr>
      <w:r>
        <w:rPr>
          <w:rFonts w:ascii="Arial" w:cs="Arial" w:eastAsia="Arial" w:hAnsi="Arial"/>
          <w:sz w:val="16"/>
          <w:szCs w:val="16"/>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Exercise of Purchase Rights</w:t>
      </w:r>
    </w:p>
    <w:p>
      <w:pPr>
        <w:spacing w:after="0" w:line="162" w:lineRule="exact"/>
        <w:rPr>
          <w:sz w:val="20"/>
          <w:szCs w:val="20"/>
          <w:color w:val="auto"/>
        </w:rPr>
      </w:pPr>
    </w:p>
    <w:p>
      <w:pPr>
        <w:ind w:right="360" w:firstLine="297"/>
        <w:spacing w:after="0" w:line="274" w:lineRule="auto"/>
        <w:rPr>
          <w:sz w:val="20"/>
          <w:szCs w:val="20"/>
          <w:color w:val="auto"/>
        </w:rPr>
      </w:pPr>
      <w:r>
        <w:rPr>
          <w:rFonts w:ascii="Arial" w:cs="Arial" w:eastAsia="Arial" w:hAnsi="Arial"/>
          <w:sz w:val="16"/>
          <w:szCs w:val="16"/>
          <w:color w:val="auto"/>
        </w:rPr>
        <w:t>On each purchase date, each participant’s accumulated contributions will be applied to the purchase of shares of our Class A common stock, up to the maximum number of shares of our Class A common stock permitted by the ESPP and the applicable offering, at the purchase price specified in the offering. Unless otherwise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offering, no fractional shares will be issued and, if any amount of accumulated contributions remains in a participant’s account after the purchase of shares of our Class A common stock on the final purchase date in an offering, such remaining amount will roll over to the next offering.</w:t>
      </w:r>
    </w:p>
    <w:p>
      <w:pPr>
        <w:spacing w:after="0" w:line="99" w:lineRule="exact"/>
        <w:rPr>
          <w:sz w:val="20"/>
          <w:szCs w:val="20"/>
          <w:color w:val="auto"/>
        </w:rPr>
      </w:pPr>
    </w:p>
    <w:p>
      <w:pPr>
        <w:ind w:right="20" w:firstLine="297"/>
        <w:spacing w:after="0" w:line="312" w:lineRule="auto"/>
        <w:rPr>
          <w:sz w:val="20"/>
          <w:szCs w:val="20"/>
          <w:color w:val="auto"/>
        </w:rPr>
      </w:pPr>
      <w:r>
        <w:rPr>
          <w:rFonts w:ascii="Arial" w:cs="Arial" w:eastAsia="Arial" w:hAnsi="Arial"/>
          <w:sz w:val="14"/>
          <w:szCs w:val="14"/>
          <w:color w:val="auto"/>
        </w:rPr>
        <w:t>No purchase rights may be exercised to any extent unless and until the shares of our Class A common stock to be issued on such exercise under the ESPP are covered by an effective registration statement pursuant to the U.S. Securities Act of 1933, as amended, and the ESPP is in material compliance with all applicable U.S. federal and state, foreign and other securities, exchange control, and other laws applicable to the ESPP. If, on the purchase date, as delayed to the maximum extent permissible, the shares of our Class A common stock are not registered and the ESPP is not in material compliance with all applicable laws or regulations, as determined by us in our sole discretion, no purchase rights will be exercised and all accumulated but unused contributions will be distributed as soon as practicable to the participants without interest.</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Capitalization Adjustments</w:t>
      </w:r>
    </w:p>
    <w:p>
      <w:pPr>
        <w:spacing w:after="0" w:line="16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In the event of a capitalization adjustment, the ESPP Administrator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Dissolution or Liquidation</w:t>
      </w:r>
    </w:p>
    <w:p>
      <w:pPr>
        <w:spacing w:after="0" w:line="162"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In the event of our company’s dissolution or liquidation, the ESPP Administrator will shorten any offering then in progress by setting a new purchase date prior to the consummation of such proposed dissolution or liquidation.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Effect of Certain Corporate Transactions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the event of:</w:t>
      </w:r>
    </w:p>
    <w:p>
      <w:pPr>
        <w:spacing w:after="0" w:line="162" w:lineRule="exact"/>
        <w:rPr>
          <w:sz w:val="20"/>
          <w:szCs w:val="20"/>
          <w:color w:val="auto"/>
        </w:rPr>
      </w:pPr>
    </w:p>
    <w:p>
      <w:pPr>
        <w:ind w:left="580" w:hanging="284"/>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transfer of all or substantially all of our company’s assets;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 merger, consolidation or other capital reorganization or business combination transaction of our company with or into another corporation, entity or person; or</w:t>
      </w:r>
    </w:p>
    <w:p>
      <w:pPr>
        <w:spacing w:after="0" w:line="173" w:lineRule="exact"/>
        <w:rPr>
          <w:rFonts w:ascii="Arial" w:cs="Arial" w:eastAsia="Arial" w:hAnsi="Arial"/>
          <w:sz w:val="15"/>
          <w:szCs w:val="15"/>
          <w:color w:val="auto"/>
        </w:rPr>
      </w:pPr>
    </w:p>
    <w:p>
      <w:pPr>
        <w:ind w:left="600" w:right="20" w:hanging="304"/>
        <w:spacing w:after="0" w:line="282" w:lineRule="auto"/>
        <w:tabs>
          <w:tab w:leader="none" w:pos="5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consummation of a transaction, or series of related transactions, in which any person becomes the beneficial owner, directly or indirectly, of more than 50% of our then outstanding capital stock; then: (i) any surviving corporation or acquiring corporation (or the surviving or acquiring corporation’s parent company) may assume or continue outstanding purchase rights or may substitute similar rights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our Class A common stock prior to the corporate transaction under the outstanding purchase rights, and the purchase rights will terminate immediately after such purchase.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Spin-Off</w:t>
      </w:r>
    </w:p>
    <w:p>
      <w:pPr>
        <w:spacing w:after="0" w:line="162" w:lineRule="exact"/>
        <w:rPr>
          <w:sz w:val="20"/>
          <w:szCs w:val="20"/>
          <w:color w:val="auto"/>
        </w:rPr>
      </w:pPr>
    </w:p>
    <w:p>
      <w:pPr>
        <w:ind w:right="520" w:firstLine="297"/>
        <w:spacing w:after="0" w:line="290" w:lineRule="auto"/>
        <w:rPr>
          <w:sz w:val="20"/>
          <w:szCs w:val="20"/>
          <w:color w:val="auto"/>
        </w:rPr>
      </w:pPr>
      <w:r>
        <w:rPr>
          <w:rFonts w:ascii="Arial" w:cs="Arial" w:eastAsia="Arial" w:hAnsi="Arial"/>
          <w:sz w:val="16"/>
          <w:szCs w:val="16"/>
          <w:color w:val="auto"/>
        </w:rPr>
        <w:t>In the event of a spin-off or similar transaction involving us, the ESPP Administrator may take actions deemed necessary or appropriate in connection with an ongoing offering and subject to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3" w:lineRule="exact"/>
        <w:rPr>
          <w:sz w:val="20"/>
          <w:szCs w:val="20"/>
          <w:color w:val="auto"/>
        </w:rPr>
      </w:pPr>
    </w:p>
    <w:p>
      <w:pPr>
        <w:ind w:left="1" w:right="120"/>
        <w:spacing w:after="0" w:line="300" w:lineRule="auto"/>
        <w:rPr>
          <w:sz w:val="20"/>
          <w:szCs w:val="20"/>
          <w:color w:val="auto"/>
        </w:rPr>
      </w:pPr>
      <w:r>
        <w:rPr>
          <w:rFonts w:ascii="Arial" w:cs="Arial" w:eastAsia="Arial" w:hAnsi="Arial"/>
          <w:sz w:val="15"/>
          <w:szCs w:val="15"/>
          <w:color w:val="auto"/>
        </w:rPr>
        <w:t>(including the assumption of purchase rights under an ongoing offering by the spun-off company, or shortening an offering and scheduling a new purchase date prior to the closing of such transaction). In the absence of any such action by the ESPP Administrator, a participant in an ongoing offering whose employer ceases to qualify as a related corporation as of the closing of a spin-off or similar transaction will be treated in the same manner as if the participant had terminated employment.</w:t>
      </w:r>
    </w:p>
    <w:p>
      <w:pPr>
        <w:spacing w:after="0" w:line="95"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Amendment, Termination or Suspension of the ESPP</w:t>
      </w:r>
    </w:p>
    <w:p>
      <w:pPr>
        <w:spacing w:after="0" w:line="162" w:lineRule="exact"/>
        <w:rPr>
          <w:sz w:val="20"/>
          <w:szCs w:val="20"/>
          <w:color w:val="auto"/>
        </w:rPr>
      </w:pPr>
    </w:p>
    <w:p>
      <w:pPr>
        <w:ind w:left="1" w:right="40" w:firstLine="297"/>
        <w:spacing w:after="0" w:line="309" w:lineRule="auto"/>
        <w:rPr>
          <w:sz w:val="20"/>
          <w:szCs w:val="20"/>
          <w:color w:val="auto"/>
        </w:rPr>
      </w:pPr>
      <w:r>
        <w:rPr>
          <w:rFonts w:ascii="Arial" w:cs="Arial" w:eastAsia="Arial" w:hAnsi="Arial"/>
          <w:sz w:val="14"/>
          <w:szCs w:val="14"/>
          <w:color w:val="auto"/>
        </w:rPr>
        <w:t>The ESPP Administrator may amend the ESPP at any time in any respect the ESPP Administrator deems necessary or advisable. However, except with respect to capitalization adjustments described above, shareholder approval will be required for any amendment of the ESPP for which shareholder approval is required by applicable laws, regulations or listing requirements, including any amendment that either (i) increases the number of shares of our Class A common stock available for issuance under the ESPP, (ii) expands the class of individuals eligible to become participants and receive purchase rights, (iii) materially increases the benefits accruing to participants under the ESPP or reduces the price at which shares of our Class A common stock may be purchased under the ESPP, (iv) extends the term of the ESPP, or (v) expands the types of awards available for issuance under the ESPP, but in each case only to the extent shareholder approval is required by applicable laws.</w:t>
      </w:r>
    </w:p>
    <w:p>
      <w:pPr>
        <w:spacing w:after="0" w:line="92" w:lineRule="exact"/>
        <w:rPr>
          <w:sz w:val="20"/>
          <w:szCs w:val="20"/>
          <w:color w:val="auto"/>
        </w:rPr>
      </w:pPr>
    </w:p>
    <w:p>
      <w:pPr>
        <w:ind w:left="1" w:right="80" w:firstLine="297"/>
        <w:spacing w:after="0" w:line="290" w:lineRule="auto"/>
        <w:rPr>
          <w:sz w:val="20"/>
          <w:szCs w:val="20"/>
          <w:color w:val="auto"/>
        </w:rPr>
      </w:pPr>
      <w:r>
        <w:rPr>
          <w:rFonts w:ascii="Arial" w:cs="Arial" w:eastAsia="Arial" w:hAnsi="Arial"/>
          <w:sz w:val="16"/>
          <w:szCs w:val="16"/>
          <w:color w:val="auto"/>
        </w:rPr>
        <w:t>The ESPP Administrator may suspend or terminate the ESPP at any time. No purchase rights may be granted under the ESPP while the ESPP is suspended or after it is terminated.</w:t>
      </w:r>
    </w:p>
    <w:p>
      <w:pPr>
        <w:spacing w:after="0" w:line="99" w:lineRule="exact"/>
        <w:rPr>
          <w:sz w:val="20"/>
          <w:szCs w:val="20"/>
          <w:color w:val="auto"/>
        </w:rPr>
      </w:pPr>
    </w:p>
    <w:p>
      <w:pPr>
        <w:ind w:left="1" w:right="100" w:firstLine="297"/>
        <w:spacing w:after="0" w:line="303" w:lineRule="auto"/>
        <w:rPr>
          <w:sz w:val="20"/>
          <w:szCs w:val="20"/>
          <w:color w:val="auto"/>
        </w:rPr>
      </w:pPr>
      <w:r>
        <w:rPr>
          <w:rFonts w:ascii="Arial" w:cs="Arial" w:eastAsia="Arial" w:hAnsi="Arial"/>
          <w:sz w:val="14"/>
          <w:szCs w:val="14"/>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w:t>
      </w:r>
    </w:p>
    <w:p>
      <w:pPr>
        <w:ind w:left="1" w:right="660" w:hanging="1"/>
        <w:spacing w:after="0" w:line="276" w:lineRule="auto"/>
        <w:tabs>
          <w:tab w:leader="none" w:pos="243"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necessary to comply with any laws, listing requirements, or governmental regulations, or (iii) as necessary to obtain or maintain any special tax, listing, or regulatory treatment.</w:t>
      </w:r>
    </w:p>
    <w:p>
      <w:pPr>
        <w:spacing w:after="0" w:line="110"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Executive Incentive Bonus Plan</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On January 7, 2021, our board of directors approved the Executive Incentive Bonus Plan (the “Bonus Plan”).</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General</w:t>
      </w:r>
    </w:p>
    <w:p>
      <w:pPr>
        <w:spacing w:after="0" w:line="162" w:lineRule="exact"/>
        <w:rPr>
          <w:sz w:val="20"/>
          <w:szCs w:val="20"/>
          <w:color w:val="auto"/>
        </w:rPr>
      </w:pPr>
    </w:p>
    <w:p>
      <w:pPr>
        <w:ind w:left="1" w:firstLine="297"/>
        <w:spacing w:after="0" w:line="262" w:lineRule="auto"/>
        <w:rPr>
          <w:sz w:val="20"/>
          <w:szCs w:val="20"/>
          <w:color w:val="auto"/>
        </w:rPr>
      </w:pPr>
      <w:r>
        <w:rPr>
          <w:rFonts w:ascii="Arial" w:cs="Arial" w:eastAsia="Arial" w:hAnsi="Arial"/>
          <w:sz w:val="16"/>
          <w:szCs w:val="16"/>
          <w:color w:val="auto"/>
        </w:rPr>
        <w:t>The purpose of the Bonus Plan is to motivate and reward eligible officers and employees of Clover Health, including the named executive officers, for their contributions toward the achievement of certain performance goals. The Bonus Plan is administered by the compensation committee of Clover Health’s board of directors,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directors and/or officers of Clover Health.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124"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Targets and Performance Criteria</w:t>
      </w:r>
    </w:p>
    <w:p>
      <w:pPr>
        <w:spacing w:after="0" w:line="162" w:lineRule="exact"/>
        <w:rPr>
          <w:sz w:val="20"/>
          <w:szCs w:val="20"/>
          <w:color w:val="auto"/>
        </w:rPr>
      </w:pPr>
    </w:p>
    <w:p>
      <w:pPr>
        <w:ind w:left="1" w:right="20" w:firstLine="297"/>
        <w:spacing w:after="0" w:line="268" w:lineRule="auto"/>
        <w:rPr>
          <w:sz w:val="20"/>
          <w:szCs w:val="20"/>
          <w:color w:val="auto"/>
        </w:rPr>
      </w:pPr>
      <w:r>
        <w:rPr>
          <w:rFonts w:ascii="Arial" w:cs="Arial" w:eastAsia="Arial" w:hAnsi="Arial"/>
          <w:sz w:val="16"/>
          <w:szCs w:val="16"/>
          <w:color w:val="auto"/>
        </w:rPr>
        <w:t>The compensation committee may establish cash bonus targets and corporate performance metrics for a specific performance period or fiscal year pursuant to the Bonus Plan. Corporate performance goals may be based on wide-ranging criteria and metrics described in the plan. However, awards issued to participants may also take into account other factors, including subjective factors. Performance goals may differ from participant to participant, performance period to performance period, and from award to award.</w:t>
      </w:r>
    </w:p>
    <w:p>
      <w:pPr>
        <w:spacing w:after="0" w:line="118"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Eligibility and Clawback</w:t>
      </w:r>
    </w:p>
    <w:p>
      <w:pPr>
        <w:spacing w:after="0" w:line="162" w:lineRule="exact"/>
        <w:rPr>
          <w:sz w:val="20"/>
          <w:szCs w:val="20"/>
          <w:color w:val="auto"/>
        </w:rPr>
      </w:pPr>
    </w:p>
    <w:p>
      <w:pPr>
        <w:ind w:left="1" w:firstLine="297"/>
        <w:spacing w:after="0" w:line="290" w:lineRule="auto"/>
        <w:rPr>
          <w:sz w:val="20"/>
          <w:szCs w:val="20"/>
          <w:color w:val="auto"/>
        </w:rPr>
      </w:pPr>
      <w:r>
        <w:rPr>
          <w:rFonts w:ascii="Arial" w:cs="Arial" w:eastAsia="Arial" w:hAnsi="Arial"/>
          <w:sz w:val="16"/>
          <w:szCs w:val="16"/>
          <w:color w:val="auto"/>
        </w:rPr>
        <w:t>Unless otherwise determined by the compensation committee, a participant must be actively employed and in good standing with Clover Health on the date the award is paid. The compensation committee may make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151" w:name="page152"/>
    <w:bookmarkEnd w:id="151"/>
    <w:p>
      <w:pPr>
        <w:spacing w:after="0" w:line="23"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to this requirement in the case of retirement, death or disability, an unqualified leave of absence or under other circumstances, as determined by the compensation committee in its sole discretion.</w:t>
      </w:r>
    </w:p>
    <w:p>
      <w:pPr>
        <w:spacing w:after="0" w:line="99"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Awards granted under the Bonus Plan are subject to applicable laws and clawback policies requiring forfeiture or repayment of amounts paid under the plan. The compensation committee may require a participant to forfeit or return to and/or reimburse Clover Health for any amounts paid with respect to an award, pursuant to the terms of any Clover Health clawback policy or as necessary or appropriate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52" w:name="page153"/>
    <w:bookmarkEnd w:id="152"/>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RELATIONSHIPS AND RELATED PERSON TRANSACTIONS</w:t>
      </w:r>
    </w:p>
    <w:p>
      <w:pPr>
        <w:spacing w:after="0" w:line="166" w:lineRule="exact"/>
        <w:rPr>
          <w:sz w:val="20"/>
          <w:szCs w:val="20"/>
          <w:color w:val="auto"/>
        </w:rPr>
      </w:pPr>
    </w:p>
    <w:p>
      <w:pPr>
        <w:ind w:right="20" w:firstLine="297"/>
        <w:spacing w:after="0" w:line="290" w:lineRule="auto"/>
        <w:rPr>
          <w:sz w:val="20"/>
          <w:szCs w:val="20"/>
          <w:color w:val="auto"/>
        </w:rPr>
      </w:pPr>
      <w:r>
        <w:rPr>
          <w:rFonts w:ascii="Arial" w:cs="Arial" w:eastAsia="Arial" w:hAnsi="Arial"/>
          <w:sz w:val="16"/>
          <w:szCs w:val="16"/>
          <w:color w:val="auto"/>
        </w:rPr>
        <w:t>Other than compensation arrangements for our directors and executive officers, which are described elsewhere in this prospectus, the following describes transactions since January 1, 2018, and each currently proposed transaction in which:</w:t>
      </w:r>
    </w:p>
    <w:p>
      <w:pPr>
        <w:spacing w:after="0" w:line="99" w:lineRule="exact"/>
        <w:rPr>
          <w:sz w:val="20"/>
          <w:szCs w:val="20"/>
          <w:color w:val="auto"/>
        </w:rPr>
      </w:pPr>
    </w:p>
    <w:p>
      <w:pPr>
        <w:ind w:left="580" w:hanging="284"/>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SCH or Clover have been or are to be a participant;</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and</w:t>
      </w:r>
    </w:p>
    <w:p>
      <w:pPr>
        <w:spacing w:after="0" w:line="162" w:lineRule="exact"/>
        <w:rPr>
          <w:rFonts w:ascii="Arial" w:cs="Arial" w:eastAsia="Arial" w:hAnsi="Arial"/>
          <w:sz w:val="16"/>
          <w:szCs w:val="16"/>
          <w:color w:val="auto"/>
        </w:rPr>
      </w:pPr>
    </w:p>
    <w:p>
      <w:pPr>
        <w:ind w:left="600" w:right="160" w:hanging="304"/>
        <w:spacing w:after="0" w:line="290" w:lineRule="auto"/>
        <w:tabs>
          <w:tab w:leader="none" w:pos="59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166" w:lineRule="exact"/>
        <w:rPr>
          <w:sz w:val="20"/>
          <w:szCs w:val="20"/>
          <w:color w:val="auto"/>
        </w:rPr>
      </w:pPr>
    </w:p>
    <w:p>
      <w:pPr>
        <w:ind w:right="20" w:firstLine="297"/>
        <w:spacing w:after="0" w:line="263" w:lineRule="auto"/>
        <w:rPr>
          <w:sz w:val="20"/>
          <w:szCs w:val="20"/>
          <w:color w:val="auto"/>
        </w:rPr>
      </w:pPr>
      <w:r>
        <w:rPr>
          <w:rFonts w:ascii="Arial" w:cs="Arial" w:eastAsia="Arial" w:hAnsi="Arial"/>
          <w:sz w:val="16"/>
          <w:szCs w:val="16"/>
          <w:color w:val="auto"/>
        </w:rPr>
        <w:t>In connection with the Closing, we, the Sponsor, SCH’s independent directors, certain stockholders of Clover, including entities affiliated with Mr. Garipalli, our Chief Executive Officer, entities affiliated with Greenoaks Capital, a holder of more than 5% of our outstanding capital stock, and entities affiliated with our director, Nathaniel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The Registration Rights Agreement will terminate on the earlier of (i) the tenth anniversary of the date of the Registration Rights Agreement or (ii) with respect to any party thereto, on the date that such party no longer holds any registrable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Pre-Business Combination Related Party Transactions of Clover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Series D Preferred Stock Financing</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multiple closings between May 2017 and December 2018, Clover sold an aggregate of 25,547,782 shares of its Series D preferred stock at a purchase price of</w:t>
      </w:r>
    </w:p>
    <w:p>
      <w:pPr>
        <w:spacing w:after="0" w:line="3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$9.3778 per share for an aggregate purchase price of approximately $239.6 million. The following table summarizes the Series D preferred stock purchased by beneficial owners of more than 5% of our capital stock. The terms of these purchases were the same for all purchasers of Clover’s Series D preferred stock.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stockholder</w:t>
            </w:r>
          </w:p>
        </w:tc>
        <w:tc>
          <w:tcPr>
            <w:tcW w:w="166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 of Series D</w:t>
            </w:r>
          </w:p>
        </w:tc>
        <w:tc>
          <w:tcPr>
            <w:tcW w:w="160" w:type="dxa"/>
            <w:vAlign w:val="bottom"/>
          </w:tcPr>
          <w:p>
            <w:pPr>
              <w:spacing w:after="0"/>
              <w:rPr>
                <w:sz w:val="15"/>
                <w:szCs w:val="15"/>
                <w:color w:val="auto"/>
              </w:rPr>
            </w:pPr>
          </w:p>
        </w:tc>
        <w:tc>
          <w:tcPr>
            <w:tcW w:w="1400" w:type="dxa"/>
            <w:vAlign w:val="bottom"/>
          </w:tcPr>
          <w:p>
            <w:pPr>
              <w:jc w:val="right"/>
              <w:ind w:right="126"/>
              <w:spacing w:after="0"/>
              <w:rPr>
                <w:sz w:val="20"/>
                <w:szCs w:val="20"/>
                <w:color w:val="auto"/>
              </w:rPr>
            </w:pPr>
            <w:r>
              <w:rPr>
                <w:rFonts w:ascii="Arial" w:cs="Arial" w:eastAsia="Arial" w:hAnsi="Arial"/>
                <w:sz w:val="13"/>
                <w:szCs w:val="13"/>
                <w:b w:val="1"/>
                <w:bCs w:val="1"/>
                <w:color w:val="auto"/>
                <w:w w:val="91"/>
              </w:rPr>
              <w:t>Total Purchase Price</w:t>
            </w:r>
          </w:p>
        </w:tc>
      </w:tr>
      <w:tr>
        <w:trPr>
          <w:trHeight w:val="208"/>
        </w:trPr>
        <w:tc>
          <w:tcPr>
            <w:tcW w:w="7920" w:type="dxa"/>
            <w:vAlign w:val="bottom"/>
            <w:tcBorders>
              <w:top w:val="single" w:sz="8" w:color="auto"/>
            </w:tcBorders>
            <w:shd w:val="clear" w:color="auto" w:fill="CCEEFF"/>
          </w:tcPr>
          <w:p>
            <w:pPr>
              <w:ind w:left="20"/>
              <w:spacing w:after="0" w:line="208" w:lineRule="exact"/>
              <w:rPr>
                <w:sz w:val="20"/>
                <w:szCs w:val="20"/>
                <w:color w:val="auto"/>
              </w:rPr>
            </w:pPr>
            <w:r>
              <w:rPr>
                <w:rFonts w:ascii="Arial" w:cs="Arial" w:eastAsia="Arial" w:hAnsi="Arial"/>
                <w:sz w:val="16"/>
                <w:szCs w:val="16"/>
                <w:color w:val="auto"/>
              </w:rPr>
              <w:t>Entities affiliated with Greenoaks Capital</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3,199,044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29,999,994</w:t>
            </w: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Bridge Loan Financing</w:t>
      </w:r>
    </w:p>
    <w:p>
      <w:pPr>
        <w:spacing w:after="0" w:line="162" w:lineRule="exact"/>
        <w:rPr>
          <w:sz w:val="20"/>
          <w:szCs w:val="20"/>
          <w:color w:val="auto"/>
        </w:rPr>
      </w:pPr>
    </w:p>
    <w:p>
      <w:pPr>
        <w:jc w:val="both"/>
        <w:ind w:right="220" w:firstLine="297"/>
        <w:spacing w:after="0" w:line="274" w:lineRule="auto"/>
        <w:rPr>
          <w:sz w:val="20"/>
          <w:szCs w:val="20"/>
          <w:color w:val="auto"/>
        </w:rPr>
      </w:pPr>
      <w:r>
        <w:rPr>
          <w:rFonts w:ascii="Arial" w:cs="Arial" w:eastAsia="Arial" w:hAnsi="Arial"/>
          <w:sz w:val="16"/>
          <w:szCs w:val="16"/>
          <w:color w:val="auto"/>
        </w:rPr>
        <w:t>In December 2018, Clover issued non-convertible promissory notes in an aggregate principal amount of $30.0 million to accredited investors. The non-convertible promissory notes accrued interest at a rate of 10%. All outstanding principal amount and accrued interest under the non-convertible promissory notes were cancelled in consideration for convertible securities upon the closing of Clover’s convertible securities financing in February</w:t>
      </w:r>
    </w:p>
    <w:p>
      <w:pPr>
        <w:spacing w:after="0" w:line="112" w:lineRule="exact"/>
        <w:rPr>
          <w:sz w:val="20"/>
          <w:szCs w:val="20"/>
          <w:color w:val="auto"/>
        </w:rPr>
      </w:pPr>
    </w:p>
    <w:p>
      <w:pPr>
        <w:ind w:right="40" w:firstLine="297"/>
        <w:spacing w:after="0" w:line="290" w:lineRule="auto"/>
        <w:rPr>
          <w:sz w:val="20"/>
          <w:szCs w:val="20"/>
          <w:color w:val="auto"/>
        </w:rPr>
      </w:pPr>
      <w:r>
        <w:rPr>
          <w:rFonts w:ascii="Arial" w:cs="Arial" w:eastAsia="Arial" w:hAnsi="Arial"/>
          <w:sz w:val="16"/>
          <w:szCs w:val="16"/>
          <w:color w:val="auto"/>
        </w:rPr>
        <w:t>2019. The following table summarizes the non-convertible promissory notes purchased by our directors, executive officers and beneficial owners of more than 5% of our capital stock. The terms of these purchases were the same for all purchasers of non-convertible promissory notes.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 of holder</w:t>
            </w:r>
          </w:p>
        </w:tc>
        <w:tc>
          <w:tcPr>
            <w:tcW w:w="160" w:type="dxa"/>
            <w:vAlign w:val="bottom"/>
          </w:tcPr>
          <w:p>
            <w:pPr>
              <w:spacing w:after="0"/>
              <w:rPr>
                <w:sz w:val="12"/>
                <w:szCs w:val="12"/>
                <w:color w:val="auto"/>
              </w:rPr>
            </w:pPr>
          </w:p>
        </w:tc>
        <w:tc>
          <w:tcPr>
            <w:tcW w:w="1400" w:type="dxa"/>
            <w:vAlign w:val="bottom"/>
          </w:tcPr>
          <w:p>
            <w:pPr>
              <w:jc w:val="right"/>
              <w:ind w:right="146"/>
              <w:spacing w:after="0"/>
              <w:rPr>
                <w:sz w:val="20"/>
                <w:szCs w:val="20"/>
                <w:color w:val="auto"/>
              </w:rPr>
            </w:pPr>
            <w:r>
              <w:rPr>
                <w:rFonts w:ascii="Arial" w:cs="Arial" w:eastAsia="Arial" w:hAnsi="Arial"/>
                <w:sz w:val="13"/>
                <w:szCs w:val="13"/>
                <w:b w:val="1"/>
                <w:bCs w:val="1"/>
                <w:color w:val="auto"/>
                <w:w w:val="94"/>
              </w:rPr>
              <w:t>Aggregate Principal</w:t>
            </w:r>
          </w:p>
        </w:tc>
        <w:tc>
          <w:tcPr>
            <w:tcW w:w="0" w:type="dxa"/>
            <w:vAlign w:val="bottom"/>
          </w:tcPr>
          <w:p>
            <w:pPr>
              <w:spacing w:after="0"/>
              <w:rPr>
                <w:sz w:val="1"/>
                <w:szCs w:val="1"/>
                <w:color w:val="auto"/>
              </w:rPr>
            </w:pPr>
          </w:p>
        </w:tc>
      </w:tr>
      <w:tr>
        <w:trPr>
          <w:trHeight w:val="171"/>
        </w:trPr>
        <w:tc>
          <w:tcPr>
            <w:tcW w:w="9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466"/>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4"/>
        </w:trPr>
        <w:tc>
          <w:tcPr>
            <w:tcW w:w="9580" w:type="dxa"/>
            <w:vAlign w:val="bottom"/>
            <w:tcBorders>
              <w:top w:val="single" w:sz="8" w:color="auto"/>
            </w:tcBorders>
            <w:shd w:val="clear" w:color="auto" w:fill="CCEEFF"/>
          </w:tcPr>
          <w:p>
            <w:pPr>
              <w:ind w:left="20"/>
              <w:spacing w:after="0" w:line="205" w:lineRule="exact"/>
              <w:rPr>
                <w:sz w:val="20"/>
                <w:szCs w:val="20"/>
                <w:color w:val="auto"/>
              </w:rPr>
            </w:pPr>
            <w:r>
              <w:rPr>
                <w:rFonts w:ascii="Arial" w:cs="Arial" w:eastAsia="Arial" w:hAnsi="Arial"/>
                <w:sz w:val="16"/>
                <w:szCs w:val="16"/>
                <w:color w:val="auto"/>
              </w:rPr>
              <w:t>Entities affiliated with Greenoaks Capital</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0" w:type="dxa"/>
            <w:vAlign w:val="bottom"/>
          </w:tcPr>
          <w:p>
            <w:pPr>
              <w:spacing w:after="0"/>
              <w:rPr>
                <w:sz w:val="1"/>
                <w:szCs w:val="1"/>
                <w:color w:val="auto"/>
              </w:rPr>
            </w:pPr>
          </w:p>
        </w:tc>
      </w:tr>
      <w:tr>
        <w:trPr>
          <w:trHeight w:val="278"/>
        </w:trPr>
        <w:tc>
          <w:tcPr>
            <w:tcW w:w="9680" w:type="dxa"/>
            <w:vAlign w:val="bottom"/>
            <w:gridSpan w:val="2"/>
          </w:tcPr>
          <w:p>
            <w:pPr>
              <w:ind w:left="20"/>
              <w:spacing w:after="0"/>
              <w:rPr>
                <w:sz w:val="20"/>
                <w:szCs w:val="20"/>
                <w:color w:val="auto"/>
              </w:rPr>
            </w:pPr>
            <w:r>
              <w:rPr>
                <w:rFonts w:ascii="Arial" w:cs="Arial" w:eastAsia="Arial" w:hAnsi="Arial"/>
                <w:sz w:val="16"/>
                <w:szCs w:val="16"/>
                <w:color w:val="auto"/>
              </w:rPr>
              <w:t>Caesar Clover, LLC</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w:t>
      </w:r>
    </w:p>
    <w:p>
      <w:pPr>
        <w:spacing w:after="0" w:line="19" w:lineRule="exact"/>
        <w:rPr>
          <w:sz w:val="20"/>
          <w:szCs w:val="20"/>
          <w:color w:val="auto"/>
        </w:rPr>
      </w:pPr>
    </w:p>
    <w:p>
      <w:pPr>
        <w:ind w:left="281" w:hanging="281"/>
        <w:spacing w:after="0"/>
        <w:tabs>
          <w:tab w:leader="none" w:pos="281" w:val="left"/>
        </w:tabs>
        <w:numPr>
          <w:ilvl w:val="0"/>
          <w:numId w:val="77"/>
        </w:numPr>
        <w:rPr>
          <w:rFonts w:ascii="Arial" w:cs="Arial" w:eastAsia="Arial" w:hAnsi="Arial"/>
          <w:sz w:val="13"/>
          <w:szCs w:val="13"/>
          <w:color w:val="auto"/>
        </w:rPr>
      </w:pPr>
      <w:r>
        <w:rPr>
          <w:rFonts w:ascii="Arial" w:cs="Arial" w:eastAsia="Arial" w:hAnsi="Arial"/>
          <w:sz w:val="13"/>
          <w:szCs w:val="13"/>
          <w:color w:val="auto"/>
        </w:rPr>
        <w:t>Entities affiliated with Greenoaks Capital are collectively a greater than 5% stockholder.</w:t>
      </w:r>
    </w:p>
    <w:p>
      <w:pPr>
        <w:ind w:left="301" w:right="320" w:hanging="301"/>
        <w:spacing w:after="0" w:line="247" w:lineRule="auto"/>
        <w:tabs>
          <w:tab w:leader="none" w:pos="294" w:val="left"/>
        </w:tabs>
        <w:numPr>
          <w:ilvl w:val="0"/>
          <w:numId w:val="77"/>
        </w:numPr>
        <w:rPr>
          <w:rFonts w:ascii="Arial" w:cs="Arial" w:eastAsia="Arial" w:hAnsi="Arial"/>
          <w:sz w:val="13"/>
          <w:szCs w:val="13"/>
          <w:color w:val="auto"/>
        </w:rPr>
      </w:pPr>
      <w:r>
        <w:rPr>
          <w:rFonts w:ascii="Arial" w:cs="Arial" w:eastAsia="Arial" w:hAnsi="Arial"/>
          <w:sz w:val="13"/>
          <w:szCs w:val="13"/>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131"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Convertible Securities Financing</w:t>
      </w:r>
    </w:p>
    <w:p>
      <w:pPr>
        <w:spacing w:after="0" w:line="162" w:lineRule="exact"/>
        <w:rPr>
          <w:sz w:val="20"/>
          <w:szCs w:val="20"/>
          <w:color w:val="auto"/>
        </w:rPr>
      </w:pPr>
    </w:p>
    <w:p>
      <w:pPr>
        <w:ind w:left="1" w:right="20" w:firstLine="297"/>
        <w:spacing w:after="0" w:line="268" w:lineRule="auto"/>
        <w:rPr>
          <w:sz w:val="20"/>
          <w:szCs w:val="20"/>
          <w:color w:val="auto"/>
        </w:rPr>
      </w:pPr>
      <w:r>
        <w:rPr>
          <w:rFonts w:ascii="Arial" w:cs="Arial" w:eastAsia="Arial" w:hAnsi="Arial"/>
          <w:sz w:val="16"/>
          <w:szCs w:val="16"/>
          <w:color w:val="auto"/>
        </w:rPr>
        <w:t>In February, March, May and August 2019, Clover issued and sold convertible securities, in an aggregate principal amount of $373.8 million to accredited investors. The following table summarizes the aggregate principal amounts and amounts outstanding as of the Closing Date, for the contingently convertible securities purchased by our directors, executive officers and beneficial owners of more than 5% of our capital stock. The terms of these purchases were the same for all purchasers of the contingently promissory securities.</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7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 of stockholder</w:t>
            </w:r>
          </w:p>
        </w:tc>
        <w:tc>
          <w:tcPr>
            <w:tcW w:w="19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Principal Aggregate Amount</w:t>
            </w: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 outstanding as of the</w:t>
            </w:r>
          </w:p>
        </w:tc>
        <w:tc>
          <w:tcPr>
            <w:tcW w:w="0" w:type="dxa"/>
            <w:vAlign w:val="bottom"/>
          </w:tcPr>
          <w:p>
            <w:pPr>
              <w:spacing w:after="0"/>
              <w:rPr>
                <w:sz w:val="1"/>
                <w:szCs w:val="1"/>
                <w:color w:val="auto"/>
              </w:rPr>
            </w:pPr>
          </w:p>
        </w:tc>
      </w:tr>
      <w:tr>
        <w:trPr>
          <w:trHeight w:val="171"/>
        </w:trPr>
        <w:tc>
          <w:tcPr>
            <w:tcW w:w="7540" w:type="dxa"/>
            <w:vAlign w:val="bottom"/>
            <w:gridSpan w:val="2"/>
            <w:vMerge w:val="continue"/>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463"/>
              <w:spacing w:after="0"/>
              <w:rPr>
                <w:sz w:val="20"/>
                <w:szCs w:val="20"/>
                <w:color w:val="auto"/>
              </w:rPr>
            </w:pPr>
            <w:r>
              <w:rPr>
                <w:rFonts w:ascii="Arial" w:cs="Arial" w:eastAsia="Arial" w:hAnsi="Arial"/>
                <w:sz w:val="13"/>
                <w:szCs w:val="13"/>
                <w:b w:val="1"/>
                <w:bCs w:val="1"/>
                <w:color w:val="auto"/>
              </w:rPr>
              <w:t>Closing Date</w:t>
            </w:r>
          </w:p>
        </w:tc>
        <w:tc>
          <w:tcPr>
            <w:tcW w:w="0" w:type="dxa"/>
            <w:vAlign w:val="bottom"/>
          </w:tcPr>
          <w:p>
            <w:pPr>
              <w:spacing w:after="0"/>
              <w:rPr>
                <w:sz w:val="1"/>
                <w:szCs w:val="1"/>
                <w:color w:val="auto"/>
              </w:rPr>
            </w:pPr>
          </w:p>
        </w:tc>
      </w:tr>
      <w:tr>
        <w:trPr>
          <w:trHeight w:val="204"/>
        </w:trPr>
        <w:tc>
          <w:tcPr>
            <w:tcW w:w="7440" w:type="dxa"/>
            <w:vAlign w:val="bottom"/>
            <w:tcBorders>
              <w:top w:val="single" w:sz="8" w:color="auto"/>
            </w:tcBorders>
            <w:shd w:val="clear" w:color="auto" w:fill="CCEEFF"/>
          </w:tcPr>
          <w:p>
            <w:pPr>
              <w:ind w:left="20"/>
              <w:spacing w:after="0" w:line="205" w:lineRule="exact"/>
              <w:rPr>
                <w:sz w:val="20"/>
                <w:szCs w:val="20"/>
                <w:color w:val="auto"/>
              </w:rPr>
            </w:pPr>
            <w:r>
              <w:rPr>
                <w:rFonts w:ascii="Arial" w:cs="Arial" w:eastAsia="Arial" w:hAnsi="Arial"/>
                <w:sz w:val="16"/>
                <w:szCs w:val="16"/>
                <w:color w:val="auto"/>
              </w:rPr>
              <w:t>Entities affiliated with Greenoaks Capital</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338,898,890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383,353,794</w:t>
            </w:r>
          </w:p>
        </w:tc>
        <w:tc>
          <w:tcPr>
            <w:tcW w:w="0" w:type="dxa"/>
            <w:vAlign w:val="bottom"/>
          </w:tcPr>
          <w:p>
            <w:pPr>
              <w:spacing w:after="0"/>
              <w:rPr>
                <w:sz w:val="1"/>
                <w:szCs w:val="1"/>
                <w:color w:val="auto"/>
              </w:rPr>
            </w:pPr>
          </w:p>
        </w:tc>
      </w:tr>
      <w:tr>
        <w:trPr>
          <w:trHeight w:val="278"/>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Caesar Clover, LLC</w:t>
            </w:r>
            <w:r>
              <w:rPr>
                <w:rFonts w:ascii="Arial" w:cs="Arial" w:eastAsia="Arial" w:hAnsi="Arial"/>
                <w:sz w:val="21"/>
                <w:szCs w:val="21"/>
                <w:color w:val="auto"/>
                <w:vertAlign w:val="superscript"/>
              </w:rPr>
              <w:t>(2)</w:t>
            </w:r>
          </w:p>
        </w:tc>
        <w:tc>
          <w:tcPr>
            <w:tcW w:w="500" w:type="dxa"/>
            <w:vAlign w:val="bottom"/>
          </w:tcPr>
          <w:p>
            <w:pPr>
              <w:jc w:val="right"/>
              <w:ind w:right="323"/>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10,138,889</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11,650,330</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w:t>
      </w:r>
    </w:p>
    <w:p>
      <w:pPr>
        <w:spacing w:after="0" w:line="60" w:lineRule="exact"/>
        <w:rPr>
          <w:sz w:val="20"/>
          <w:szCs w:val="20"/>
          <w:color w:val="auto"/>
        </w:rPr>
      </w:pPr>
    </w:p>
    <w:p>
      <w:pPr>
        <w:ind w:left="281" w:hanging="281"/>
        <w:spacing w:after="0"/>
        <w:tabs>
          <w:tab w:leader="none" w:pos="281" w:val="left"/>
        </w:tabs>
        <w:numPr>
          <w:ilvl w:val="0"/>
          <w:numId w:val="78"/>
        </w:numPr>
        <w:rPr>
          <w:rFonts w:ascii="Arial" w:cs="Arial" w:eastAsia="Arial" w:hAnsi="Arial"/>
          <w:sz w:val="13"/>
          <w:szCs w:val="13"/>
          <w:color w:val="auto"/>
        </w:rPr>
      </w:pPr>
      <w:r>
        <w:rPr>
          <w:rFonts w:ascii="Arial" w:cs="Arial" w:eastAsia="Arial" w:hAnsi="Arial"/>
          <w:sz w:val="13"/>
          <w:szCs w:val="13"/>
          <w:color w:val="auto"/>
        </w:rPr>
        <w:t>Entities affiliated with Greenoaks Capital are collectively a greater than 5% stockholder.</w:t>
      </w:r>
    </w:p>
    <w:p>
      <w:pPr>
        <w:spacing w:after="0" w:line="8" w:lineRule="exact"/>
        <w:rPr>
          <w:rFonts w:ascii="Arial" w:cs="Arial" w:eastAsia="Arial" w:hAnsi="Arial"/>
          <w:sz w:val="13"/>
          <w:szCs w:val="13"/>
          <w:color w:val="auto"/>
        </w:rPr>
      </w:pPr>
    </w:p>
    <w:p>
      <w:pPr>
        <w:ind w:left="301" w:right="320" w:hanging="301"/>
        <w:spacing w:after="0" w:line="247" w:lineRule="auto"/>
        <w:tabs>
          <w:tab w:leader="none" w:pos="294" w:val="left"/>
        </w:tabs>
        <w:numPr>
          <w:ilvl w:val="0"/>
          <w:numId w:val="78"/>
        </w:numPr>
        <w:rPr>
          <w:rFonts w:ascii="Arial" w:cs="Arial" w:eastAsia="Arial" w:hAnsi="Arial"/>
          <w:sz w:val="13"/>
          <w:szCs w:val="13"/>
          <w:color w:val="auto"/>
        </w:rPr>
      </w:pPr>
      <w:r>
        <w:rPr>
          <w:rFonts w:ascii="Arial" w:cs="Arial" w:eastAsia="Arial" w:hAnsi="Arial"/>
          <w:sz w:val="13"/>
          <w:szCs w:val="13"/>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131" w:lineRule="exact"/>
        <w:rPr>
          <w:sz w:val="20"/>
          <w:szCs w:val="20"/>
          <w:color w:val="auto"/>
        </w:rPr>
      </w:pPr>
    </w:p>
    <w:p>
      <w:pPr>
        <w:ind w:left="301" w:right="1720"/>
        <w:spacing w:after="0" w:line="451" w:lineRule="auto"/>
        <w:rPr>
          <w:sz w:val="20"/>
          <w:szCs w:val="20"/>
          <w:color w:val="auto"/>
        </w:rPr>
      </w:pPr>
      <w:r>
        <w:rPr>
          <w:rFonts w:ascii="Arial" w:cs="Arial" w:eastAsia="Arial" w:hAnsi="Arial"/>
          <w:sz w:val="16"/>
          <w:szCs w:val="16"/>
          <w:color w:val="auto"/>
        </w:rPr>
        <w:t xml:space="preserve">As of the Closing Date, the amount outstanding under these securities were converted into 69,921,040 shares of our Class B common stock. </w:t>
      </w:r>
      <w:r>
        <w:rPr>
          <w:rFonts w:ascii="Arial" w:cs="Arial" w:eastAsia="Arial" w:hAnsi="Arial"/>
          <w:sz w:val="16"/>
          <w:szCs w:val="16"/>
          <w:b w:val="1"/>
          <w:bCs w:val="1"/>
          <w:i w:val="1"/>
          <w:iCs w:val="1"/>
          <w:color w:val="auto"/>
        </w:rPr>
        <w:t>Stock Transfers</w:t>
      </w:r>
    </w:p>
    <w:p>
      <w:pPr>
        <w:spacing w:after="0" w:line="1" w:lineRule="exact"/>
        <w:rPr>
          <w:sz w:val="20"/>
          <w:szCs w:val="20"/>
          <w:color w:val="auto"/>
        </w:rPr>
      </w:pPr>
    </w:p>
    <w:p>
      <w:pPr>
        <w:ind w:left="1" w:right="20" w:firstLine="297"/>
        <w:spacing w:after="0" w:line="290" w:lineRule="auto"/>
        <w:rPr>
          <w:sz w:val="20"/>
          <w:szCs w:val="20"/>
          <w:color w:val="auto"/>
        </w:rPr>
      </w:pPr>
      <w:r>
        <w:rPr>
          <w:rFonts w:ascii="Arial" w:cs="Arial" w:eastAsia="Arial" w:hAnsi="Arial"/>
          <w:sz w:val="16"/>
          <w:szCs w:val="16"/>
          <w:color w:val="auto"/>
        </w:rPr>
        <w:t>In July 2018, entities affiliated with Nathaniel S. Turner, a member of our board of directors, purchased an aggregate of 38,835 shares of Clover outstanding common stock from a stockholder, at a purchase price of $6.00 per share, for an aggregate purchase price of approximately $0.2 million.</w:t>
      </w:r>
    </w:p>
    <w:p>
      <w:pPr>
        <w:spacing w:after="0" w:line="99" w:lineRule="exact"/>
        <w:rPr>
          <w:sz w:val="20"/>
          <w:szCs w:val="20"/>
          <w:color w:val="auto"/>
        </w:rPr>
      </w:pPr>
    </w:p>
    <w:p>
      <w:pPr>
        <w:ind w:left="1" w:right="600" w:firstLine="297"/>
        <w:spacing w:after="0" w:line="325" w:lineRule="auto"/>
        <w:rPr>
          <w:sz w:val="20"/>
          <w:szCs w:val="20"/>
          <w:color w:val="auto"/>
        </w:rPr>
      </w:pPr>
      <w:r>
        <w:rPr>
          <w:rFonts w:ascii="Arial" w:cs="Arial" w:eastAsia="Arial" w:hAnsi="Arial"/>
          <w:sz w:val="15"/>
          <w:szCs w:val="15"/>
          <w:color w:val="auto"/>
        </w:rPr>
        <w:t>In November 2018, entities affiliated with Mr. Garipalli and NJ Healthcare Investments, LLC purchased an aggregate of 88,102 shares of Clover outstanding common stock from three different stockholders, at a purchase price of $6.00 per share, for an aggregate purchase price of approximately $0.5 million.</w:t>
      </w:r>
    </w:p>
    <w:p>
      <w:pPr>
        <w:spacing w:after="0" w:line="77" w:lineRule="exact"/>
        <w:rPr>
          <w:sz w:val="20"/>
          <w:szCs w:val="20"/>
          <w:color w:val="auto"/>
        </w:rPr>
      </w:pPr>
    </w:p>
    <w:p>
      <w:pPr>
        <w:ind w:left="1" w:right="80" w:firstLine="297"/>
        <w:spacing w:after="0" w:line="290" w:lineRule="auto"/>
        <w:rPr>
          <w:sz w:val="20"/>
          <w:szCs w:val="20"/>
          <w:color w:val="auto"/>
        </w:rPr>
      </w:pPr>
      <w:r>
        <w:rPr>
          <w:rFonts w:ascii="Arial" w:cs="Arial" w:eastAsia="Arial" w:hAnsi="Arial"/>
          <w:sz w:val="16"/>
          <w:szCs w:val="16"/>
          <w:color w:val="auto"/>
        </w:rPr>
        <w:t>In August 2020, entities affiliated with Mr. Garipalli purchased an aggregate of 81,612 shares of Clover outstanding common stock from a stockholder, at a purchase price of $5.70 per share, for an aggregate purchase price of approximately $0.5 million.</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Hospital Contracts</w:t>
      </w:r>
    </w:p>
    <w:p>
      <w:pPr>
        <w:spacing w:after="0" w:line="162" w:lineRule="exact"/>
        <w:rPr>
          <w:sz w:val="20"/>
          <w:szCs w:val="20"/>
          <w:color w:val="auto"/>
        </w:rPr>
      </w:pPr>
    </w:p>
    <w:p>
      <w:pPr>
        <w:ind w:left="1" w:right="140" w:firstLine="297"/>
        <w:spacing w:after="0" w:line="264" w:lineRule="auto"/>
        <w:rPr>
          <w:sz w:val="20"/>
          <w:szCs w:val="20"/>
          <w:color w:val="auto"/>
        </w:rPr>
      </w:pPr>
      <w:r>
        <w:rPr>
          <w:rFonts w:ascii="Arial" w:cs="Arial" w:eastAsia="Arial" w:hAnsi="Arial"/>
          <w:sz w:val="16"/>
          <w:szCs w:val="16"/>
          <w:color w:val="auto"/>
        </w:rPr>
        <w:t>We have various contracts with IJKG Opco LLC (d/b/a CarePoint Health—Bayonne Medical Center), Hudson Hospital Opco LLC (d/b/a CarePoint Health—Christ Hospital) and Hoboken University Medical Center Opco LLC (d/b/a CarePoint Health—Hoboken University Medical Center), which collectively do business as CarePoint Health System. CarePoint Health System is ultimately held and controlled by Mr. Garipalli, our Chief Executive Officer, and who, through his affiliated entities, owns greater than 5% of our capital stock. The Company contracts with CarePoint Health for the provision of inpatient and hospital-based outpatient services. Expenses and fees incurred related to these contracts, recorded in net medical claims incurred, were $9.2 million for the nine months ended September 30, 2021, and $11.1 million, $9.7 million and $12.6 million in 2020, 2019 and 2018, respectively.</w:t>
      </w:r>
    </w:p>
    <w:p>
      <w:pPr>
        <w:spacing w:after="0" w:line="121"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62" w:lineRule="exact"/>
        <w:rPr>
          <w:sz w:val="20"/>
          <w:szCs w:val="20"/>
          <w:color w:val="auto"/>
        </w:rPr>
      </w:pPr>
    </w:p>
    <w:p>
      <w:pPr>
        <w:jc w:val="center"/>
        <w:ind w:right="99"/>
        <w:spacing w:after="0" w:line="325" w:lineRule="auto"/>
        <w:rPr>
          <w:sz w:val="20"/>
          <w:szCs w:val="20"/>
          <w:color w:val="auto"/>
        </w:rPr>
      </w:pPr>
      <w:r>
        <w:rPr>
          <w:rFonts w:ascii="Arial" w:cs="Arial" w:eastAsia="Arial" w:hAnsi="Arial"/>
          <w:sz w:val="15"/>
          <w:szCs w:val="15"/>
          <w:color w:val="auto"/>
        </w:rPr>
        <w:t>We have a contract with Medical Records Exchange, LLC (d/b/a ChartFast) pursuant to which we receive administrative services related to medical records via ChartFast’s electronic applications and web portal platform. ChartFast is 76% owned and controlled by entities affiliated with Mr. Garipalli,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154" w:name="page155"/>
    <w:bookmarkEnd w:id="154"/>
    <w:p>
      <w:pPr>
        <w:spacing w:after="0" w:line="23"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Expenses and fees related to this agreement were $0.3 million for the nine months ended September 30, 2021, and $0.1 million, insignificant and $0.5 million in 2020, 2019 and 2018, respectively.</w:t>
      </w:r>
    </w:p>
    <w:p>
      <w:pPr>
        <w:spacing w:after="0" w:line="99"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The Corporation has contracted with Rogue Trading, LLC (Rogue), a marketing services provider. The Corporation’s President and Chief Technology Officer, Andrew Toy, is related to the Chief Executive Officer of Rogue. Expenses and fees related to these contracts were $0.3 million for the nine months ended September 30, 2021, and $0.2 million, $0.1 million and $0.3 million in 2020, 2019 and 2018, respectively.</w:t>
      </w:r>
    </w:p>
    <w:p>
      <w:pPr>
        <w:spacing w:after="0" w:line="112" w:lineRule="exact"/>
        <w:rPr>
          <w:sz w:val="20"/>
          <w:szCs w:val="20"/>
          <w:color w:val="auto"/>
        </w:rPr>
      </w:pPr>
    </w:p>
    <w:p>
      <w:pPr>
        <w:jc w:val="both"/>
        <w:ind w:firstLine="297"/>
        <w:spacing w:after="0" w:line="274" w:lineRule="auto"/>
        <w:rPr>
          <w:sz w:val="20"/>
          <w:szCs w:val="20"/>
          <w:color w:val="auto"/>
        </w:rPr>
      </w:pPr>
      <w:r>
        <w:rPr>
          <w:rFonts w:ascii="Arial" w:cs="Arial" w:eastAsia="Arial" w:hAnsi="Arial"/>
          <w:sz w:val="16"/>
          <w:szCs w:val="16"/>
          <w:color w:val="auto"/>
        </w:rPr>
        <w:t>On July 2, 2021, the Corporation signed a contract with Thyme Care, Inc. (Thyme Care), an oncology benefit management company, through which Thyme Care will provide concierge cancer coordination services to the Corporation’s Medicare Advantage members in New Jersey and develop a provider network to help ensure member access to high-value oncology care. Mr. Garipalli is a member of Thyme Care’s Board of Directors.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Investors’ Rights Agreement</w:t>
      </w:r>
    </w:p>
    <w:p>
      <w:pPr>
        <w:spacing w:after="0" w:line="162"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Clover is party to the Fifth Amended and Restated Investors’ Rights Agreement, dated as of February 21, 2019, which grants registration rights and information rights, among other things, to certain holders of its capital stock, including (i) entities affiliated with Greenoaks Capital, which collectively own more than 5% our capital stock, (ii) entities affiliated with NJ Healthcare Investments, LLC, which is affiliated with our Chief Executive Officer, Vivek Garipalli, and (iii) entities affiliated with our director, Nathaniel Turner. All of these rights terminated upon the Closing.</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Right of First Refusal</w:t>
      </w:r>
    </w:p>
    <w:p>
      <w:pPr>
        <w:spacing w:after="0" w:line="162" w:lineRule="exact"/>
        <w:rPr>
          <w:sz w:val="20"/>
          <w:szCs w:val="20"/>
          <w:color w:val="auto"/>
        </w:rPr>
      </w:pPr>
    </w:p>
    <w:p>
      <w:pPr>
        <w:ind w:right="100" w:firstLine="297"/>
        <w:spacing w:after="0" w:line="287" w:lineRule="auto"/>
        <w:rPr>
          <w:sz w:val="20"/>
          <w:szCs w:val="20"/>
          <w:color w:val="auto"/>
        </w:rPr>
      </w:pPr>
      <w:r>
        <w:rPr>
          <w:rFonts w:ascii="Arial" w:cs="Arial" w:eastAsia="Arial" w:hAnsi="Arial"/>
          <w:sz w:val="15"/>
          <w:szCs w:val="15"/>
          <w:color w:val="auto"/>
        </w:rPr>
        <w:t>Pursuant to certain agreements with its stockholders, including the Fifth Amended and Restated Right of First Refusal and Co-Sale Agreement, dated as of February 21, 2019 (the “ROFR Agreement”), Clover or its assignees have the right to purchase shares of Clover capital stock which certain stockholders propose to sell to other parties. Certain holders of Clover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rights of first refusal and co-sale under the ROFR Agreement. All of these rights and this agreement terminated upon the Closing.</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Voting Agreement</w:t>
      </w:r>
    </w:p>
    <w:p>
      <w:pPr>
        <w:spacing w:after="0" w:line="162"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Clover is a party to the Fourth Amended and Restated Voting Agreement, dated as of February 21, 2019, pursuant to which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agreed to vote their shares of our capital stock on certain matters, including with respect to the election of directors. This agreement terminated upon the Closing.</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Indications of Interest</w:t>
      </w:r>
    </w:p>
    <w:p>
      <w:pPr>
        <w:spacing w:after="0" w:line="162"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One or more entities affiliated with Social Capital, an affiliate of our predecessor legal entity’s sponsor and of controlling persons of a beneficial owner of more than 10% of our Class A common stock (the “Prospective Investors”), have indicated an interest in purchasing up to $10.0 million of our Class A common stock offered in this offering at the public offering price. Because this indication of interest is not a binding agreement or commitment to purchase, the Prospective Investors may determine to purchase more, fewer or no shares in this offering, or the underwriters may determine to sell more, fewer or no shares to the Prospective Investors. The underwriters would receive the same discount from any of our shares of Class A common stock purchased by the Prospective Investors as they would from any other shares of Class A common stock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Executive Compensation and Employment Arrangements</w:t>
      </w:r>
    </w:p>
    <w:p>
      <w:pPr>
        <w:spacing w:after="0" w:line="162" w:lineRule="exact"/>
        <w:rPr>
          <w:sz w:val="20"/>
          <w:szCs w:val="20"/>
          <w:color w:val="auto"/>
        </w:rPr>
      </w:pPr>
    </w:p>
    <w:p>
      <w:pPr>
        <w:ind w:right="40" w:firstLine="297"/>
        <w:spacing w:after="0" w:line="325" w:lineRule="auto"/>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Clover’s Executive Compensation</w:t>
      </w:r>
      <w:r>
        <w:rPr>
          <w:rFonts w:ascii="Arial" w:cs="Arial" w:eastAsia="Arial" w:hAnsi="Arial"/>
          <w:sz w:val="15"/>
          <w:szCs w:val="15"/>
          <w:color w:val="auto"/>
        </w:rPr>
        <w:t>” for information on compensation arrangements with our executive officers and directors, which include, among other things, stock awards, agreements with executive officers and certain other benefits, and for information on termination arrangements with executive officers.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Director and Officer Indemnification</w:t>
      </w:r>
    </w:p>
    <w:p>
      <w:pPr>
        <w:spacing w:after="0" w:line="16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See the section entitled “</w:t>
      </w:r>
      <w:r>
        <w:rPr>
          <w:rFonts w:ascii="Arial" w:cs="Arial" w:eastAsia="Arial" w:hAnsi="Arial"/>
          <w:sz w:val="16"/>
          <w:szCs w:val="16"/>
          <w:i w:val="1"/>
          <w:iCs w:val="1"/>
          <w:color w:val="auto"/>
        </w:rPr>
        <w:t>Management—Limitation of Liability and Indemnification of Directors and Officers</w:t>
      </w:r>
      <w:r>
        <w:rPr>
          <w:rFonts w:ascii="Arial" w:cs="Arial" w:eastAsia="Arial" w:hAnsi="Arial"/>
          <w:sz w:val="16"/>
          <w:szCs w:val="16"/>
          <w:color w:val="auto"/>
        </w:rPr>
        <w:t>” for information on our indemnification arrangements with our directors and executive officers.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Pre-Business Combination Related Party Transactions of SCH</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Founder Shares</w:t>
      </w:r>
    </w:p>
    <w:p>
      <w:pPr>
        <w:spacing w:after="0" w:line="162" w:lineRule="exact"/>
        <w:rPr>
          <w:sz w:val="20"/>
          <w:szCs w:val="20"/>
          <w:color w:val="auto"/>
        </w:rPr>
      </w:pPr>
    </w:p>
    <w:p>
      <w:pPr>
        <w:ind w:right="160" w:firstLine="297"/>
        <w:spacing w:after="0" w:line="285" w:lineRule="auto"/>
        <w:rPr>
          <w:sz w:val="20"/>
          <w:szCs w:val="20"/>
          <w:color w:val="auto"/>
        </w:rPr>
      </w:pPr>
      <w:r>
        <w:rPr>
          <w:rFonts w:ascii="Arial" w:cs="Arial" w:eastAsia="Arial" w:hAnsi="Arial"/>
          <w:sz w:val="15"/>
          <w:szCs w:val="15"/>
          <w:color w:val="auto"/>
        </w:rPr>
        <w:t>In January 2020, the Sponsor purchased 17,250,000 SCH Class B ordinary shares for an aggregate purchase price of $25,000, or approximately $0.001 per share (after a subsequent share capitalization on April 21, 2020) (the “founder shares”). In March 2020, the Sponsor transferred 100,000 founder shares to each of Dr. James Ryans and Jacqueline D. Reses (two of SCH’s independent directors) at their original per-share purchase price. On April 21, 2020, SCH effected a pro rata share capitalization resulting in an increase in the total number of founder shares outstanding from 17,250,000 to 20,700,000 in order to maintain the ownership of founder shares at 20% of the issued and outstanding ordinary shares of SCH upon consummation of its initial public offering. The Sponsor received 3,450,000 founder shares in the share capitalization as a result of SCH’s independent directors waiving their right to receive shares in the share capitalization.</w:t>
      </w:r>
    </w:p>
    <w:p>
      <w:pPr>
        <w:spacing w:after="0" w:line="106"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These founder shares are identical to the SCH Class A ordinary shares included in the units sold in SCH’s initial public offering, except that (i) only the holders of the founder shares have the right to vote on the election of directors prior to the initial business combination (as defined in SCH’s organizational documents),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the SCH’s organizational documents (A) to modify the substance or timing of our obligation to allow redemption in connection with our initial business combination or to redeem 100% of our public shares if we do not complete our initial business combination by April 24, 2022 or (B) with respect to any other provision relating to shareholders’ rights or pre-initial business combination activity and (z) their rights to liquidating distributions from the trust account with respect to the founder shares if SCH fails to complete a business combination by April 24, 2022, (iv) the founder shares are automatically convertible into SCH Class A ordinary shares at the time of the initial business combination and (v) the founder shares are entitled to registration rights.</w:t>
      </w:r>
    </w:p>
    <w:p>
      <w:pPr>
        <w:spacing w:after="0" w:line="126"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In connection with the Business Combination, upon the Domestication, 20,700,000 founder shares automatically converted, on a one-for-one basis, into a share of our Class A common stock.</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Private Placement Warrants</w:t>
      </w:r>
    </w:p>
    <w:p>
      <w:pPr>
        <w:spacing w:after="0" w:line="162" w:lineRule="exact"/>
        <w:rPr>
          <w:sz w:val="20"/>
          <w:szCs w:val="20"/>
          <w:color w:val="auto"/>
        </w:rPr>
      </w:pPr>
    </w:p>
    <w:p>
      <w:pPr>
        <w:ind w:right="300" w:firstLine="297"/>
        <w:spacing w:after="0" w:line="285" w:lineRule="auto"/>
        <w:rPr>
          <w:sz w:val="20"/>
          <w:szCs w:val="20"/>
          <w:color w:val="auto"/>
        </w:rPr>
      </w:pPr>
      <w:r>
        <w:rPr>
          <w:rFonts w:ascii="Arial" w:cs="Arial" w:eastAsia="Arial" w:hAnsi="Arial"/>
          <w:sz w:val="15"/>
          <w:szCs w:val="15"/>
          <w:color w:val="auto"/>
        </w:rPr>
        <w:t>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 In the third quarter of 2021, we announced that we were redeeming all of the outstanding private placement warrants. Prior to the redemption date, all private placement warrants were exercised on a cashless basis in exchange for an aggregate of 2,722,399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Registration Rights</w:t>
      </w:r>
    </w:p>
    <w:p>
      <w:pPr>
        <w:spacing w:after="0" w:line="162"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The holders of the founder shares, private placement warrants, and warrants that may be issued upon conversion of working capital loans, if any (and any SCH Class A ordinary shares issuable upon the exercise of the private placement warrants or warrants issued upon conversion of the working capital loans and upon conversion of the founder shares) were entitled to registration rights pursuant to a registration rights agreement signed April 21, 2020 requiring SCH to register such securities for resale (in the case of the founder shares, only after conversion to SCH Class A ordinary shares). The holders of these securities were entitled to make up to three demands, excluding short form demands, for SCH to register such securities. In addition, the holders had certain “piggy-back” registration rights with respect to registration statements filed subsequent to the completion of SCH’s initial business combination and rights to require SCH to register for resale such securities pursuant to Rule 415 under the Securities Act, and SCH would bear the expenses incurred in connection with the filing of any such registration statements.</w:t>
      </w:r>
    </w:p>
    <w:p>
      <w:pPr>
        <w:spacing w:after="0" w:line="109"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In connection with the Business Combination, the registration rights agreement was amended and restated. For additional information, see the section above entitled “—</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Subscription Agreements</w:t>
      </w:r>
    </w:p>
    <w:p>
      <w:pPr>
        <w:spacing w:after="0" w:line="162"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Concurrently with the execution of the Merger Agreement, we entered into subscription agreements with the PIPE investors that are existing directors, officers or equity 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PIPE Investment was consummated concurrently with the Closing.</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Related Party Note and Advances</w:t>
      </w:r>
    </w:p>
    <w:p>
      <w:pPr>
        <w:spacing w:after="0" w:line="162" w:lineRule="exact"/>
        <w:rPr>
          <w:sz w:val="20"/>
          <w:szCs w:val="20"/>
          <w:color w:val="auto"/>
        </w:rPr>
      </w:pPr>
    </w:p>
    <w:p>
      <w:pPr>
        <w:ind w:right="440" w:firstLine="297"/>
        <w:spacing w:after="0" w:line="290" w:lineRule="auto"/>
        <w:rPr>
          <w:sz w:val="20"/>
          <w:szCs w:val="20"/>
          <w:color w:val="auto"/>
        </w:rPr>
      </w:pPr>
      <w:r>
        <w:rPr>
          <w:rFonts w:ascii="Arial" w:cs="Arial" w:eastAsia="Arial" w:hAnsi="Arial"/>
          <w:sz w:val="16"/>
          <w:szCs w:val="16"/>
          <w:color w:val="auto"/>
        </w:rPr>
        <w:t>The Sponsor advanced SCH an aggregate of $17,631 to cover expenses related to the initial public offering. The advances were noninterest bearing and due on demand. Advances in the aggregate amount of $17,631 were repaid in February 2020.</w:t>
      </w:r>
    </w:p>
    <w:p>
      <w:pPr>
        <w:spacing w:after="0" w:line="99" w:lineRule="exact"/>
        <w:rPr>
          <w:sz w:val="20"/>
          <w:szCs w:val="20"/>
          <w:color w:val="auto"/>
        </w:rPr>
      </w:pPr>
    </w:p>
    <w:p>
      <w:pPr>
        <w:jc w:val="both"/>
        <w:ind w:right="180" w:firstLine="297"/>
        <w:spacing w:after="0" w:line="274" w:lineRule="auto"/>
        <w:rPr>
          <w:sz w:val="20"/>
          <w:szCs w:val="20"/>
          <w:color w:val="auto"/>
        </w:rPr>
      </w:pPr>
      <w:r>
        <w:rPr>
          <w:rFonts w:ascii="Arial" w:cs="Arial" w:eastAsia="Arial" w:hAnsi="Arial"/>
          <w:sz w:val="16"/>
          <w:szCs w:val="16"/>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w:t>
      </w:r>
    </w:p>
    <w:p>
      <w:pPr>
        <w:spacing w:after="0" w:line="112" w:lineRule="exact"/>
        <w:rPr>
          <w:sz w:val="20"/>
          <w:szCs w:val="20"/>
          <w:color w:val="auto"/>
        </w:rPr>
      </w:pPr>
    </w:p>
    <w:p>
      <w:pPr>
        <w:ind w:right="300" w:firstLine="297"/>
        <w:spacing w:after="0" w:line="274" w:lineRule="auto"/>
        <w:rPr>
          <w:sz w:val="20"/>
          <w:szCs w:val="20"/>
          <w:color w:val="auto"/>
        </w:rPr>
      </w:pPr>
      <w:r>
        <w:rPr>
          <w:rFonts w:ascii="Arial" w:cs="Arial" w:eastAsia="Arial" w:hAnsi="Arial"/>
          <w:sz w:val="16"/>
          <w:szCs w:val="16"/>
          <w:color w:val="auto"/>
        </w:rPr>
        <w:t>On October 19, 2020, SCH issued an unsecured promissory note to the Sponsor (the “Promissory Note”), pursuant to which SCH may borrow up to an aggregate principal amount of $2,500,000. The Promissory Note is non-interest bearing and payable on the earlier of (i) April 24, 2022 and (ii) the completion of the Business Combination. On October 19, 2020, SCH borrowed $806,208 under the Promissory Note.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Financial Advisor Fees Related to Public Offering</w:t>
      </w:r>
    </w:p>
    <w:p>
      <w:pPr>
        <w:spacing w:after="0" w:line="162"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In connection with SCH’s initial public offering, the underwriters of SCH’s initial public offering agreed to reimburse SCH for amounts paid by SCH to Connaught (UK) Limited for financial advisory services in an amount equal to 10% of the discount paid to the underwriters, of which $1,440,000 was paid at the closing of SCH’s initial public offering and up to $2,898,000 was paid at the time of the closing of SCH’s initial business combination. Connaught (UK) Limited is an affiliate of SCH, the Sponsor and certain of SCH’s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Person Transactions Policy</w:t>
      </w:r>
    </w:p>
    <w:p>
      <w:pPr>
        <w:spacing w:after="0" w:line="166"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1"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Although, prior to the Closing, we did not have a written policy for the review and approval of transactions with related persons, our board of directors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PRINCIPAL STOCKHOLDERS</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The following table sets forth information known to the Company regarding the beneficial ownership of the Company’s common stock as of September 30, 2021, by:</w:t>
      </w:r>
    </w:p>
    <w:p>
      <w:pPr>
        <w:spacing w:after="0" w:line="174" w:lineRule="exact"/>
        <w:rPr>
          <w:sz w:val="20"/>
          <w:szCs w:val="20"/>
          <w:color w:val="auto"/>
        </w:rPr>
      </w:pPr>
    </w:p>
    <w:p>
      <w:pPr>
        <w:ind w:left="600" w:right="220" w:hanging="304"/>
        <w:spacing w:after="0" w:line="290" w:lineRule="auto"/>
        <w:tabs>
          <w:tab w:leader="none" w:pos="596"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person who is known by the Company to be the beneficial owner of more than five percent (5%) of the outstanding shares of any class of the Company’s common stock;</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of our named executive officers of the Company;</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director of the Company as of September 30, 2021; and</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executive officers and directors of the Company as of September 30, 2021, as a group.</w:t>
      </w:r>
    </w:p>
    <w:p>
      <w:pPr>
        <w:spacing w:after="0" w:line="162" w:lineRule="exact"/>
        <w:rPr>
          <w:sz w:val="20"/>
          <w:szCs w:val="20"/>
          <w:color w:val="auto"/>
        </w:rPr>
      </w:pPr>
    </w:p>
    <w:p>
      <w:pPr>
        <w:ind w:right="20" w:firstLine="297"/>
        <w:spacing w:after="0" w:line="263" w:lineRule="auto"/>
        <w:rPr>
          <w:sz w:val="20"/>
          <w:szCs w:val="20"/>
          <w:color w:val="auto"/>
        </w:rPr>
      </w:pPr>
      <w:r>
        <w:rPr>
          <w:rFonts w:ascii="Arial" w:cs="Arial" w:eastAsia="Arial" w:hAnsi="Arial"/>
          <w:sz w:val="16"/>
          <w:szCs w:val="16"/>
          <w:color w:val="auto"/>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and warrants that are currently exercisable or exercisable within 60 days of September 30, 2021, and all shares of our Common Stock issuable pursuant to restricted stock units that will vest within 60 days of September 30, 2021, are deemed to be outstanding and to be beneficially owned by the person holding the stock options, warrants or restricted stock units for the purpose of computing the percentage ownership of that person, but are not treated as outstanding for the purpose of computing the percentage ownership of any other person.</w:t>
      </w:r>
    </w:p>
    <w:p>
      <w:pPr>
        <w:spacing w:after="0" w:line="122"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auto"/>
        </w:rPr>
        <w:t>The percentage ownership of the Common Stock is based on 278,308,964 shares of Class A Common Stock and 142,318,711 shares of Class B Common Stock outstanding as of September 30, 2021. Unless otherwise indicated, the address of each beneficial owner listed in the table below is c/o Clover Health Investments, Corp., 3401 Mallory Lane, Suite 210, Franklin, Tennessee 37067.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Number of Shares of</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 of Class A</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Number of Shares of</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 of Class B</w:t>
            </w:r>
          </w:p>
        </w:tc>
        <w:tc>
          <w:tcPr>
            <w:tcW w:w="1300" w:type="dxa"/>
            <w:vAlign w:val="bottom"/>
            <w:vMerge w:val="restart"/>
          </w:tcPr>
          <w:p>
            <w:pPr>
              <w:jc w:val="right"/>
              <w:ind w:right="60"/>
              <w:spacing w:after="0"/>
              <w:rPr>
                <w:sz w:val="20"/>
                <w:szCs w:val="20"/>
                <w:color w:val="auto"/>
              </w:rPr>
            </w:pPr>
            <w:r>
              <w:rPr>
                <w:rFonts w:ascii="Arial" w:cs="Arial" w:eastAsia="Arial" w:hAnsi="Arial"/>
                <w:sz w:val="13"/>
                <w:szCs w:val="13"/>
                <w:b w:val="1"/>
                <w:bCs w:val="1"/>
                <w:color w:val="auto"/>
              </w:rPr>
              <w:t>% of Total Voting</w:t>
            </w:r>
          </w:p>
        </w:tc>
        <w:tc>
          <w:tcPr>
            <w:tcW w:w="0" w:type="dxa"/>
            <w:vAlign w:val="bottom"/>
          </w:tcPr>
          <w:p>
            <w:pPr>
              <w:spacing w:after="0"/>
              <w:rPr>
                <w:sz w:val="1"/>
                <w:szCs w:val="1"/>
                <w:color w:val="auto"/>
              </w:rPr>
            </w:pPr>
          </w:p>
        </w:tc>
      </w:tr>
      <w:tr>
        <w:trPr>
          <w:trHeight w:val="124"/>
        </w:trPr>
        <w:tc>
          <w:tcPr>
            <w:tcW w:w="44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140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1"/>
              </w:rPr>
              <w:t>Class A Common</w:t>
            </w:r>
          </w:p>
        </w:tc>
        <w:tc>
          <w:tcPr>
            <w:tcW w:w="130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Common Stock</w:t>
            </w: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Class B Common Stock</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Common Stock</w:t>
            </w:r>
          </w:p>
        </w:tc>
        <w:tc>
          <w:tcPr>
            <w:tcW w:w="1300" w:type="dxa"/>
            <w:vAlign w:val="bottom"/>
          </w:tcPr>
          <w:p>
            <w:pPr>
              <w:jc w:val="right"/>
              <w:ind w:right="320"/>
              <w:spacing w:after="0"/>
              <w:rPr>
                <w:sz w:val="20"/>
                <w:szCs w:val="20"/>
                <w:color w:val="auto"/>
              </w:rPr>
            </w:pPr>
            <w:r>
              <w:rPr>
                <w:rFonts w:ascii="Arial" w:cs="Arial" w:eastAsia="Arial" w:hAnsi="Arial"/>
                <w:sz w:val="13"/>
                <w:szCs w:val="13"/>
                <w:b w:val="1"/>
                <w:bCs w:val="1"/>
                <w:color w:val="auto"/>
              </w:rPr>
              <w:t>Power**</w:t>
            </w:r>
          </w:p>
        </w:tc>
        <w:tc>
          <w:tcPr>
            <w:tcW w:w="0" w:type="dxa"/>
            <w:vAlign w:val="bottom"/>
          </w:tcPr>
          <w:p>
            <w:pPr>
              <w:spacing w:after="0"/>
              <w:rPr>
                <w:sz w:val="1"/>
                <w:szCs w:val="1"/>
                <w:color w:val="auto"/>
              </w:rPr>
            </w:pPr>
          </w:p>
        </w:tc>
      </w:tr>
      <w:tr>
        <w:trPr>
          <w:trHeight w:val="204"/>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5% Holders</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ChaChaCha SPAC C LLC</w:t>
            </w:r>
            <w:r>
              <w:rPr>
                <w:rFonts w:ascii="Arial" w:cs="Arial" w:eastAsia="Arial" w:hAnsi="Arial"/>
                <w:sz w:val="21"/>
                <w:szCs w:val="21"/>
                <w:color w:val="auto"/>
                <w:vertAlign w:val="superscript"/>
              </w:rPr>
              <w:t>(1)</w:t>
            </w:r>
          </w:p>
        </w:tc>
        <w:tc>
          <w:tcPr>
            <w:tcW w:w="1300" w:type="dxa"/>
            <w:vAlign w:val="bottom"/>
          </w:tcPr>
          <w:p>
            <w:pPr>
              <w:jc w:val="right"/>
              <w:spacing w:after="0"/>
              <w:rPr>
                <w:sz w:val="20"/>
                <w:szCs w:val="20"/>
                <w:color w:val="auto"/>
              </w:rPr>
            </w:pPr>
            <w:r>
              <w:rPr>
                <w:rFonts w:ascii="Arial" w:cs="Arial" w:eastAsia="Arial" w:hAnsi="Arial"/>
                <w:sz w:val="16"/>
                <w:szCs w:val="16"/>
                <w:color w:val="auto"/>
              </w:rPr>
              <w:t>29,158,480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Entities affiliated with Vivek Garipalli</w:t>
            </w:r>
            <w:r>
              <w:rPr>
                <w:rFonts w:ascii="Arial" w:cs="Arial" w:eastAsia="Arial" w:hAnsi="Arial"/>
                <w:sz w:val="21"/>
                <w:szCs w:val="21"/>
                <w:color w:val="auto"/>
                <w:vertAlign w:val="superscript"/>
              </w:rPr>
              <w:t>(2)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83,584,543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Greenoaks Capital and affiliated entities</w:t>
            </w:r>
            <w:r>
              <w:rPr>
                <w:rFonts w:ascii="Arial" w:cs="Arial" w:eastAsia="Arial" w:hAnsi="Arial"/>
                <w:sz w:val="21"/>
                <w:szCs w:val="21"/>
                <w:color w:val="auto"/>
                <w:vertAlign w:val="superscript"/>
              </w:rPr>
              <w:t>(3)</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49,695,247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Neil Mehta and affiliated entities</w:t>
            </w:r>
            <w:r>
              <w:rPr>
                <w:rFonts w:ascii="Arial" w:cs="Arial" w:eastAsia="Arial" w:hAnsi="Arial"/>
                <w:sz w:val="21"/>
                <w:szCs w:val="21"/>
                <w:color w:val="auto"/>
                <w:vertAlign w:val="superscript"/>
              </w:rPr>
              <w:t>(4)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49,695,247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 xml:space="preserve">Peretz Family Trust </w:t>
            </w:r>
            <w:r>
              <w:rPr>
                <w:rFonts w:ascii="Arial" w:cs="Arial" w:eastAsia="Arial" w:hAnsi="Arial"/>
                <w:sz w:val="21"/>
                <w:szCs w:val="21"/>
                <w:color w:val="auto"/>
                <w:vertAlign w:val="superscript"/>
              </w:rPr>
              <w:t>(5)</w:t>
            </w:r>
          </w:p>
        </w:tc>
        <w:tc>
          <w:tcPr>
            <w:tcW w:w="1300" w:type="dxa"/>
            <w:vAlign w:val="bottom"/>
          </w:tcPr>
          <w:p>
            <w:pPr>
              <w:jc w:val="right"/>
              <w:spacing w:after="0"/>
              <w:rPr>
                <w:sz w:val="20"/>
                <w:szCs w:val="20"/>
                <w:color w:val="auto"/>
              </w:rPr>
            </w:pPr>
            <w:r>
              <w:rPr>
                <w:rFonts w:ascii="Arial" w:cs="Arial" w:eastAsia="Arial" w:hAnsi="Arial"/>
                <w:sz w:val="16"/>
                <w:szCs w:val="16"/>
                <w:color w:val="auto"/>
              </w:rPr>
              <w:t>119,903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49,695,247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Officers and Directors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Vivek Garipalli</w:t>
            </w:r>
            <w:r>
              <w:rPr>
                <w:rFonts w:ascii="Arial" w:cs="Arial" w:eastAsia="Arial" w:hAnsi="Arial"/>
                <w:sz w:val="21"/>
                <w:szCs w:val="21"/>
                <w:color w:val="auto"/>
                <w:vertAlign w:val="superscript"/>
              </w:rPr>
              <w:t>(2)</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83,584,543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Andrew Toy</w:t>
            </w:r>
            <w:r>
              <w:rPr>
                <w:rFonts w:ascii="Arial" w:cs="Arial" w:eastAsia="Arial" w:hAnsi="Arial"/>
                <w:sz w:val="21"/>
                <w:szCs w:val="21"/>
                <w:color w:val="auto"/>
                <w:vertAlign w:val="superscript"/>
              </w:rPr>
              <w:t>(6)</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12,790,323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Gia Lee</w:t>
            </w:r>
            <w:r>
              <w:rPr>
                <w:rFonts w:ascii="Arial" w:cs="Arial" w:eastAsia="Arial" w:hAnsi="Arial"/>
                <w:sz w:val="21"/>
                <w:szCs w:val="21"/>
                <w:color w:val="auto"/>
                <w:vertAlign w:val="superscript"/>
              </w:rPr>
              <w:t>(6)</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1,212,837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Chelsea Clinton</w:t>
            </w:r>
            <w:r>
              <w:rPr>
                <w:rFonts w:ascii="Arial" w:cs="Arial" w:eastAsia="Arial" w:hAnsi="Arial"/>
                <w:sz w:val="21"/>
                <w:szCs w:val="21"/>
                <w:color w:val="auto"/>
                <w:vertAlign w:val="superscript"/>
              </w:rPr>
              <w:t>(6)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536,648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Demetrios Kouzoukas</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G. Robinson, Jr.</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Lee Shapiro</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CEEFF"/>
          </w:tcPr>
          <w:p>
            <w:pPr>
              <w:ind w:left="20"/>
              <w:spacing w:after="0" w:line="211" w:lineRule="exact"/>
              <w:rPr>
                <w:sz w:val="20"/>
                <w:szCs w:val="20"/>
                <w:color w:val="auto"/>
              </w:rPr>
            </w:pPr>
            <w:r>
              <w:rPr>
                <w:rFonts w:ascii="Arial" w:cs="Arial" w:eastAsia="Arial" w:hAnsi="Arial"/>
                <w:sz w:val="16"/>
                <w:szCs w:val="16"/>
                <w:color w:val="auto"/>
              </w:rPr>
              <w:t>Nat Turner</w:t>
            </w:r>
            <w:r>
              <w:rPr>
                <w:rFonts w:ascii="Arial" w:cs="Arial" w:eastAsia="Arial" w:hAnsi="Arial"/>
                <w:sz w:val="21"/>
                <w:szCs w:val="21"/>
                <w:color w:val="auto"/>
                <w:vertAlign w:val="superscript"/>
              </w:rPr>
              <w:t>(7)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2,565,954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All directors and executive officers as a group</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20" w:type="dxa"/>
            <w:vAlign w:val="bottom"/>
            <w:gridSpan w:val="2"/>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(10 individuals) </w:t>
            </w:r>
            <w:r>
              <w:rPr>
                <w:rFonts w:ascii="Arial" w:cs="Arial" w:eastAsia="Arial" w:hAnsi="Arial"/>
                <w:sz w:val="21"/>
                <w:szCs w:val="21"/>
                <w:color w:val="auto"/>
                <w:vertAlign w:val="superscript"/>
              </w:rPr>
              <w:t>(8)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101,207,322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3" w:lineRule="exact"/>
        <w:rPr>
          <w:sz w:val="20"/>
          <w:szCs w:val="20"/>
          <w:color w:val="auto"/>
        </w:rPr>
      </w:pPr>
    </w:p>
    <w:p>
      <w:pPr>
        <w:ind w:left="1"/>
        <w:spacing w:after="0"/>
        <w:rPr>
          <w:sz w:val="20"/>
          <w:szCs w:val="20"/>
          <w:color w:val="auto"/>
        </w:rPr>
      </w:pPr>
      <w:r>
        <w:rPr>
          <w:rFonts w:ascii="Arial" w:cs="Arial" w:eastAsia="Arial" w:hAnsi="Arial"/>
          <w:sz w:val="16"/>
          <w:szCs w:val="16"/>
          <w:color w:val="auto"/>
        </w:rPr>
        <w:t>______________</w:t>
      </w:r>
    </w:p>
    <w:p>
      <w:pPr>
        <w:spacing w:after="0" w:line="19" w:lineRule="exact"/>
        <w:rPr>
          <w:sz w:val="20"/>
          <w:szCs w:val="20"/>
          <w:color w:val="auto"/>
        </w:rPr>
      </w:pPr>
    </w:p>
    <w:p>
      <w:pPr>
        <w:ind w:left="201" w:hanging="201"/>
        <w:spacing w:after="0"/>
        <w:tabs>
          <w:tab w:leader="none" w:pos="201" w:val="left"/>
        </w:tabs>
        <w:numPr>
          <w:ilvl w:val="0"/>
          <w:numId w:val="80"/>
        </w:numPr>
        <w:rPr>
          <w:rFonts w:ascii="Arial" w:cs="Arial" w:eastAsia="Arial" w:hAnsi="Arial"/>
          <w:sz w:val="13"/>
          <w:szCs w:val="13"/>
          <w:color w:val="auto"/>
        </w:rPr>
      </w:pPr>
      <w:r>
        <w:rPr>
          <w:rFonts w:ascii="Arial" w:cs="Arial" w:eastAsia="Arial" w:hAnsi="Arial"/>
          <w:sz w:val="13"/>
          <w:szCs w:val="13"/>
          <w:color w:val="auto"/>
        </w:rPr>
        <w:t>Less than one percent.</w:t>
      </w:r>
    </w:p>
    <w:p>
      <w:pPr>
        <w:ind w:left="261" w:hanging="261"/>
        <w:spacing w:after="0"/>
        <w:tabs>
          <w:tab w:leader="none" w:pos="261" w:val="left"/>
        </w:tabs>
        <w:numPr>
          <w:ilvl w:val="0"/>
          <w:numId w:val="81"/>
        </w:numPr>
        <w:rPr>
          <w:rFonts w:ascii="Arial" w:cs="Arial" w:eastAsia="Arial" w:hAnsi="Arial"/>
          <w:sz w:val="12"/>
          <w:szCs w:val="12"/>
          <w:color w:val="auto"/>
        </w:rPr>
      </w:pPr>
      <w:r>
        <w:rPr>
          <w:rFonts w:ascii="Arial" w:cs="Arial" w:eastAsia="Arial" w:hAnsi="Arial"/>
          <w:sz w:val="12"/>
          <w:szCs w:val="12"/>
          <w:color w:val="auto"/>
        </w:rPr>
        <w:t>Percentage of total voting power represents voting power with respect to all shares of Class A common stock and Class B common stock, as a single class. Each share of Class B common stock is entitled to</w:t>
      </w:r>
    </w:p>
    <w:p>
      <w:pPr>
        <w:spacing w:after="0" w:line="10" w:lineRule="exact"/>
        <w:rPr>
          <w:sz w:val="20"/>
          <w:szCs w:val="20"/>
          <w:color w:val="auto"/>
        </w:rPr>
      </w:pPr>
    </w:p>
    <w:p>
      <w:pPr>
        <w:ind w:left="301" w:right="300"/>
        <w:spacing w:after="0" w:line="238" w:lineRule="auto"/>
        <w:rPr>
          <w:sz w:val="20"/>
          <w:szCs w:val="20"/>
          <w:color w:val="auto"/>
        </w:rPr>
      </w:pPr>
      <w:r>
        <w:rPr>
          <w:rFonts w:ascii="Arial" w:cs="Arial" w:eastAsia="Arial" w:hAnsi="Arial"/>
          <w:sz w:val="13"/>
          <w:szCs w:val="13"/>
          <w:color w:val="auto"/>
        </w:rPr>
        <w:t>ten votes per share and each share of Class A common stock is entitled to one vote per share. For more information about the voting rights of Common Stock, see the section below titled “Description of Securities.”</w:t>
      </w:r>
    </w:p>
    <w:p>
      <w:pPr>
        <w:jc w:val="both"/>
        <w:ind w:left="301" w:right="160" w:hanging="301"/>
        <w:spacing w:after="0" w:line="238" w:lineRule="auto"/>
        <w:tabs>
          <w:tab w:leader="none" w:pos="294" w:val="left"/>
        </w:tabs>
        <w:numPr>
          <w:ilvl w:val="0"/>
          <w:numId w:val="82"/>
        </w:numPr>
        <w:rPr>
          <w:rFonts w:ascii="Arial" w:cs="Arial" w:eastAsia="Arial" w:hAnsi="Arial"/>
          <w:sz w:val="13"/>
          <w:szCs w:val="13"/>
          <w:color w:val="auto"/>
        </w:rPr>
      </w:pPr>
      <w:r>
        <w:rPr>
          <w:rFonts w:ascii="Arial" w:cs="Arial" w:eastAsia="Arial" w:hAnsi="Arial"/>
          <w:sz w:val="13"/>
          <w:szCs w:val="13"/>
          <w:color w:val="auto"/>
        </w:rPr>
        <w:t>Mr. Palihapitiya beneficially owns shares held by ChaChaCha SPAC C LLC by virtue of his voting and investment control over ChaChaCha SPAC C LLC. All shares held by ChaChaCha SPAC C LLC are subject to a pledge in favor of Credit Suisse AG, New York Branch as collateral with respect to a loan agreement. The address of ChaChaCha SPAC C LLC is 317 University Ave, Suite 200, Palo Alto, CA 94301. Excludes shares that Prospective Investors have indicated an interest in purchasing in this offering.</w:t>
      </w:r>
    </w:p>
    <w:p>
      <w:pPr>
        <w:ind w:left="301" w:right="100" w:hanging="301"/>
        <w:spacing w:after="0" w:line="277" w:lineRule="auto"/>
        <w:tabs>
          <w:tab w:leader="none" w:pos="294"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respectively. Therefore, Mr. Garipalli may be deemed to share voting power and dispositive power over the shares held by these entities. The address of each of these. entities is 11 Colts Gait Lane, Colts Neck, NJ 07722.</w:t>
      </w:r>
    </w:p>
    <w:p>
      <w:pPr>
        <w:ind w:left="301" w:hanging="301"/>
        <w:spacing w:after="0" w:line="259" w:lineRule="auto"/>
        <w:tabs>
          <w:tab w:leader="none" w:pos="294"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Consists of (i) 2,009,195 shares of Class B common stock held of record by Greenoaks Capital MS LP – Banting Series, (ii) 1,542,656 shares of Class B common stock held of record by Greenoaks Capital MS LP – Blackwell Series, (iii) 4,339,270 shares of Class B common stock held of record by Greenoaks Capital MS LP – Joslin Series, (iv) 1,358,117 shares of Class B common stock held of record by Greenoaks Capital MS LP – Osler Series, (v) 6,018,163 shares of Class B common stock held of record Greenoaks Capital Opportunities Fund, L.P., (vi) 13,029,390 shares of Class B common stock held of record by Greenoaks Capital MS LP – Lister Series, (vii) 16,048,842 shares of Class B common stock held of record by Greenoaks Magnolia Fund LP, and (viii) 5,349,614 shares of Class B common stock held of record by Greenoaks Magnolia MS Fund LP – Pasteur Series. Benjamin Peretz and Neil Mehta are Managing Members of the general partner of each of the entities affiliated with Greenoaks Capital Partners LLC (“Greenoaks Capital”). Therefore, Mr. Peretz and Mr. Mehta may be deemed to share voting power and dispositive power over the shares held by these entities. The principal business address of each of these entities is 535 Pacific Avenue, 4th Floor, San Francisco, California 94133.</w:t>
      </w:r>
    </w:p>
    <w:p>
      <w:pPr>
        <w:spacing w:after="0" w:line="1" w:lineRule="exact"/>
        <w:rPr>
          <w:rFonts w:ascii="Arial" w:cs="Arial" w:eastAsia="Arial" w:hAnsi="Arial"/>
          <w:sz w:val="12"/>
          <w:szCs w:val="12"/>
          <w:color w:val="auto"/>
        </w:rPr>
      </w:pPr>
    </w:p>
    <w:p>
      <w:pPr>
        <w:ind w:left="301" w:right="180" w:hanging="301"/>
        <w:spacing w:after="0" w:line="238" w:lineRule="auto"/>
        <w:tabs>
          <w:tab w:leader="none" w:pos="294"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the shares listed in footnote (3) of which Mr. Mehta may be deemed to share voting and dispositive power, (ii) 104,772 shares of Class A common stock held by Neil Mehta, in his individual capacity, (iii) 167,754 shares held by Neil Mehta Separate Property Trust. Mr. Mehta is a Managing Member of the general partner of each of the entities affiliated with Greenoaks Capital. Therefore, Mr. Mehta may be deemed to share voting power and dispositive power over the shares held by these entities.</w:t>
      </w:r>
    </w:p>
    <w:p>
      <w:pPr>
        <w:ind w:left="281" w:hanging="281"/>
        <w:spacing w:after="0" w:line="238" w:lineRule="auto"/>
        <w:tabs>
          <w:tab w:leader="none" w:pos="281"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the shares listed in footnote (3) of which Mr. Peretz may be deemed to share voting and dispositive power, and (ii) 119,903 shares held by the Peretz Family Trust.</w:t>
      </w:r>
    </w:p>
    <w:p>
      <w:pPr>
        <w:ind w:left="281" w:hanging="281"/>
        <w:spacing w:after="0" w:line="238" w:lineRule="auto"/>
        <w:tabs>
          <w:tab w:leader="none" w:pos="281"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Class B common stock issuable upon the exercise of options exercisable within 60 days of September 30, 2021.</w:t>
      </w:r>
    </w:p>
    <w:p>
      <w:pPr>
        <w:ind w:left="301" w:right="140" w:hanging="301"/>
        <w:spacing w:after="0" w:line="238" w:lineRule="auto"/>
        <w:tabs>
          <w:tab w:leader="none" w:pos="294"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2,565,954 shares of Class B common stock held by Multiple Holdings, LLC. Nat Turner is a partner in Multiple Holdings, LLC and may be deemed to share voting power and dispositive power over the shares held by Multiple Holdings, LLC. The address of Multiple Holdings, LLC is 139 Reade Street, apartment 5A, New York, NY 10013.</w:t>
      </w:r>
    </w:p>
    <w:p>
      <w:pPr>
        <w:ind w:left="281" w:hanging="281"/>
        <w:spacing w:after="0"/>
        <w:tabs>
          <w:tab w:leader="none" w:pos="281"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Includes 15,056,825 shares of Class B common stock issuable upon exercise of options exercisable within 60 days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160" w:name="page161"/>
    <w:bookmarkEnd w:id="160"/>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166"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i w:val="1"/>
          <w:iCs w:val="1"/>
          <w:color w:val="auto"/>
        </w:rPr>
        <w:t xml:space="preserve">The following summary of the material terms of our securities is not intended to be a complete summary of the rights and preferences of such securities, and is qualified by reference to the amended and restated certificate of incorporation (for purposes of this section, the </w:t>
      </w:r>
      <w:r>
        <w:rPr>
          <w:rFonts w:ascii="Arial" w:cs="Arial" w:eastAsia="Arial" w:hAnsi="Arial"/>
          <w:sz w:val="16"/>
          <w:szCs w:val="16"/>
          <w:color w:val="auto"/>
        </w:rPr>
        <w:t>“</w:t>
      </w:r>
      <w:r>
        <w:rPr>
          <w:rFonts w:ascii="Arial" w:cs="Arial" w:eastAsia="Arial" w:hAnsi="Arial"/>
          <w:sz w:val="16"/>
          <w:szCs w:val="16"/>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 xml:space="preserve">), the amended and restated bylaws (for purposes of this section, the </w:t>
      </w:r>
      <w:r>
        <w:rPr>
          <w:rFonts w:ascii="Arial" w:cs="Arial" w:eastAsia="Arial" w:hAnsi="Arial"/>
          <w:sz w:val="16"/>
          <w:szCs w:val="16"/>
          <w:color w:val="auto"/>
        </w:rPr>
        <w:t>“</w:t>
      </w:r>
      <w:r>
        <w:rPr>
          <w:rFonts w:ascii="Arial" w:cs="Arial" w:eastAsia="Arial" w:hAnsi="Arial"/>
          <w:sz w:val="16"/>
          <w:szCs w:val="16"/>
          <w:i w:val="1"/>
          <w:iCs w:val="1"/>
          <w:color w:val="auto"/>
        </w:rPr>
        <w:t>bylaws</w:t>
      </w:r>
      <w:r>
        <w:rPr>
          <w:rFonts w:ascii="Arial" w:cs="Arial" w:eastAsia="Arial" w:hAnsi="Arial"/>
          <w:sz w:val="16"/>
          <w:szCs w:val="16"/>
          <w:color w:val="auto"/>
        </w:rPr>
        <w:t>”</w:t>
      </w:r>
      <w:r>
        <w:rPr>
          <w:rFonts w:ascii="Arial" w:cs="Arial" w:eastAsia="Arial" w:hAnsi="Arial"/>
          <w:sz w:val="16"/>
          <w:szCs w:val="16"/>
          <w:i w:val="1"/>
          <w:iCs w:val="1"/>
          <w:color w:val="auto"/>
        </w:rPr>
        <w:t>), the Registration Rights Agreement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Capitalization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total amount of our authorized capital stock consists of:</w:t>
      </w:r>
    </w:p>
    <w:p>
      <w:pPr>
        <w:spacing w:after="0" w:line="162" w:lineRule="exact"/>
        <w:rPr>
          <w:sz w:val="20"/>
          <w:szCs w:val="20"/>
          <w:color w:val="auto"/>
        </w:rPr>
      </w:pPr>
    </w:p>
    <w:p>
      <w:pPr>
        <w:ind w:left="520" w:hanging="224"/>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2,500,000,000 shares of our Class A common stock, par value $0.0001 per share;</w:t>
      </w:r>
    </w:p>
    <w:p>
      <w:pPr>
        <w:spacing w:after="0" w:line="162" w:lineRule="exact"/>
        <w:rPr>
          <w:rFonts w:ascii="Arial" w:cs="Arial" w:eastAsia="Arial" w:hAnsi="Arial"/>
          <w:sz w:val="16"/>
          <w:szCs w:val="16"/>
          <w:color w:val="auto"/>
        </w:rPr>
      </w:pPr>
    </w:p>
    <w:p>
      <w:pPr>
        <w:ind w:left="520" w:hanging="224"/>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500,000,000 shares of our Class B common stock, par value $0.0001 per share</w:t>
      </w:r>
    </w:p>
    <w:p>
      <w:pPr>
        <w:spacing w:after="0" w:line="162" w:lineRule="exact"/>
        <w:rPr>
          <w:rFonts w:ascii="Arial" w:cs="Arial" w:eastAsia="Arial" w:hAnsi="Arial"/>
          <w:sz w:val="16"/>
          <w:szCs w:val="16"/>
          <w:color w:val="auto"/>
        </w:rPr>
      </w:pPr>
    </w:p>
    <w:p>
      <w:pPr>
        <w:ind w:left="520" w:hanging="224"/>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25,000,000 shares of our preferred stock, par value $0.0001 per share.</w:t>
      </w:r>
    </w:p>
    <w:p>
      <w:pPr>
        <w:spacing w:after="0" w:line="162" w:lineRule="exact"/>
        <w:rPr>
          <w:sz w:val="20"/>
          <w:szCs w:val="20"/>
          <w:color w:val="auto"/>
        </w:rPr>
      </w:pPr>
    </w:p>
    <w:p>
      <w:pPr>
        <w:ind w:right="400" w:firstLine="297"/>
        <w:spacing w:after="0" w:line="290" w:lineRule="auto"/>
        <w:rPr>
          <w:sz w:val="20"/>
          <w:szCs w:val="20"/>
          <w:color w:val="auto"/>
        </w:rPr>
      </w:pPr>
      <w:r>
        <w:rPr>
          <w:rFonts w:ascii="Arial" w:cs="Arial" w:eastAsia="Arial" w:hAnsi="Arial"/>
          <w:sz w:val="16"/>
          <w:szCs w:val="16"/>
          <w:color w:val="auto"/>
        </w:rPr>
        <w:t>As of September 30, 2021, there were 278,308,964 shares of our Class A common stock, 142,318,711 shares of our Class B common stock and no shares of our preferred stock outstanding.</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62"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Common Stock</w:t>
      </w:r>
    </w:p>
    <w:p>
      <w:pPr>
        <w:spacing w:after="0" w:line="162"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We have two classes of authorized common stock, Class A common stock and Class B common stock. Unless our board of directors determines otherwise, all of our capital stock will be issued in uncertificated form.</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Voting Rights</w:t>
      </w:r>
    </w:p>
    <w:p>
      <w:pPr>
        <w:spacing w:after="0" w:line="162" w:lineRule="exact"/>
        <w:rPr>
          <w:sz w:val="20"/>
          <w:szCs w:val="20"/>
          <w:color w:val="auto"/>
        </w:rPr>
      </w:pPr>
    </w:p>
    <w:p>
      <w:pPr>
        <w:jc w:val="both"/>
        <w:ind w:right="120" w:firstLine="297"/>
        <w:spacing w:after="0" w:line="292" w:lineRule="auto"/>
        <w:rPr>
          <w:sz w:val="20"/>
          <w:szCs w:val="20"/>
          <w:color w:val="auto"/>
        </w:rPr>
      </w:pPr>
      <w:r>
        <w:rPr>
          <w:rFonts w:ascii="Arial" w:cs="Arial" w:eastAsia="Arial" w:hAnsi="Arial"/>
          <w:sz w:val="15"/>
          <w:szCs w:val="15"/>
          <w:color w:val="auto"/>
        </w:rPr>
        <w:t>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w:t>
      </w:r>
    </w:p>
    <w:p>
      <w:pPr>
        <w:spacing w:after="0" w:line="100" w:lineRule="exact"/>
        <w:rPr>
          <w:sz w:val="20"/>
          <w:szCs w:val="20"/>
          <w:color w:val="auto"/>
        </w:rPr>
      </w:pPr>
    </w:p>
    <w:p>
      <w:pPr>
        <w:ind w:left="600" w:right="40" w:hanging="304"/>
        <w:spacing w:after="0" w:line="290" w:lineRule="auto"/>
        <w:tabs>
          <w:tab w:leader="none" w:pos="596"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we were to seek to amend the charter to increase or decrease the par value of a class of our capital stock, then that class would be required to vote separately to approve the proposed amendment; and</w:t>
      </w:r>
    </w:p>
    <w:p>
      <w:pPr>
        <w:spacing w:after="0" w:line="99" w:lineRule="exact"/>
        <w:rPr>
          <w:rFonts w:ascii="Arial" w:cs="Arial" w:eastAsia="Arial" w:hAnsi="Arial"/>
          <w:sz w:val="16"/>
          <w:szCs w:val="16"/>
          <w:color w:val="auto"/>
        </w:rPr>
      </w:pPr>
    </w:p>
    <w:p>
      <w:pPr>
        <w:ind w:left="600" w:hanging="304"/>
        <w:spacing w:after="0" w:line="290" w:lineRule="auto"/>
        <w:tabs>
          <w:tab w:leader="none" w:pos="596"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w:t>
      </w:r>
    </w:p>
    <w:p>
      <w:pPr>
        <w:spacing w:after="0" w:line="99"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The charter and bylaws provide for a classified board of directors that is divided into three classes with staggered three-year terms. Only the directors in one class will be subject to election by a plurality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at each annual meeting of Clover Health’s stockholders, with the directors in the other classes continuing for the remainder of their respective three-year terms.</w:t>
      </w:r>
    </w:p>
    <w:p>
      <w:pPr>
        <w:spacing w:after="0" w:line="174" w:lineRule="exact"/>
        <w:rPr>
          <w:sz w:val="20"/>
          <w:szCs w:val="20"/>
          <w:color w:val="auto"/>
        </w:rPr>
      </w:pPr>
    </w:p>
    <w:p>
      <w:pPr>
        <w:ind w:right="120" w:firstLine="297"/>
        <w:spacing w:after="0" w:line="268" w:lineRule="auto"/>
        <w:rPr>
          <w:sz w:val="20"/>
          <w:szCs w:val="20"/>
          <w:color w:val="auto"/>
        </w:rPr>
      </w:pPr>
      <w:r>
        <w:rPr>
          <w:rFonts w:ascii="Arial" w:cs="Arial" w:eastAsia="Arial" w:hAnsi="Arial"/>
          <w:sz w:val="16"/>
          <w:szCs w:val="16"/>
          <w:color w:val="auto"/>
        </w:rPr>
        <w:t>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Conversion</w:t>
      </w:r>
    </w:p>
    <w:p>
      <w:pPr>
        <w:spacing w:after="0" w:line="162"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 Once converted into Class A common stock, the Class B common stock will not be reissued. In addition, all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spacing w:after="0" w:line="124" w:lineRule="exact"/>
        <w:rPr>
          <w:sz w:val="20"/>
          <w:szCs w:val="20"/>
          <w:color w:val="auto"/>
        </w:rPr>
      </w:pPr>
    </w:p>
    <w:p>
      <w:pPr>
        <w:ind w:right="20" w:firstLine="297"/>
        <w:spacing w:after="0" w:line="277" w:lineRule="auto"/>
        <w:rPr>
          <w:sz w:val="20"/>
          <w:szCs w:val="20"/>
          <w:color w:val="auto"/>
        </w:rPr>
      </w:pPr>
      <w:r>
        <w:rPr>
          <w:rFonts w:ascii="Arial" w:cs="Arial" w:eastAsia="Arial" w:hAnsi="Arial"/>
          <w:sz w:val="15"/>
          <w:szCs w:val="15"/>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 control with respect to the shares of Class B Common Stock held by such trust or organization and the transfer to such trust does not involve any payment of cash, securities, property or other consideration (other than an interest in such trust or organization) to such holder of Class B common stock; and (ix) any immediate family member of such holder of Class B common stock for estate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Dividend Rights</w:t>
      </w:r>
    </w:p>
    <w:p>
      <w:pPr>
        <w:spacing w:after="0" w:line="162"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Other Rights</w:t>
      </w:r>
    </w:p>
    <w:p>
      <w:pPr>
        <w:spacing w:after="0" w:line="162" w:lineRule="exact"/>
        <w:rPr>
          <w:sz w:val="20"/>
          <w:szCs w:val="20"/>
          <w:color w:val="auto"/>
        </w:rPr>
      </w:pPr>
    </w:p>
    <w:p>
      <w:pPr>
        <w:ind w:right="240" w:firstLine="297"/>
        <w:spacing w:after="0" w:line="274" w:lineRule="auto"/>
        <w:rPr>
          <w:sz w:val="20"/>
          <w:szCs w:val="20"/>
          <w:color w:val="auto"/>
        </w:rPr>
      </w:pPr>
      <w:r>
        <w:rPr>
          <w:rFonts w:ascii="Arial" w:cs="Arial" w:eastAsia="Arial" w:hAnsi="Arial"/>
          <w:sz w:val="16"/>
          <w:szCs w:val="16"/>
          <w:color w:val="auto"/>
        </w:rPr>
        <w:t>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Liquidation Rights</w:t>
      </w:r>
    </w:p>
    <w:p>
      <w:pPr>
        <w:spacing w:after="0" w:line="162" w:lineRule="exact"/>
        <w:rPr>
          <w:sz w:val="20"/>
          <w:szCs w:val="20"/>
          <w:color w:val="auto"/>
        </w:rPr>
      </w:pPr>
    </w:p>
    <w:p>
      <w:pPr>
        <w:ind w:right="20" w:firstLine="297"/>
        <w:spacing w:after="0" w:line="274" w:lineRule="auto"/>
        <w:rPr>
          <w:sz w:val="20"/>
          <w:szCs w:val="20"/>
          <w:color w:val="auto"/>
        </w:rPr>
      </w:pPr>
      <w:r>
        <w:rPr>
          <w:rFonts w:ascii="Arial" w:cs="Arial" w:eastAsia="Arial" w:hAnsi="Arial"/>
          <w:sz w:val="16"/>
          <w:szCs w:val="16"/>
          <w:color w:val="auto"/>
        </w:rPr>
        <w:t>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Public Warrants and Private Placement Warrants</w:t>
      </w:r>
    </w:p>
    <w:p>
      <w:pPr>
        <w:spacing w:after="0" w:line="162" w:lineRule="exact"/>
        <w:rPr>
          <w:sz w:val="20"/>
          <w:szCs w:val="20"/>
          <w:color w:val="auto"/>
        </w:rPr>
      </w:pPr>
    </w:p>
    <w:p>
      <w:pPr>
        <w:ind w:right="20" w:firstLine="297"/>
        <w:spacing w:after="0" w:line="300" w:lineRule="auto"/>
        <w:rPr>
          <w:sz w:val="20"/>
          <w:szCs w:val="20"/>
          <w:color w:val="auto"/>
        </w:rPr>
      </w:pPr>
      <w:r>
        <w:rPr>
          <w:rFonts w:ascii="Arial" w:cs="Arial" w:eastAsia="Arial" w:hAnsi="Arial"/>
          <w:sz w:val="15"/>
          <w:szCs w:val="15"/>
          <w:color w:val="auto"/>
        </w:rPr>
        <w:t>As a result of the Business Combination, we assumed, as of January 7, 2021, Public Warrants to purchase an aggregate of 27,599,938 shares of the Corporation's Class A Common Stock and Private Placement Warrants to purchase an aggregate of 10,933,333 shares of the Corporation's Class A Common Stock. Each whole Warrant entitled the registered holder to purchase one whole share of Class A Common Stock at a price of $11.50 per share, at any time commencing on April 24, 2021.</w:t>
      </w:r>
    </w:p>
    <w:p>
      <w:pPr>
        <w:spacing w:after="0" w:line="95" w:lineRule="exact"/>
        <w:rPr>
          <w:sz w:val="20"/>
          <w:szCs w:val="20"/>
          <w:color w:val="auto"/>
        </w:rPr>
      </w:pPr>
    </w:p>
    <w:p>
      <w:pPr>
        <w:ind w:right="160" w:firstLine="297"/>
        <w:spacing w:after="0" w:line="268"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warrants payable on the Condensed Consolidated Balance Sheet. The warrant liabilities were measured at fair value at inception and on a recurring basis until redeemed, with changes in fair value presented within change in fair value of warrants payable in the Condensed Consolidated Statement of Operations and Comprehensive Loss. See Note 5 (Fair Value Measurements) for additional information.</w:t>
      </w:r>
    </w:p>
    <w:p>
      <w:pPr>
        <w:spacing w:after="0" w:line="118"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On July 22, 2021, the Company issued a press release stating that it would redeem all of its Warrants that remained outstanding on August 23, 2021, the redemption date, for a redemption price of $0.10 per Warrant. On August 25, 2021, the Company announced that it was extending the period during which holders of the Public Warrants could exercise the Warrants to September 9, 2021, at which time any unexercised Public Warrants would be redeemed at a price of $0.10 per Warrant. Payment upon exercise of the Warrants could be made either (i) in cash, at an exercise price of $11.50 per share of Class A Common Stock or (ii) on a “cashless basis” in which the exercising holder received 0.249 shares of Class A Common Stock per Warrant shares of Class A Common Stock.</w:t>
      </w:r>
    </w:p>
    <w:p>
      <w:pPr>
        <w:spacing w:after="0" w:line="106"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Prior to the redemption date, 33,932 Public Warrants were exercised for cash, and 26,716,041 were exercised on a cashless basis in exchange for an aggregate of 6,685,865 shares of Common Stock, in each case in accordance with the terms of the Warrant Agreement, representing 96.9% of the Public Warrants. In addition, all of the Private Placement Warrants were exercised on a cashless basis in exchange for an aggregate of 2,722,399 shares of Common Stock, in accordance with the terms of the Warrant Agreement. Total cash proceeds generated from exercises of the Public Warrants were $0.4 million. The remaining unexercised 849,965 Public Warrants were redeemed by the Corporation for $0.1 million. In connection with the redemption, the Public Warrants were delisted, and no Warrants were outstanding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Delaware Law and our Charter and Bylaws</w:t>
      </w:r>
    </w:p>
    <w:p>
      <w:pPr>
        <w:spacing w:after="0" w:line="166" w:lineRule="exact"/>
        <w:rPr>
          <w:sz w:val="20"/>
          <w:szCs w:val="20"/>
          <w:color w:val="auto"/>
        </w:rPr>
      </w:pPr>
    </w:p>
    <w:p>
      <w:pPr>
        <w:jc w:val="both"/>
        <w:ind w:firstLine="297"/>
        <w:spacing w:after="0" w:line="292" w:lineRule="auto"/>
        <w:rPr>
          <w:sz w:val="20"/>
          <w:szCs w:val="20"/>
          <w:color w:val="auto"/>
        </w:rPr>
      </w:pPr>
      <w:r>
        <w:rPr>
          <w:rFonts w:ascii="Arial" w:cs="Arial" w:eastAsia="Arial" w:hAnsi="Arial"/>
          <w:sz w:val="15"/>
          <w:szCs w:val="15"/>
          <w:color w:val="auto"/>
        </w:rPr>
        <w:t>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Dual Class Common Stock</w:t>
      </w:r>
    </w:p>
    <w:p>
      <w:pPr>
        <w:spacing w:after="0" w:line="162"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Special Meetings of Stockholders</w:t>
      </w:r>
    </w:p>
    <w:p>
      <w:pPr>
        <w:spacing w:after="0" w:line="162" w:lineRule="exact"/>
        <w:rPr>
          <w:sz w:val="20"/>
          <w:szCs w:val="20"/>
          <w:color w:val="auto"/>
        </w:rPr>
      </w:pPr>
    </w:p>
    <w:p>
      <w:pPr>
        <w:ind w:right="280" w:firstLine="297"/>
        <w:spacing w:after="0" w:line="290" w:lineRule="auto"/>
        <w:rPr>
          <w:sz w:val="20"/>
          <w:szCs w:val="20"/>
          <w:color w:val="auto"/>
        </w:rPr>
      </w:pPr>
      <w:r>
        <w:rPr>
          <w:rFonts w:ascii="Arial" w:cs="Arial" w:eastAsia="Arial" w:hAnsi="Arial"/>
          <w:sz w:val="16"/>
          <w:szCs w:val="16"/>
          <w:color w:val="auto"/>
        </w:rPr>
        <w:t>The charter provides that a special meeting of stockholders may be called by (a) the chairperson of our board of directors, (b) our Chief Executive Officer, (c) our lead independent director or (d) our board of directors pursuant to a resolution adopted by a majority of the board.</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Action by Written Consent</w:t>
      </w:r>
    </w:p>
    <w:p>
      <w:pPr>
        <w:spacing w:after="0" w:line="162" w:lineRule="exact"/>
        <w:rPr>
          <w:sz w:val="20"/>
          <w:szCs w:val="20"/>
          <w:color w:val="auto"/>
        </w:rPr>
      </w:pPr>
    </w:p>
    <w:p>
      <w:pPr>
        <w:ind w:right="200" w:firstLine="297"/>
        <w:spacing w:after="0" w:line="290" w:lineRule="auto"/>
        <w:rPr>
          <w:sz w:val="20"/>
          <w:szCs w:val="20"/>
          <w:color w:val="auto"/>
        </w:rPr>
      </w:pPr>
      <w:r>
        <w:rPr>
          <w:rFonts w:ascii="Arial" w:cs="Arial" w:eastAsia="Arial" w:hAnsi="Arial"/>
          <w:sz w:val="16"/>
          <w:szCs w:val="16"/>
          <w:color w:val="auto"/>
        </w:rPr>
        <w:t>The charter provides that any action required or permitted to be taken by our stockholders must be effected at an annual or special meeting of the stockholders, and may not be taken by written consent in lieu of a meeting.</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Staggered Board</w:t>
      </w:r>
    </w:p>
    <w:p>
      <w:pPr>
        <w:spacing w:after="0" w:line="162" w:lineRule="exact"/>
        <w:rPr>
          <w:sz w:val="20"/>
          <w:szCs w:val="20"/>
          <w:color w:val="auto"/>
        </w:rPr>
      </w:pPr>
    </w:p>
    <w:p>
      <w:pPr>
        <w:jc w:val="both"/>
        <w:ind w:right="20" w:firstLine="297"/>
        <w:spacing w:after="0" w:line="274"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the Company, because it generally makes it more difficult for stockholders to replace a majority of the directors.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162"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Stockholders Not Entitled to Cumulative Voting</w:t>
      </w:r>
    </w:p>
    <w:p>
      <w:pPr>
        <w:spacing w:after="0" w:line="162"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Delaware Anti-takeover Statute</w:t>
      </w:r>
    </w:p>
    <w:p>
      <w:pPr>
        <w:spacing w:after="0" w:line="162" w:lineRule="exact"/>
        <w:rPr>
          <w:sz w:val="20"/>
          <w:szCs w:val="20"/>
          <w:color w:val="auto"/>
        </w:rPr>
      </w:pPr>
    </w:p>
    <w:p>
      <w:pPr>
        <w:ind w:right="260" w:firstLine="297"/>
        <w:spacing w:after="0" w:line="312" w:lineRule="auto"/>
        <w:rPr>
          <w:sz w:val="20"/>
          <w:szCs w:val="20"/>
          <w:color w:val="auto"/>
        </w:rPr>
      </w:pPr>
      <w:r>
        <w:rPr>
          <w:rFonts w:ascii="Arial" w:cs="Arial" w:eastAsia="Arial" w:hAnsi="Arial"/>
          <w:sz w:val="14"/>
          <w:szCs w:val="14"/>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3" w:lineRule="exact"/>
        <w:rPr>
          <w:sz w:val="20"/>
          <w:szCs w:val="20"/>
          <w:color w:val="auto"/>
        </w:rPr>
      </w:pPr>
    </w:p>
    <w:p>
      <w:pPr>
        <w:ind w:right="720"/>
        <w:spacing w:after="0" w:line="290" w:lineRule="auto"/>
        <w:rPr>
          <w:sz w:val="20"/>
          <w:szCs w:val="20"/>
          <w:color w:val="auto"/>
        </w:rPr>
      </w:pPr>
      <w:r>
        <w:rPr>
          <w:rFonts w:ascii="Arial" w:cs="Arial" w:eastAsia="Arial" w:hAnsi="Arial"/>
          <w:sz w:val="16"/>
          <w:szCs w:val="16"/>
          <w:color w:val="auto"/>
        </w:rPr>
        <w:t>or other transaction resulting in a financial benefit to the interested stockholder. The existence of this provision may have an anti-takeover effect with respect to transactions not approved in advance by our board of directors.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Issuance of undesignated preferred stock</w:t>
      </w:r>
    </w:p>
    <w:p>
      <w:pPr>
        <w:spacing w:after="0" w:line="162" w:lineRule="exact"/>
        <w:rPr>
          <w:sz w:val="20"/>
          <w:szCs w:val="20"/>
          <w:color w:val="auto"/>
        </w:rPr>
      </w:pPr>
    </w:p>
    <w:p>
      <w:pPr>
        <w:jc w:val="both"/>
        <w:ind w:firstLine="297"/>
        <w:spacing w:after="0" w:line="300" w:lineRule="auto"/>
        <w:rPr>
          <w:sz w:val="20"/>
          <w:szCs w:val="20"/>
          <w:color w:val="auto"/>
        </w:rPr>
      </w:pPr>
      <w:r>
        <w:rPr>
          <w:rFonts w:ascii="Arial" w:cs="Arial" w:eastAsia="Arial" w:hAnsi="Arial"/>
          <w:sz w:val="15"/>
          <w:szCs w:val="15"/>
          <w:color w:val="auto"/>
        </w:rPr>
        <w:t>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Choice of Forum</w:t>
      </w:r>
    </w:p>
    <w:p>
      <w:pPr>
        <w:spacing w:after="0" w:line="166" w:lineRule="exact"/>
        <w:rPr>
          <w:sz w:val="20"/>
          <w:szCs w:val="20"/>
          <w:color w:val="auto"/>
        </w:rPr>
      </w:pPr>
    </w:p>
    <w:p>
      <w:pPr>
        <w:ind w:right="20" w:firstLine="297"/>
        <w:spacing w:after="0" w:line="261" w:lineRule="auto"/>
        <w:rPr>
          <w:sz w:val="20"/>
          <w:szCs w:val="20"/>
          <w:color w:val="auto"/>
        </w:rPr>
      </w:pPr>
      <w:r>
        <w:rPr>
          <w:rFonts w:ascii="Arial" w:cs="Arial" w:eastAsia="Arial" w:hAnsi="Arial"/>
          <w:sz w:val="16"/>
          <w:szCs w:val="16"/>
          <w:color w:val="auto"/>
        </w:rPr>
        <w:t>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district courts of the United States of America will be the exclusive forum for resolving any complaint asserting a cause of action arising under the Securities 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166"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The transfer agent and registrar for our Class A common stock is Continental Stock Transfer &amp; Trust Company. The transfer agent and registrar’s telephone number and address is (212) 509-4000 and 1 State Street, 30th Floor, New York, NY 10004.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166"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Future sales of substantial amounts of our Class A common stock in the public market could adversely affect prevailing market prices. Furthermore, since only a limited number of shares will be available for sale shortly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September 30, 2021, we had 278,308,964 shares of Class A common stock and 142,318,711 shares of our Class B common stock outstanding.</w:t>
      </w:r>
    </w:p>
    <w:p>
      <w:pPr>
        <w:spacing w:after="0" w:line="16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In addition, we have reserved a total of 28,858,415 shares of Class A common stock for issuance under our 2020 Equity Incentive Plan, and 2,785,582 shares under our 2020 Employee Stock Purchase Plan.</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Based on the number of shares of Class A common stock outstanding as of September 30, 2021, assuming we sell 35,000,000 shares in this</w:t>
      </w:r>
    </w:p>
    <w:p>
      <w:pPr>
        <w:spacing w:after="0" w:line="2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offering, 313,308,964 shares of Class A common stock will be outstanding, all of which will be freely tradable without further restriction or registration under the Securities Act, except that any shares purchased by our affiliates may generally only be sold in compliance with Rule 144, which is described below. The remaining outstanding shares will be either subject to contractual lock-up agreements or deemed “restricted securities” under the Securities Act. Restricted securities may be sold in the public market only if they qualify for an exemption from registration under Rule 144 or any other applicable exemption.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Restrictions</w:t>
      </w:r>
    </w:p>
    <w:p>
      <w:pPr>
        <w:spacing w:after="0" w:line="166"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and our executive officers and directors have entered into lock-up agreements with the underwriters of this offering, under which we and they have agreed, or will agree, that, subject to certain exceptions, we and they will not sell, dispose of, or hedge any shares or any securities convertible into or exchangeable for shares of our Class A common stock until 90 days after the date of this prospectus. The restrictions with the underwriters also apply to common stock owned now or acquired later by the person executing the agreement or for which the person executing the agreement later acquires the power of disposition. At any time and without public notice, may, in their sole discretion, release all or some of the securities from these lock-up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166"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Pursuant to Rule 144, a person who has beneficially owned restricted shares of our common stock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8" w:lineRule="exact"/>
        <w:rPr>
          <w:sz w:val="20"/>
          <w:szCs w:val="20"/>
          <w:color w:val="auto"/>
        </w:rPr>
      </w:pPr>
    </w:p>
    <w:p>
      <w:pPr>
        <w:ind w:right="220" w:firstLine="297"/>
        <w:spacing w:after="0" w:line="274" w:lineRule="auto"/>
        <w:rPr>
          <w:sz w:val="20"/>
          <w:szCs w:val="20"/>
          <w:color w:val="auto"/>
        </w:rPr>
      </w:pPr>
      <w:r>
        <w:rPr>
          <w:rFonts w:ascii="Arial" w:cs="Arial" w:eastAsia="Arial" w:hAnsi="Arial"/>
          <w:sz w:val="16"/>
          <w:szCs w:val="16"/>
          <w:color w:val="auto"/>
        </w:rPr>
        <w:t>Persons who have beneficially owned restricted shares of our common stock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 not exceed the greater of:</w:t>
      </w:r>
    </w:p>
    <w:p>
      <w:pPr>
        <w:spacing w:after="0" w:line="112" w:lineRule="exact"/>
        <w:rPr>
          <w:sz w:val="20"/>
          <w:szCs w:val="20"/>
          <w:color w:val="auto"/>
        </w:rPr>
      </w:pPr>
    </w:p>
    <w:p>
      <w:pPr>
        <w:ind w:left="580" w:hanging="284"/>
        <w:spacing w:after="0"/>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1% of the total number of shares of our common stock then outstanding; or</w:t>
      </w:r>
    </w:p>
    <w:p>
      <w:pPr>
        <w:spacing w:after="0" w:line="162" w:lineRule="exact"/>
        <w:rPr>
          <w:rFonts w:ascii="Arial" w:cs="Arial" w:eastAsia="Arial" w:hAnsi="Arial"/>
          <w:sz w:val="16"/>
          <w:szCs w:val="16"/>
          <w:color w:val="auto"/>
        </w:rPr>
      </w:pPr>
    </w:p>
    <w:p>
      <w:pPr>
        <w:ind w:left="600" w:hanging="304"/>
        <w:spacing w:after="0" w:line="290" w:lineRule="auto"/>
        <w:tabs>
          <w:tab w:leader="none" w:pos="5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average weekly reported trading volume of our common stock during the four calendar weeks preceding the filing of a notice on Form 144 with respect to the sale.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Sales by our affiliates under Rule 144 are also limited by manner of sale provisions and notice requirements and to the availability of current public information about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on the Use of Rule 144 by Shell Companies or Former Shell Companies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Rule 144 is generally not available for the resale of securities initially issued by shell companies or issuers that have been at anytime previously a shell company.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However, Rule 144 also includes an important exception to this prohibition if the following conditions are met:</w:t>
      </w:r>
    </w:p>
    <w:p>
      <w:pPr>
        <w:spacing w:after="0" w:line="151" w:lineRule="exact"/>
        <w:rPr>
          <w:sz w:val="20"/>
          <w:szCs w:val="20"/>
          <w:color w:val="auto"/>
        </w:rPr>
      </w:pPr>
    </w:p>
    <w:p>
      <w:pPr>
        <w:ind w:left="580" w:hanging="284"/>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issuer of the securities is subject to the reporting requirements of Section 13 or 15(d) of the Exchange Act;</w:t>
      </w:r>
    </w:p>
    <w:p>
      <w:pPr>
        <w:spacing w:after="0" w:line="162" w:lineRule="exact"/>
        <w:rPr>
          <w:rFonts w:ascii="Arial" w:cs="Arial" w:eastAsia="Arial" w:hAnsi="Arial"/>
          <w:sz w:val="16"/>
          <w:szCs w:val="16"/>
          <w:color w:val="auto"/>
        </w:rPr>
      </w:pPr>
    </w:p>
    <w:p>
      <w:pPr>
        <w:ind w:left="600" w:right="260" w:hanging="304"/>
        <w:spacing w:after="0" w:line="290" w:lineRule="auto"/>
        <w:tabs>
          <w:tab w:leader="none" w:pos="5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9" w:lineRule="exact"/>
        <w:rPr>
          <w:rFonts w:ascii="Arial" w:cs="Arial" w:eastAsia="Arial" w:hAnsi="Arial"/>
          <w:sz w:val="16"/>
          <w:szCs w:val="16"/>
          <w:color w:val="auto"/>
        </w:rPr>
      </w:pPr>
    </w:p>
    <w:p>
      <w:pPr>
        <w:ind w:left="600" w:right="80" w:hanging="304"/>
        <w:spacing w:after="0" w:line="290" w:lineRule="auto"/>
        <w:tabs>
          <w:tab w:leader="none" w:pos="5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least one year has elapsed from the time that the issuer filed current Form 10 type information with the SEC reflecting its status as an entity that is not a shell company.</w:t>
      </w:r>
    </w:p>
    <w:p>
      <w:pPr>
        <w:spacing w:after="0" w:line="99"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S-8 Registration Statement</w:t>
      </w:r>
    </w:p>
    <w:p>
      <w:pPr>
        <w:spacing w:after="0" w:line="166" w:lineRule="exact"/>
        <w:rPr>
          <w:sz w:val="20"/>
          <w:szCs w:val="20"/>
          <w:color w:val="auto"/>
        </w:rPr>
      </w:pPr>
    </w:p>
    <w:p>
      <w:pPr>
        <w:ind w:right="160" w:firstLine="297"/>
        <w:spacing w:after="0" w:line="300" w:lineRule="auto"/>
        <w:rPr>
          <w:sz w:val="20"/>
          <w:szCs w:val="20"/>
          <w:color w:val="auto"/>
        </w:rPr>
      </w:pPr>
      <w:r>
        <w:rPr>
          <w:rFonts w:ascii="Arial" w:cs="Arial" w:eastAsia="Arial" w:hAnsi="Arial"/>
          <w:sz w:val="15"/>
          <w:szCs w:val="15"/>
          <w:color w:val="auto"/>
        </w:rPr>
        <w:t>We have filed a registration statement on Form S-8 under the Securities Act to register the shares of Class A common stock issued or issuable under our 2014 Incentive Plan, 2020 Equity Incentive Plan, and 2020 Employee Stock Purchase Plan. These shares can be sold in the public market upon issuance, subject to Rule 144 limitations applicable to affiliates and vesting restrictions. See the section titled “Executive Compensation”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7" w:name="page168"/>
    <w:bookmarkEnd w:id="167"/>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UNITED STATES FEDERAL INCOME TAX CONSIDERATIONS</w:t>
      </w:r>
    </w:p>
    <w:p>
      <w:pPr>
        <w:spacing w:after="0" w:line="166" w:lineRule="exact"/>
        <w:rPr>
          <w:sz w:val="20"/>
          <w:szCs w:val="20"/>
          <w:color w:val="auto"/>
        </w:rPr>
      </w:pPr>
    </w:p>
    <w:p>
      <w:pPr>
        <w:ind w:right="20" w:firstLine="297"/>
        <w:spacing w:after="0" w:line="279" w:lineRule="auto"/>
        <w:rPr>
          <w:sz w:val="20"/>
          <w:szCs w:val="20"/>
          <w:color w:val="auto"/>
        </w:rPr>
      </w:pPr>
      <w:r>
        <w:rPr>
          <w:rFonts w:ascii="Arial" w:cs="Arial" w:eastAsia="Arial" w:hAnsi="Arial"/>
          <w:sz w:val="15"/>
          <w:szCs w:val="15"/>
          <w:color w:val="auto"/>
        </w:rPr>
        <w:t>The following discussion is a summary of certain U.S. federal income tax considerations generally applicable to the ownership and disposition of our Class A common stock issued pursuant to this offering but does not purport to be a complete analysis of all potential tax effects.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common stock as part of a straddle, hedge, conversion, or other integrated transaction for U.S. federal income tax purposes, expatriates or former long-term residents of the United States, or investors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common stock as “capital assets” (generally, property held for investment) under the Internal Revenue Code of 1986, as amended (the “Code”), and that acquire our common stock for cash pursuant to this prospectus.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purposes of this summary, a “U.S. Holder” is a beneficial holder of common stock who or that, for U.S. federal income tax purposes is:</w:t>
      </w:r>
    </w:p>
    <w:p>
      <w:pPr>
        <w:spacing w:after="0" w:line="162" w:lineRule="exact"/>
        <w:rPr>
          <w:sz w:val="20"/>
          <w:szCs w:val="20"/>
          <w:color w:val="auto"/>
        </w:rPr>
      </w:pPr>
    </w:p>
    <w:p>
      <w:pPr>
        <w:ind w:left="580" w:hanging="284"/>
        <w:spacing w:after="0"/>
        <w:tabs>
          <w:tab w:leader="none" w:pos="5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individual who is a United States citizen or resident of the United States;</w:t>
      </w:r>
    </w:p>
    <w:p>
      <w:pPr>
        <w:spacing w:after="0" w:line="162" w:lineRule="exact"/>
        <w:rPr>
          <w:rFonts w:ascii="Arial" w:cs="Arial" w:eastAsia="Arial" w:hAnsi="Arial"/>
          <w:sz w:val="16"/>
          <w:szCs w:val="16"/>
          <w:color w:val="auto"/>
        </w:rPr>
      </w:pPr>
    </w:p>
    <w:p>
      <w:pPr>
        <w:ind w:left="600" w:right="80" w:hanging="304"/>
        <w:spacing w:after="0" w:line="290" w:lineRule="auto"/>
        <w:tabs>
          <w:tab w:leader="none" w:pos="5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United States federal income tax purposes created in, or organized under the law of, the United States or any state or political subdivision thereof;</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United States federal income tax purposes regardless of its source; or</w:t>
      </w:r>
    </w:p>
    <w:p>
      <w:pPr>
        <w:spacing w:after="0" w:line="162" w:lineRule="exact"/>
        <w:rPr>
          <w:rFonts w:ascii="Arial" w:cs="Arial" w:eastAsia="Arial" w:hAnsi="Arial"/>
          <w:sz w:val="16"/>
          <w:szCs w:val="16"/>
          <w:color w:val="auto"/>
        </w:rPr>
      </w:pPr>
    </w:p>
    <w:p>
      <w:pPr>
        <w:ind w:left="600" w:right="40" w:hanging="304"/>
        <w:spacing w:after="0" w:line="274" w:lineRule="auto"/>
        <w:tabs>
          <w:tab w:leader="none" w:pos="5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1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A “non-U.S. Holder” is a beneficial holder of common stock who or that is neither a U.S. Holder nor an entity or arrangement treated as a partnership for U.S. federal income tax purposes.</w:t>
      </w:r>
    </w:p>
    <w:p>
      <w:pPr>
        <w:spacing w:after="0" w:line="99" w:lineRule="exact"/>
        <w:rPr>
          <w:sz w:val="20"/>
          <w:szCs w:val="20"/>
          <w:color w:val="auto"/>
        </w:rPr>
      </w:pPr>
    </w:p>
    <w:p>
      <w:pPr>
        <w:ind w:right="80" w:firstLine="297"/>
        <w:spacing w:after="0" w:line="318" w:lineRule="auto"/>
        <w:rPr>
          <w:sz w:val="20"/>
          <w:szCs w:val="20"/>
          <w:color w:val="auto"/>
        </w:rPr>
      </w:pPr>
      <w:r>
        <w:rPr>
          <w:rFonts w:ascii="Arial" w:cs="Arial" w:eastAsia="Arial" w:hAnsi="Arial"/>
          <w:sz w:val="14"/>
          <w:szCs w:val="14"/>
          <w:color w:val="auto"/>
        </w:rPr>
        <w:t>If a partnership (including an entity or arrangement treated as a partnership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spacing w:after="0" w:line="86"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COMMON STOCK, AS WELL AS THE APPLICATION OF ANY, STATE, LOCAL AND NON-U.S. INCOME, ESTATE AND OTHER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6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If we pay distributions or make constructive distributions (other than certain distributions of our capital stock or rights to acquire our capital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Holders—Gain or Loss on Sale, Taxable Exchange or Other Taxable Disposition of Common Stock” below.</w:t>
      </w:r>
    </w:p>
    <w:p>
      <w:pPr>
        <w:spacing w:after="0" w:line="121" w:lineRule="exact"/>
        <w:rPr>
          <w:sz w:val="20"/>
          <w:szCs w:val="20"/>
          <w:color w:val="auto"/>
        </w:rPr>
      </w:pPr>
    </w:p>
    <w:p>
      <w:pPr>
        <w:jc w:val="both"/>
        <w:ind w:right="40" w:firstLine="297"/>
        <w:spacing w:after="0" w:line="264" w:lineRule="auto"/>
        <w:rPr>
          <w:sz w:val="20"/>
          <w:szCs w:val="20"/>
          <w:color w:val="auto"/>
        </w:rPr>
      </w:pPr>
      <w:r>
        <w:rPr>
          <w:rFonts w:ascii="Arial" w:cs="Arial" w:eastAsia="Arial" w:hAnsi="Arial"/>
          <w:sz w:val="16"/>
          <w:szCs w:val="16"/>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or Loss on Sale, Taxable Exchange or Other Taxable Disposition of Class A Common Stock</w:t>
      </w:r>
    </w:p>
    <w:p>
      <w:pPr>
        <w:spacing w:after="0" w:line="162" w:lineRule="exact"/>
        <w:rPr>
          <w:sz w:val="20"/>
          <w:szCs w:val="20"/>
          <w:color w:val="auto"/>
        </w:rPr>
      </w:pPr>
    </w:p>
    <w:p>
      <w:pPr>
        <w:ind w:right="60" w:firstLine="297"/>
        <w:spacing w:after="0" w:line="282" w:lineRule="auto"/>
        <w:rPr>
          <w:sz w:val="20"/>
          <w:szCs w:val="20"/>
          <w:color w:val="auto"/>
        </w:rPr>
      </w:pPr>
      <w:r>
        <w:rPr>
          <w:rFonts w:ascii="Arial" w:cs="Arial" w:eastAsia="Arial" w:hAnsi="Arial"/>
          <w:sz w:val="15"/>
          <w:szCs w:val="15"/>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62" w:lineRule="exact"/>
        <w:rPr>
          <w:sz w:val="20"/>
          <w:szCs w:val="20"/>
          <w:color w:val="auto"/>
        </w:rPr>
      </w:pPr>
    </w:p>
    <w:p>
      <w:pPr>
        <w:ind w:right="120" w:firstLine="297"/>
        <w:spacing w:after="0" w:line="268" w:lineRule="auto"/>
        <w:rPr>
          <w:sz w:val="20"/>
          <w:szCs w:val="20"/>
          <w:color w:val="auto"/>
        </w:rPr>
      </w:pPr>
      <w:r>
        <w:rPr>
          <w:rFonts w:ascii="Arial" w:cs="Arial" w:eastAsia="Arial" w:hAnsi="Arial"/>
          <w:sz w:val="16"/>
          <w:szCs w:val="16"/>
          <w:color w:val="auto"/>
        </w:rPr>
        <w:t>In general, information reporting requirements may apply to dividends paid to a U.S. Holder and to the proceeds of the sale or other disposition of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Backup withholding is not an additional tax. Any amounts withheld under the backup withholding rules will be allowed as a credit against a U.S. Holder’s U.S.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liability and may entitle such holder to a refund, provided the required information is timely furnished to the IRS.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62"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In general, any distributions we make to a non-U.S. Holder of shares of our Class A common stock, to the extent paid out of our current or accumulated earnings and profits (as determined under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Stock” below. In addition, if we determine that we are likely to be classified as a “United States real property holding corporation” (see “Non-U.S. Holders—Gain on Sale, Exchange or Other Taxable Disposition of Class A Common Stock” below), we will withhold 15% of any distribution that exceeds our current and accumulated earnings and profits.</w:t>
      </w:r>
    </w:p>
    <w:p>
      <w:pPr>
        <w:spacing w:after="0" w:line="111"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Gain on Sale, Exchange or Other Taxable Disposition of Class A Common Stock</w:t>
      </w:r>
    </w:p>
    <w:p>
      <w:pPr>
        <w:spacing w:after="0" w:line="162"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A non-U.S. Holder generally will not be subject to U.S. federal income or withholding tax in respect of gain recognized on a sale, taxable exchange or other taxable disposition of our Class A common stock, unless:</w:t>
      </w:r>
    </w:p>
    <w:p>
      <w:pPr>
        <w:spacing w:after="0" w:line="99" w:lineRule="exact"/>
        <w:rPr>
          <w:sz w:val="20"/>
          <w:szCs w:val="20"/>
          <w:color w:val="auto"/>
        </w:rPr>
      </w:pPr>
    </w:p>
    <w:p>
      <w:pPr>
        <w:ind w:left="600" w:right="440" w:hanging="304"/>
        <w:spacing w:after="0" w:line="290" w:lineRule="auto"/>
        <w:tabs>
          <w:tab w:leader="none" w:pos="5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99" w:lineRule="exact"/>
        <w:rPr>
          <w:rFonts w:ascii="Arial" w:cs="Arial" w:eastAsia="Arial" w:hAnsi="Arial"/>
          <w:sz w:val="16"/>
          <w:szCs w:val="16"/>
          <w:color w:val="auto"/>
        </w:rPr>
      </w:pPr>
    </w:p>
    <w:p>
      <w:pPr>
        <w:ind w:left="600" w:right="180" w:hanging="304"/>
        <w:spacing w:after="0" w:line="290" w:lineRule="auto"/>
        <w:tabs>
          <w:tab w:leader="none" w:pos="5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taxable year of disposition and certain other conditions are met; or</w:t>
      </w:r>
    </w:p>
    <w:p>
      <w:pPr>
        <w:spacing w:after="0" w:line="99" w:lineRule="exact"/>
        <w:rPr>
          <w:rFonts w:ascii="Arial" w:cs="Arial" w:eastAsia="Arial" w:hAnsi="Arial"/>
          <w:sz w:val="16"/>
          <w:szCs w:val="16"/>
          <w:color w:val="auto"/>
        </w:rPr>
      </w:pPr>
    </w:p>
    <w:p>
      <w:pPr>
        <w:ind w:left="600" w:right="60" w:hanging="304"/>
        <w:spacing w:after="0" w:line="264" w:lineRule="auto"/>
        <w:tabs>
          <w:tab w:leader="none" w:pos="5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21"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18"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If the third bullet point above applies to a non-U.S. Holder and applicable exceptions are not available, gain recognized by such holder on the sale, exchange or other disposition of our Class A common stock will be subject to tax at generally applicable U.S. federal income tax rates. In addition, a buyer of our Class A common stock from such holder may be required to withhold U.S. income tax at a rate of 15% of the amount realized upon such disposition. We will be classified as a United States real property holding corporation if the fair market value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23" w:lineRule="exact"/>
        <w:rPr>
          <w:sz w:val="20"/>
          <w:szCs w:val="20"/>
          <w:color w:val="auto"/>
        </w:rPr>
      </w:pPr>
    </w:p>
    <w:p>
      <w:pPr>
        <w:ind w:right="200"/>
        <w:spacing w:after="0" w:line="330" w:lineRule="auto"/>
        <w:rPr>
          <w:sz w:val="20"/>
          <w:szCs w:val="20"/>
          <w:color w:val="auto"/>
        </w:rPr>
      </w:pPr>
      <w:r>
        <w:rPr>
          <w:rFonts w:ascii="Arial" w:cs="Arial" w:eastAsia="Arial" w:hAnsi="Arial"/>
          <w:sz w:val="14"/>
          <w:szCs w:val="14"/>
          <w:color w:val="auto"/>
        </w:rPr>
        <w:t>“United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Foreign Account Tax Compliance Act</w:t>
      </w:r>
    </w:p>
    <w:p>
      <w:pPr>
        <w:spacing w:after="0" w:line="162"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62"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shares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UNDERWRITING</w:t>
      </w:r>
    </w:p>
    <w:p>
      <w:pPr>
        <w:spacing w:after="0" w:line="166" w:lineRule="exact"/>
        <w:rPr>
          <w:sz w:val="20"/>
          <w:szCs w:val="20"/>
          <w:color w:val="auto"/>
        </w:rPr>
      </w:pPr>
    </w:p>
    <w:p>
      <w:pPr>
        <w:ind w:right="320" w:firstLine="297"/>
        <w:spacing w:after="0" w:line="268" w:lineRule="auto"/>
        <w:rPr>
          <w:sz w:val="20"/>
          <w:szCs w:val="20"/>
          <w:color w:val="auto"/>
        </w:rPr>
      </w:pPr>
      <w:r>
        <w:rPr>
          <w:rFonts w:ascii="Arial" w:cs="Arial" w:eastAsia="Arial" w:hAnsi="Arial"/>
          <w:sz w:val="16"/>
          <w:szCs w:val="16"/>
          <w:color w:val="auto"/>
        </w:rPr>
        <w:t>Citigroup Global Markets Inc. and Deutsche Bank Securities Inc.are acting as book-running managers of this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of common stock set forth opposite the underwriter’s name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Underwriters</w:t>
            </w:r>
          </w:p>
        </w:tc>
        <w:tc>
          <w:tcPr>
            <w:tcW w:w="80" w:type="dxa"/>
            <w:vAlign w:val="bottom"/>
            <w:vMerge w:val="restart"/>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71"/>
        </w:trPr>
        <w:tc>
          <w:tcPr>
            <w:tcW w:w="9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217"/>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Citigroup Global Markets Inc.</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Deutsche Bank Securities Inc.</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SVB Leerink LLC</w:t>
            </w: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Canaccord Genuity LLC</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35,000,000</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of Class A common stock included in this offering are subject to approval of legal matters by counsel and to other conditions. The underwriters are obligated to purchase all the shares of Class A common stock offered by this prospectus, other than those covered by the option to purchase additional shares described below, if they purchase any of the shares.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Shares sold by the underwriters to the public will initially be offered at the public offering price set forth on the cover of this prospectus. Any shares sold by the</w:t>
      </w:r>
    </w:p>
    <w:p>
      <w:pPr>
        <w:spacing w:after="0" w:line="3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underwriters to securities dealers may be sold at a discount from the public offering price not to exceed $ per share of Class A common stock. If all the shares of Class A common stock are not sold at the initial offering price, the underwriters may change the offering price and the other selling terms.</w:t>
      </w:r>
    </w:p>
    <w:p>
      <w:pPr>
        <w:spacing w:after="0" w:line="110"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5,250,000 additional shares at the public offering price less the underwriting discounts and commissions. To the extent the option is exercised, each underwriter must purchase a number of additional shares of Class A common stock approximately proportionate to that underwriter’s initial purchase commitment. Any shares issued or sold under the option will be issued and sold on the same terms and conditions as the other shares that are the subject of this offering.</w:t>
      </w:r>
    </w:p>
    <w:p>
      <w:pPr>
        <w:spacing w:after="0" w:line="118"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We, our officers, directors and certain holders of our securities have agreed that, subject to specified limited exceptions, until 90 days after the date of this prospectus, we and they will not, without the prior written consent of the representatives, dispose of or hedge any shares or any securities convertible into or exchangeable for shares of our common stock. The representatives, in their sole discretion, may release any of the securities subject to these lock-up standoff agreements at any time without notice.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Class A common stock is listed on the Nasdaq Global Select Market under the symbol “CLOV.”</w:t>
      </w:r>
    </w:p>
    <w:p>
      <w:pPr>
        <w:spacing w:after="0" w:line="162" w:lineRule="exact"/>
        <w:rPr>
          <w:sz w:val="20"/>
          <w:szCs w:val="20"/>
          <w:color w:val="auto"/>
        </w:rPr>
      </w:pPr>
    </w:p>
    <w:p>
      <w:pPr>
        <w:ind w:right="380" w:firstLine="297"/>
        <w:spacing w:after="0" w:line="290" w:lineRule="auto"/>
        <w:rPr>
          <w:sz w:val="20"/>
          <w:szCs w:val="20"/>
          <w:color w:val="auto"/>
        </w:rPr>
      </w:pPr>
      <w:r>
        <w:rPr>
          <w:rFonts w:ascii="Arial" w:cs="Arial" w:eastAsia="Arial" w:hAnsi="Arial"/>
          <w:sz w:val="16"/>
          <w:szCs w:val="16"/>
          <w:color w:val="auto"/>
        </w:rPr>
        <w:t>The following table shows the underwriting discounts and commissions that we will pay to the underwriters in connection with this offering. These amounts are shown assuming both no exercise and full exercise of the underwriters’ option to purchase additional shares.</w:t>
      </w:r>
    </w:p>
    <w:p>
      <w:pPr>
        <w:spacing w:after="0" w:line="129" w:lineRule="exact"/>
        <w:rPr>
          <w:sz w:val="20"/>
          <w:szCs w:val="20"/>
          <w:color w:val="auto"/>
        </w:rPr>
      </w:pPr>
    </w:p>
    <w:p>
      <w:pPr>
        <w:jc w:val="center"/>
        <w:ind w:left="5020"/>
        <w:spacing w:after="0"/>
        <w:rPr>
          <w:sz w:val="20"/>
          <w:szCs w:val="20"/>
          <w:color w:val="auto"/>
        </w:rPr>
      </w:pPr>
      <w:r>
        <w:rPr>
          <w:rFonts w:ascii="Arial" w:cs="Arial" w:eastAsia="Arial" w:hAnsi="Arial"/>
          <w:sz w:val="13"/>
          <w:szCs w:val="13"/>
          <w:b w:val="1"/>
          <w:bCs w:val="1"/>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19685</wp:posOffset>
            </wp:positionV>
            <wp:extent cx="17348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34820" cy="762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8460" w:val="left"/>
        </w:tabs>
        <w:rPr>
          <w:sz w:val="20"/>
          <w:szCs w:val="20"/>
          <w:color w:val="auto"/>
        </w:rPr>
      </w:pPr>
      <w:r>
        <w:rPr>
          <w:rFonts w:ascii="Arial" w:cs="Arial" w:eastAsia="Arial" w:hAnsi="Arial"/>
          <w:sz w:val="13"/>
          <w:szCs w:val="13"/>
          <w:b w:val="1"/>
          <w:bCs w:val="1"/>
          <w:color w:val="auto"/>
        </w:rPr>
        <w:t>No Exercise</w:t>
      </w:r>
      <w:r>
        <w:rPr>
          <w:sz w:val="20"/>
          <w:szCs w:val="20"/>
          <w:color w:val="auto"/>
        </w:rPr>
        <w:tab/>
      </w:r>
      <w:r>
        <w:rPr>
          <w:rFonts w:ascii="Arial" w:cs="Arial" w:eastAsia="Arial" w:hAnsi="Arial"/>
          <w:sz w:val="11"/>
          <w:szCs w:val="11"/>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036945" cy="2590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6945" cy="259080"/>
                    </a:xfrm>
                    <a:prstGeom prst="rect">
                      <a:avLst/>
                    </a:prstGeom>
                    <a:noFill/>
                  </pic:spPr>
                </pic:pic>
              </a:graphicData>
            </a:graphic>
          </wp:anchor>
        </w:drawing>
      </w:r>
    </w:p>
    <w:p>
      <w:pPr>
        <w:spacing w:after="0" w:line="36" w:lineRule="exact"/>
        <w:rPr>
          <w:sz w:val="20"/>
          <w:szCs w:val="20"/>
          <w:color w:val="auto"/>
        </w:rPr>
      </w:pPr>
    </w:p>
    <w:p>
      <w:pPr>
        <w:ind w:left="6800"/>
        <w:spacing w:after="0"/>
        <w:tabs>
          <w:tab w:leader="none" w:pos="8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 share</w:t>
      </w:r>
    </w:p>
    <w:p>
      <w:pPr>
        <w:spacing w:after="0" w:line="25" w:lineRule="exact"/>
        <w:rPr>
          <w:sz w:val="20"/>
          <w:szCs w:val="20"/>
          <w:color w:val="auto"/>
        </w:rPr>
      </w:pPr>
    </w:p>
    <w:p>
      <w:pPr>
        <w:ind w:left="6800"/>
        <w:spacing w:after="0"/>
        <w:tabs>
          <w:tab w:leader="none" w:pos="8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22" w:lineRule="exact"/>
        <w:rPr>
          <w:sz w:val="20"/>
          <w:szCs w:val="20"/>
          <w:color w:val="auto"/>
        </w:rPr>
      </w:pPr>
    </w:p>
    <w:p>
      <w:pPr>
        <w:ind w:right="460" w:firstLine="297"/>
        <w:spacing w:after="0" w:line="290" w:lineRule="auto"/>
        <w:rPr>
          <w:sz w:val="20"/>
          <w:szCs w:val="20"/>
          <w:color w:val="auto"/>
        </w:rPr>
      </w:pPr>
      <w:r>
        <w:rPr>
          <w:rFonts w:ascii="Arial" w:cs="Arial" w:eastAsia="Arial" w:hAnsi="Arial"/>
          <w:sz w:val="16"/>
          <w:szCs w:val="16"/>
          <w:color w:val="auto"/>
        </w:rPr>
        <w:t>We estimate that our total expenses of this offering will be approximately $1.4 million. We have agreed to reimburse the underwriters for certain legal fees and expenses, including expenses related to the clearing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offering with the Financial Industry Regulatory Authority, Inc. (FINRA), in an amount not to exceed $30,000 in the aggregate.</w:t>
      </w:r>
    </w:p>
    <w:p>
      <w:pPr>
        <w:spacing w:after="0" w:line="162" w:lineRule="exact"/>
        <w:rPr>
          <w:sz w:val="20"/>
          <w:szCs w:val="20"/>
          <w:color w:val="auto"/>
        </w:rPr>
      </w:pPr>
    </w:p>
    <w:p>
      <w:pPr>
        <w:ind w:right="220" w:firstLine="297"/>
        <w:spacing w:after="0" w:line="325" w:lineRule="auto"/>
        <w:rPr>
          <w:sz w:val="20"/>
          <w:szCs w:val="20"/>
          <w:color w:val="auto"/>
        </w:rPr>
      </w:pPr>
      <w:r>
        <w:rPr>
          <w:rFonts w:ascii="Arial" w:cs="Arial" w:eastAsia="Arial" w:hAnsi="Arial"/>
          <w:sz w:val="15"/>
          <w:szCs w:val="15"/>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77" w:lineRule="exact"/>
        <w:rPr>
          <w:sz w:val="20"/>
          <w:szCs w:val="20"/>
          <w:color w:val="auto"/>
        </w:rPr>
      </w:pPr>
    </w:p>
    <w:p>
      <w:pPr>
        <w:ind w:left="580" w:hanging="284"/>
        <w:spacing w:after="0"/>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“Covered” short sales are sales of shares in an amount up to the number of shares represented by the underwriters’ option to purchase additional shares.</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“Naked” short sales are sales of shares in an amount in excess of the number of shares represented by the underwriters’ option to purchase additional shares.</w:t>
      </w:r>
    </w:p>
    <w:p>
      <w:pPr>
        <w:spacing w:after="0" w:line="173" w:lineRule="exact"/>
        <w:rPr>
          <w:rFonts w:ascii="Arial" w:cs="Arial" w:eastAsia="Arial" w:hAnsi="Arial"/>
          <w:sz w:val="15"/>
          <w:szCs w:val="15"/>
          <w:color w:val="auto"/>
        </w:rPr>
      </w:pPr>
    </w:p>
    <w:p>
      <w:pPr>
        <w:ind w:left="600" w:right="380" w:hanging="304"/>
        <w:spacing w:after="0" w:line="290" w:lineRule="auto"/>
        <w:tabs>
          <w:tab w:leader="none" w:pos="596"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Covering transactions involve purchases of shares either pursuant to the underwriters’ option to purchase additional shares or in the open market in order to cover short positions.</w:t>
      </w:r>
    </w:p>
    <w:p>
      <w:pPr>
        <w:spacing w:after="0" w:line="99" w:lineRule="exact"/>
        <w:rPr>
          <w:rFonts w:ascii="Arial" w:cs="Arial" w:eastAsia="Arial" w:hAnsi="Arial"/>
          <w:sz w:val="16"/>
          <w:szCs w:val="16"/>
          <w:color w:val="auto"/>
        </w:rPr>
      </w:pPr>
    </w:p>
    <w:p>
      <w:pPr>
        <w:jc w:val="both"/>
        <w:ind w:left="600" w:right="20" w:hanging="304"/>
        <w:spacing w:after="0" w:line="274" w:lineRule="auto"/>
        <w:tabs>
          <w:tab w:leader="none" w:pos="59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11" w:lineRule="exact"/>
        <w:rPr>
          <w:rFonts w:ascii="Arial" w:cs="Arial" w:eastAsia="Arial" w:hAnsi="Arial"/>
          <w:sz w:val="16"/>
          <w:szCs w:val="16"/>
          <w:color w:val="auto"/>
        </w:rPr>
      </w:pPr>
    </w:p>
    <w:p>
      <w:pPr>
        <w:ind w:left="600" w:hanging="304"/>
        <w:spacing w:after="0" w:line="300" w:lineRule="auto"/>
        <w:tabs>
          <w:tab w:leader="none" w:pos="596" w:val="left"/>
        </w:tabs>
        <w:numPr>
          <w:ilvl w:val="0"/>
          <w:numId w:val="89"/>
        </w:numPr>
        <w:rPr>
          <w:rFonts w:ascii="Arial" w:cs="Arial" w:eastAsia="Arial" w:hAnsi="Arial"/>
          <w:sz w:val="15"/>
          <w:szCs w:val="15"/>
          <w:color w:val="auto"/>
        </w:rPr>
      </w:pPr>
      <w:r>
        <w:rPr>
          <w:rFonts w:ascii="Arial" w:cs="Arial" w:eastAsia="Arial" w:hAnsi="Arial"/>
          <w:sz w:val="15"/>
          <w:szCs w:val="15"/>
          <w:color w:val="auto"/>
        </w:rPr>
        <w:t>To close a covered short position, the underwriters must purchase shares in the open market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94" w:lineRule="exact"/>
        <w:rPr>
          <w:rFonts w:ascii="Arial" w:cs="Arial" w:eastAsia="Arial" w:hAnsi="Arial"/>
          <w:sz w:val="15"/>
          <w:szCs w:val="15"/>
          <w:color w:val="auto"/>
        </w:rPr>
      </w:pPr>
    </w:p>
    <w:p>
      <w:pPr>
        <w:ind w:left="580" w:hanging="284"/>
        <w:spacing w:after="0"/>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Stabilizing transactions involve bids to purchase shares so long as the stabilizing bids do not exceed a specified maximum.</w:t>
      </w:r>
    </w:p>
    <w:p>
      <w:pPr>
        <w:spacing w:after="0" w:line="162" w:lineRule="exact"/>
        <w:rPr>
          <w:sz w:val="20"/>
          <w:szCs w:val="20"/>
          <w:color w:val="auto"/>
        </w:rPr>
      </w:pPr>
    </w:p>
    <w:p>
      <w:pPr>
        <w:ind w:right="180" w:firstLine="297"/>
        <w:spacing w:after="0" w:line="26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Relationships</w:t>
      </w:r>
    </w:p>
    <w:p>
      <w:pPr>
        <w:spacing w:after="0" w:line="166" w:lineRule="exact"/>
        <w:rPr>
          <w:sz w:val="20"/>
          <w:szCs w:val="20"/>
          <w:color w:val="auto"/>
        </w:rPr>
      </w:pPr>
    </w:p>
    <w:p>
      <w:pPr>
        <w:ind w:right="80" w:firstLine="297"/>
        <w:spacing w:after="0" w:line="280" w:lineRule="auto"/>
        <w:rPr>
          <w:sz w:val="20"/>
          <w:szCs w:val="20"/>
          <w:color w:val="auto"/>
        </w:rPr>
      </w:pPr>
      <w:r>
        <w:rPr>
          <w:rFonts w:ascii="Arial" w:cs="Arial" w:eastAsia="Arial" w:hAnsi="Arial"/>
          <w:sz w:val="15"/>
          <w:szCs w:val="15"/>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instruments. For example, an affiliate of one of the underwriters also served as an advisor in connection with the Business Combination.</w:t>
      </w:r>
    </w:p>
    <w:p>
      <w:pPr>
        <w:spacing w:after="0" w:line="162" w:lineRule="exact"/>
        <w:rPr>
          <w:sz w:val="20"/>
          <w:szCs w:val="20"/>
          <w:color w:val="auto"/>
        </w:rPr>
      </w:pPr>
    </w:p>
    <w:p>
      <w:pPr>
        <w:ind w:right="100" w:firstLine="297"/>
        <w:spacing w:after="0" w:line="290"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the European Economic Area</w:t>
      </w:r>
    </w:p>
    <w:p>
      <w:pPr>
        <w:spacing w:after="0" w:line="166" w:lineRule="exact"/>
        <w:rPr>
          <w:sz w:val="20"/>
          <w:szCs w:val="20"/>
          <w:color w:val="auto"/>
        </w:rPr>
      </w:pPr>
    </w:p>
    <w:p>
      <w:pPr>
        <w:ind w:right="80" w:firstLine="297"/>
        <w:spacing w:after="0" w:line="268"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18" w:lineRule="exact"/>
        <w:rPr>
          <w:sz w:val="20"/>
          <w:szCs w:val="20"/>
          <w:color w:val="auto"/>
        </w:rPr>
      </w:pPr>
    </w:p>
    <w:p>
      <w:pPr>
        <w:ind w:left="580" w:hanging="284"/>
        <w:spacing w:after="0"/>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162" w:lineRule="exact"/>
        <w:rPr>
          <w:rFonts w:ascii="Arial" w:cs="Arial" w:eastAsia="Arial" w:hAnsi="Arial"/>
          <w:sz w:val="16"/>
          <w:szCs w:val="16"/>
          <w:color w:val="auto"/>
        </w:rPr>
      </w:pPr>
    </w:p>
    <w:p>
      <w:pPr>
        <w:ind w:left="600" w:right="60" w:hanging="304"/>
        <w:spacing w:after="0" w:line="290" w:lineRule="auto"/>
        <w:tabs>
          <w:tab w:leader="none" w:pos="591"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representatives for any such offer; or</w:t>
      </w:r>
    </w:p>
    <w:p>
      <w:pPr>
        <w:spacing w:after="0" w:line="99" w:lineRule="exact"/>
        <w:rPr>
          <w:rFonts w:ascii="Arial" w:cs="Arial" w:eastAsia="Arial" w:hAnsi="Arial"/>
          <w:sz w:val="16"/>
          <w:szCs w:val="16"/>
          <w:color w:val="auto"/>
        </w:rPr>
      </w:pPr>
    </w:p>
    <w:p>
      <w:pPr>
        <w:ind w:left="600" w:hanging="304"/>
        <w:spacing w:after="0"/>
        <w:tabs>
          <w:tab w:leader="none" w:pos="6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62" w:lineRule="exact"/>
        <w:rPr>
          <w:sz w:val="20"/>
          <w:szCs w:val="20"/>
          <w:color w:val="auto"/>
        </w:rPr>
      </w:pPr>
    </w:p>
    <w:p>
      <w:pPr>
        <w:ind w:left="300" w:right="1100"/>
        <w:spacing w:after="0" w:line="451" w:lineRule="auto"/>
        <w:rPr>
          <w:sz w:val="20"/>
          <w:szCs w:val="20"/>
          <w:color w:val="auto"/>
        </w:rPr>
      </w:pPr>
      <w:r>
        <w:rPr>
          <w:rFonts w:ascii="Arial" w:cs="Arial" w:eastAsia="Arial" w:hAnsi="Arial"/>
          <w:sz w:val="16"/>
          <w:szCs w:val="16"/>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the United Kingdom</w:t>
      </w:r>
    </w:p>
    <w:p>
      <w:pPr>
        <w:spacing w:after="0" w:line="166" w:lineRule="exact"/>
        <w:rPr>
          <w:sz w:val="20"/>
          <w:szCs w:val="20"/>
          <w:color w:val="auto"/>
        </w:rPr>
      </w:pPr>
    </w:p>
    <w:p>
      <w:pPr>
        <w:ind w:right="280" w:firstLine="297"/>
        <w:spacing w:after="0" w:line="325"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77" w:lineRule="exact"/>
        <w:rPr>
          <w:sz w:val="20"/>
          <w:szCs w:val="20"/>
          <w:color w:val="auto"/>
        </w:rPr>
      </w:pPr>
    </w:p>
    <w:p>
      <w:pPr>
        <w:ind w:left="580" w:hanging="284"/>
        <w:spacing w:after="0"/>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62" w:lineRule="exact"/>
        <w:rPr>
          <w:rFonts w:ascii="Arial" w:cs="Arial" w:eastAsia="Arial" w:hAnsi="Arial"/>
          <w:sz w:val="16"/>
          <w:szCs w:val="16"/>
          <w:color w:val="auto"/>
        </w:rPr>
      </w:pPr>
    </w:p>
    <w:p>
      <w:pPr>
        <w:ind w:left="600" w:right="140" w:hanging="304"/>
        <w:spacing w:after="0" w:line="290" w:lineRule="auto"/>
        <w:tabs>
          <w:tab w:leader="none" w:pos="59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representatives for any such offer; or</w:t>
      </w:r>
    </w:p>
    <w:p>
      <w:pPr>
        <w:spacing w:after="0" w:line="99" w:lineRule="exact"/>
        <w:rPr>
          <w:rFonts w:ascii="Arial" w:cs="Arial" w:eastAsia="Arial" w:hAnsi="Arial"/>
          <w:sz w:val="16"/>
          <w:szCs w:val="16"/>
          <w:color w:val="auto"/>
        </w:rPr>
      </w:pPr>
    </w:p>
    <w:p>
      <w:pPr>
        <w:ind w:left="600" w:hanging="304"/>
        <w:spacing w:after="0"/>
        <w:tabs>
          <w:tab w:leader="none" w:pos="6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w:t>
      </w:r>
    </w:p>
    <w:p>
      <w:pPr>
        <w:spacing w:after="0" w:line="162"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74" w:name="page175"/>
    <w:bookmarkEnd w:id="174"/>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Canada</w:t>
      </w:r>
    </w:p>
    <w:p>
      <w:pPr>
        <w:spacing w:after="0" w:line="166" w:lineRule="exact"/>
        <w:rPr>
          <w:sz w:val="20"/>
          <w:szCs w:val="20"/>
          <w:color w:val="auto"/>
        </w:rPr>
      </w:pPr>
    </w:p>
    <w:p>
      <w:pPr>
        <w:ind w:right="240" w:firstLine="297"/>
        <w:spacing w:after="0" w:line="26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8" w:lineRule="exact"/>
        <w:rPr>
          <w:sz w:val="20"/>
          <w:szCs w:val="20"/>
          <w:color w:val="auto"/>
        </w:rPr>
      </w:pPr>
    </w:p>
    <w:p>
      <w:pPr>
        <w:ind w:right="280" w:firstLine="297"/>
        <w:spacing w:after="0" w:line="26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8" w:lineRule="exact"/>
        <w:rPr>
          <w:sz w:val="20"/>
          <w:szCs w:val="20"/>
          <w:color w:val="auto"/>
        </w:rPr>
      </w:pPr>
    </w:p>
    <w:p>
      <w:pPr>
        <w:ind w:right="520" w:firstLine="297"/>
        <w:spacing w:after="0" w:line="290"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France</w:t>
      </w:r>
    </w:p>
    <w:p>
      <w:pPr>
        <w:spacing w:after="0" w:line="166"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18" w:lineRule="exact"/>
        <w:rPr>
          <w:sz w:val="20"/>
          <w:szCs w:val="20"/>
          <w:color w:val="auto"/>
        </w:rPr>
      </w:pPr>
    </w:p>
    <w:p>
      <w:pPr>
        <w:ind w:left="580" w:hanging="284"/>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used in connection with any offer for subscription or sale of the shares to the public in France.</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Such offers, sales and distributions will be made in France only:</w:t>
      </w:r>
    </w:p>
    <w:p>
      <w:pPr>
        <w:spacing w:after="0" w:line="162" w:lineRule="exact"/>
        <w:rPr>
          <w:rFonts w:ascii="Arial" w:cs="Arial" w:eastAsia="Arial" w:hAnsi="Arial"/>
          <w:sz w:val="16"/>
          <w:szCs w:val="16"/>
          <w:color w:val="auto"/>
        </w:rPr>
      </w:pPr>
    </w:p>
    <w:p>
      <w:pPr>
        <w:ind w:left="600" w:right="40" w:hanging="304"/>
        <w:spacing w:after="0" w:line="274" w:lineRule="auto"/>
        <w:tabs>
          <w:tab w:leader="none" w:pos="5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1" w:lineRule="exact"/>
        <w:rPr>
          <w:rFonts w:ascii="Arial" w:cs="Arial" w:eastAsia="Arial" w:hAnsi="Arial"/>
          <w:sz w:val="16"/>
          <w:szCs w:val="16"/>
          <w:color w:val="auto"/>
        </w:rPr>
      </w:pPr>
    </w:p>
    <w:p>
      <w:pPr>
        <w:ind w:left="580" w:hanging="284"/>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w:t>
      </w:r>
    </w:p>
    <w:p>
      <w:pPr>
        <w:spacing w:after="0" w:line="162" w:lineRule="exact"/>
        <w:rPr>
          <w:rFonts w:ascii="Arial" w:cs="Arial" w:eastAsia="Arial" w:hAnsi="Arial"/>
          <w:sz w:val="16"/>
          <w:szCs w:val="16"/>
          <w:color w:val="auto"/>
        </w:rPr>
      </w:pPr>
    </w:p>
    <w:p>
      <w:pPr>
        <w:ind w:left="600" w:hanging="304"/>
        <w:spacing w:after="0" w:line="290" w:lineRule="auto"/>
        <w:tabs>
          <w:tab w:leader="none" w:pos="5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shares may be resold directly or indirectly, only in compliance with articles L.411-1, L.411-2, L.412-1 and L.621-8 through L.621-8-3 of the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French Code monétaire et financier.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Hong Kong</w:t>
      </w:r>
    </w:p>
    <w:p>
      <w:pPr>
        <w:spacing w:after="0" w:line="166"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75" w:name="page176"/>
    <w:bookmarkEnd w:id="175"/>
    <w:p>
      <w:pPr>
        <w:spacing w:after="0" w:line="23" w:lineRule="exact"/>
        <w:rPr>
          <w:sz w:val="20"/>
          <w:szCs w:val="20"/>
          <w:color w:val="auto"/>
        </w:rPr>
      </w:pPr>
    </w:p>
    <w:p>
      <w:pPr>
        <w:jc w:val="both"/>
        <w:ind w:right="300"/>
        <w:spacing w:after="0" w:line="318" w:lineRule="auto"/>
        <w:rPr>
          <w:sz w:val="20"/>
          <w:szCs w:val="20"/>
          <w:color w:val="auto"/>
        </w:rPr>
      </w:pPr>
      <w:r>
        <w:rPr>
          <w:rFonts w:ascii="Arial" w:cs="Arial" w:eastAsia="Arial" w:hAnsi="Arial"/>
          <w:sz w:val="14"/>
          <w:szCs w:val="14"/>
          <w:color w:val="auto"/>
        </w:rPr>
        <w:t>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Japan</w:t>
      </w:r>
    </w:p>
    <w:p>
      <w:pPr>
        <w:spacing w:after="0" w:line="166" w:lineRule="exact"/>
        <w:rPr>
          <w:sz w:val="20"/>
          <w:szCs w:val="20"/>
          <w:color w:val="auto"/>
        </w:rPr>
      </w:pPr>
    </w:p>
    <w:p>
      <w:pPr>
        <w:ind w:right="240" w:firstLine="297"/>
        <w:spacing w:after="0" w:line="268" w:lineRule="auto"/>
        <w:rPr>
          <w:sz w:val="20"/>
          <w:szCs w:val="20"/>
          <w:color w:val="auto"/>
        </w:rPr>
      </w:pPr>
      <w:r>
        <w:rPr>
          <w:rFonts w:ascii="Arial" w:cs="Arial" w:eastAsia="Arial" w:hAnsi="Arial"/>
          <w:sz w:val="16"/>
          <w:szCs w:val="16"/>
          <w:color w:val="auto"/>
        </w:rPr>
        <w:t>The shares offered in this prospectus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Prospective Investors in Singapore</w:t>
      </w:r>
    </w:p>
    <w:p>
      <w:pPr>
        <w:spacing w:after="0" w:line="166" w:lineRule="exact"/>
        <w:rPr>
          <w:sz w:val="20"/>
          <w:szCs w:val="20"/>
          <w:color w:val="auto"/>
        </w:rPr>
      </w:pPr>
    </w:p>
    <w:p>
      <w:pPr>
        <w:ind w:right="180" w:firstLine="297"/>
        <w:spacing w:after="0" w:line="285"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w:t>
      </w:r>
    </w:p>
    <w:p>
      <w:pPr>
        <w:spacing w:after="0" w:line="162" w:lineRule="exact"/>
        <w:rPr>
          <w:sz w:val="20"/>
          <w:szCs w:val="20"/>
          <w:color w:val="auto"/>
        </w:rPr>
      </w:pPr>
    </w:p>
    <w:p>
      <w:pPr>
        <w:ind w:left="600" w:right="180" w:hanging="304"/>
        <w:spacing w:after="0" w:line="290" w:lineRule="auto"/>
        <w:tabs>
          <w:tab w:leader="none" w:pos="59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9" w:lineRule="exact"/>
        <w:rPr>
          <w:rFonts w:ascii="Arial" w:cs="Arial" w:eastAsia="Arial" w:hAnsi="Arial"/>
          <w:sz w:val="16"/>
          <w:szCs w:val="16"/>
          <w:color w:val="auto"/>
        </w:rPr>
      </w:pPr>
    </w:p>
    <w:p>
      <w:pPr>
        <w:ind w:left="600" w:right="320" w:hanging="304"/>
        <w:spacing w:after="0" w:line="290" w:lineRule="auto"/>
        <w:tabs>
          <w:tab w:leader="none" w:pos="59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w:t>
      </w:r>
    </w:p>
    <w:p>
      <w:pPr>
        <w:spacing w:after="0" w:line="99" w:lineRule="exact"/>
        <w:rPr>
          <w:rFonts w:ascii="Arial" w:cs="Arial" w:eastAsia="Arial" w:hAnsi="Arial"/>
          <w:sz w:val="16"/>
          <w:szCs w:val="16"/>
          <w:color w:val="auto"/>
        </w:rPr>
      </w:pPr>
    </w:p>
    <w:p>
      <w:pPr>
        <w:ind w:left="600" w:right="100" w:hanging="304"/>
        <w:spacing w:after="0" w:line="325" w:lineRule="auto"/>
        <w:tabs>
          <w:tab w:leader="none" w:pos="596" w:val="left"/>
        </w:tabs>
        <w:numPr>
          <w:ilvl w:val="0"/>
          <w:numId w:val="93"/>
        </w:numPr>
        <w:rPr>
          <w:rFonts w:ascii="Arial" w:cs="Arial" w:eastAsia="Arial" w:hAnsi="Arial"/>
          <w:sz w:val="15"/>
          <w:szCs w:val="15"/>
          <w:color w:val="auto"/>
        </w:rPr>
      </w:pPr>
      <w:r>
        <w:rPr>
          <w:rFonts w:ascii="Arial" w:cs="Arial" w:eastAsia="Arial" w:hAnsi="Arial"/>
          <w:sz w:val="15"/>
          <w:szCs w:val="15"/>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6" w:lineRule="exact"/>
        <w:rPr>
          <w:rFonts w:ascii="Arial" w:cs="Arial" w:eastAsia="Arial" w:hAnsi="Arial"/>
          <w:sz w:val="15"/>
          <w:szCs w:val="15"/>
          <w:color w:val="auto"/>
        </w:rPr>
      </w:pPr>
    </w:p>
    <w:p>
      <w:pPr>
        <w:ind w:left="600" w:hanging="304"/>
        <w:spacing w:after="0" w:line="292" w:lineRule="auto"/>
        <w:tabs>
          <w:tab w:leader="none" w:pos="596" w:val="left"/>
        </w:tabs>
        <w:numPr>
          <w:ilvl w:val="0"/>
          <w:numId w:val="93"/>
        </w:numPr>
        <w:rPr>
          <w:rFonts w:ascii="Arial" w:cs="Arial" w:eastAsia="Arial" w:hAnsi="Arial"/>
          <w:sz w:val="15"/>
          <w:szCs w:val="15"/>
          <w:color w:val="auto"/>
        </w:rPr>
      </w:pPr>
      <w:r>
        <w:rPr>
          <w:rFonts w:ascii="Arial" w:cs="Arial" w:eastAsia="Arial" w:hAnsi="Arial"/>
          <w:sz w:val="15"/>
          <w:szCs w:val="15"/>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0" w:lineRule="exact"/>
        <w:rPr>
          <w:rFonts w:ascii="Arial" w:cs="Arial" w:eastAsia="Arial" w:hAnsi="Arial"/>
          <w:sz w:val="15"/>
          <w:szCs w:val="15"/>
          <w:color w:val="auto"/>
        </w:rPr>
      </w:pPr>
    </w:p>
    <w:p>
      <w:pPr>
        <w:ind w:left="580" w:hanging="284"/>
        <w:spacing w:after="0"/>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 or</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62"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Solely for the purposes of its obligations pursuant to section 309B(1)(a) and 309B(1)(c) of the SFA and the Securities and Futures (Capital Markets Products) Regulations 2018 of Singapore (the “CMP Regulations 2018”), the issuer has determined, and hereby notifies all relevant persons (as defined in Section 309A(1) of the SFA), that the shares are “prescribed capital markets products” (as defined in the CMP Regulations 2018) and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6" w:name="page177"/>
    <w:bookmarkEnd w:id="176"/>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77" w:name="page178"/>
    <w:bookmarkEnd w:id="177"/>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166" w:lineRule="exact"/>
        <w:rPr>
          <w:sz w:val="20"/>
          <w:szCs w:val="20"/>
          <w:color w:val="auto"/>
        </w:rPr>
      </w:pPr>
    </w:p>
    <w:p>
      <w:pPr>
        <w:ind w:right="60" w:firstLine="297"/>
        <w:spacing w:after="0" w:line="325" w:lineRule="auto"/>
        <w:rPr>
          <w:sz w:val="20"/>
          <w:szCs w:val="20"/>
          <w:color w:val="auto"/>
        </w:rPr>
      </w:pPr>
      <w:r>
        <w:rPr>
          <w:rFonts w:ascii="Arial" w:cs="Arial" w:eastAsia="Arial" w:hAnsi="Arial"/>
          <w:sz w:val="15"/>
          <w:szCs w:val="15"/>
          <w:color w:val="auto"/>
        </w:rPr>
        <w:t>Orrick, Herrington &amp; Sutcliffe LLP, San Francisco, California has passed upon the validity of our Class A common stock offered by this prospectus and certain other legal matters related to this prospectus. Certain legal matters in connection with this offering will be passed upon for the underwriters by Latham &amp; Watkins LLP.</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166" w:lineRule="exact"/>
        <w:rPr>
          <w:sz w:val="20"/>
          <w:szCs w:val="20"/>
          <w:color w:val="auto"/>
        </w:rPr>
      </w:pPr>
    </w:p>
    <w:p>
      <w:pPr>
        <w:ind w:right="80" w:firstLine="297"/>
        <w:spacing w:after="0" w:line="330" w:lineRule="auto"/>
        <w:rPr>
          <w:sz w:val="20"/>
          <w:szCs w:val="20"/>
          <w:color w:val="auto"/>
        </w:rPr>
      </w:pPr>
      <w:r>
        <w:rPr>
          <w:rFonts w:ascii="Arial" w:cs="Arial" w:eastAsia="Arial" w:hAnsi="Arial"/>
          <w:sz w:val="14"/>
          <w:szCs w:val="14"/>
          <w:color w:val="auto"/>
        </w:rPr>
        <w:t>The consolidated financial statements of Clover Health Investments, Corp. and subsidiaries as of December 31, 2020 and 2019 and for each of the two years in the period ended December 31, 2020 appearing in this prospectus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MORE INFORMATION</w:t>
      </w:r>
    </w:p>
    <w:p>
      <w:pPr>
        <w:spacing w:after="0" w:line="166"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Class A common stock offered hereby. This prospectus, which constitutes part of the registration statement, does not contain all of the information set forth in the registration statement and the exhibits and schedules thereto. For further information with respect to the Company and its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You can read our SEC filings, including the registration statement, over the internet at the SEC’s website at www.sec.gov.</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www.cloverhealth.com,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jc w:val="center"/>
        <w:ind w:right="20"/>
        <w:spacing w:after="0"/>
        <w:rPr>
          <w:sz w:val="20"/>
          <w:szCs w:val="20"/>
          <w:color w:val="auto"/>
        </w:rPr>
      </w:pPr>
      <w:r>
        <w:rPr>
          <w:rFonts w:ascii="Arial" w:cs="Arial" w:eastAsia="Arial" w:hAnsi="Arial"/>
          <w:sz w:val="16"/>
          <w:szCs w:val="16"/>
          <w:b w:val="1"/>
          <w:bCs w:val="1"/>
          <w:color w:val="auto"/>
        </w:rPr>
        <w:t>Clover Health Investments, Corp. Index to</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580" w:type="dxa"/>
            <w:vAlign w:val="bottom"/>
            <w:gridSpan w:val="15"/>
          </w:tcPr>
          <w:p>
            <w:pPr>
              <w:spacing w:after="0"/>
              <w:rPr>
                <w:sz w:val="20"/>
                <w:szCs w:val="20"/>
                <w:color w:val="auto"/>
              </w:rPr>
            </w:pPr>
            <w:r>
              <w:rPr>
                <w:rFonts w:ascii="Arial" w:cs="Arial" w:eastAsia="Arial" w:hAnsi="Arial"/>
                <w:sz w:val="16"/>
                <w:szCs w:val="16"/>
                <w:color w:val="auto"/>
              </w:rPr>
              <w:t>Consolidated Financial Statements (Audited)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10580" w:type="dxa"/>
            <w:vAlign w:val="bottom"/>
            <w:gridSpan w:val="15"/>
          </w:tcPr>
          <w:p>
            <w:pPr>
              <w:spacing w:after="0"/>
              <w:rPr>
                <w:sz w:val="20"/>
                <w:szCs w:val="20"/>
                <w:color w:val="auto"/>
              </w:rPr>
            </w:pPr>
            <w:r>
              <w:rPr>
                <w:rFonts w:ascii="Arial" w:cs="Arial" w:eastAsia="Arial" w:hAnsi="Arial"/>
                <w:sz w:val="16"/>
                <w:szCs w:val="16"/>
                <w:color w:val="auto"/>
              </w:rPr>
              <w:t>Years ended December 31, 2020 and December 31, 2019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75"/>
        </w:trPr>
        <w:tc>
          <w:tcPr>
            <w:tcW w:w="140" w:type="dxa"/>
            <w:vAlign w:val="bottom"/>
          </w:tcPr>
          <w:p>
            <w:pPr>
              <w:spacing w:after="0"/>
              <w:rPr>
                <w:sz w:val="15"/>
                <w:szCs w:val="15"/>
                <w:color w:val="auto"/>
              </w:rPr>
            </w:pPr>
          </w:p>
        </w:tc>
        <w:tc>
          <w:tcPr>
            <w:tcW w:w="10440" w:type="dxa"/>
            <w:vAlign w:val="bottom"/>
            <w:gridSpan w:val="14"/>
          </w:tcPr>
          <w:p>
            <w:pPr>
              <w:spacing w:after="0" w:line="175" w:lineRule="exact"/>
              <w:rPr>
                <w:rFonts w:ascii="Arial" w:cs="Arial" w:eastAsia="Arial" w:hAnsi="Arial"/>
                <w:sz w:val="16"/>
                <w:szCs w:val="16"/>
                <w:color w:val="0000FF"/>
              </w:rPr>
            </w:pPr>
            <w:hyperlink w:anchor="page179">
              <w:r>
                <w:rPr>
                  <w:rFonts w:ascii="Arial" w:cs="Arial" w:eastAsia="Arial" w:hAnsi="Arial"/>
                  <w:sz w:val="16"/>
                  <w:szCs w:val="16"/>
                  <w:color w:val="0000FF"/>
                </w:rPr>
                <w:t>Report of Independent Registered Public Accounting Firm</w:t>
              </w:r>
            </w:hyperlink>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spacing w:after="0" w:line="175" w:lineRule="exact"/>
              <w:rPr>
                <w:rFonts w:ascii="Arial" w:cs="Arial" w:eastAsia="Arial" w:hAnsi="Arial"/>
                <w:sz w:val="16"/>
                <w:szCs w:val="16"/>
                <w:color w:val="0000FF"/>
                <w:w w:val="91"/>
              </w:rPr>
            </w:pPr>
            <w:hyperlink w:anchor="page179">
              <w:r>
                <w:rPr>
                  <w:rFonts w:ascii="Arial" w:cs="Arial" w:eastAsia="Arial" w:hAnsi="Arial"/>
                  <w:sz w:val="16"/>
                  <w:szCs w:val="16"/>
                  <w:color w:val="0000FF"/>
                  <w:w w:val="91"/>
                </w:rPr>
                <w:t>F-2</w:t>
              </w:r>
            </w:hyperlink>
          </w:p>
        </w:tc>
      </w:tr>
      <w:tr>
        <w:trPr>
          <w:trHeight w:val="190"/>
        </w:trPr>
        <w:tc>
          <w:tcPr>
            <w:tcW w:w="140" w:type="dxa"/>
            <w:vAlign w:val="bottom"/>
          </w:tcPr>
          <w:p>
            <w:pPr>
              <w:spacing w:after="0"/>
              <w:rPr>
                <w:sz w:val="16"/>
                <w:szCs w:val="16"/>
                <w:color w:val="auto"/>
              </w:rPr>
            </w:pPr>
          </w:p>
        </w:tc>
        <w:tc>
          <w:tcPr>
            <w:tcW w:w="1920" w:type="dxa"/>
            <w:vAlign w:val="bottom"/>
            <w:tcBorders>
              <w:top w:val="single" w:sz="8" w:color="0000FF"/>
              <w:bottom w:val="single" w:sz="8" w:color="0000FF"/>
            </w:tcBorders>
          </w:tcPr>
          <w:p>
            <w:pPr>
              <w:spacing w:after="0"/>
              <w:rPr>
                <w:rFonts w:ascii="Arial" w:cs="Arial" w:eastAsia="Arial" w:hAnsi="Arial"/>
                <w:sz w:val="16"/>
                <w:szCs w:val="16"/>
                <w:color w:val="0000FF"/>
                <w:w w:val="90"/>
              </w:rPr>
            </w:pPr>
            <w:hyperlink w:anchor="page180">
              <w:r>
                <w:rPr>
                  <w:rFonts w:ascii="Arial" w:cs="Arial" w:eastAsia="Arial" w:hAnsi="Arial"/>
                  <w:sz w:val="16"/>
                  <w:szCs w:val="16"/>
                  <w:color w:val="0000FF"/>
                  <w:w w:val="90"/>
                </w:rPr>
                <w:t>Consolidated Balance Sheets</w:t>
              </w:r>
            </w:hyperlink>
          </w:p>
        </w:tc>
        <w:tc>
          <w:tcPr>
            <w:tcW w:w="1940" w:type="dxa"/>
            <w:vAlign w:val="bottom"/>
            <w:tcBorders>
              <w:top w:val="single" w:sz="8" w:color="0000FF"/>
            </w:tcBorders>
            <w:gridSpan w:val="6"/>
          </w:tcPr>
          <w:p>
            <w:pPr>
              <w:spacing w:after="0"/>
              <w:rPr>
                <w:sz w:val="16"/>
                <w:szCs w:val="16"/>
                <w:color w:val="auto"/>
              </w:rPr>
            </w:pPr>
          </w:p>
        </w:tc>
        <w:tc>
          <w:tcPr>
            <w:tcW w:w="6580" w:type="dxa"/>
            <w:vAlign w:val="bottom"/>
            <w:gridSpan w:val="7"/>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6"/>
                <w:szCs w:val="16"/>
                <w:color w:val="0000FF"/>
                <w:w w:val="91"/>
              </w:rPr>
            </w:pPr>
            <w:hyperlink w:anchor="page180">
              <w:r>
                <w:rPr>
                  <w:rFonts w:ascii="Arial" w:cs="Arial" w:eastAsia="Arial" w:hAnsi="Arial"/>
                  <w:sz w:val="16"/>
                  <w:szCs w:val="16"/>
                  <w:color w:val="0000FF"/>
                  <w:w w:val="91"/>
                </w:rPr>
                <w:t>F-3</w:t>
              </w:r>
            </w:hyperlink>
          </w:p>
        </w:tc>
      </w:tr>
      <w:tr>
        <w:trPr>
          <w:trHeight w:val="190"/>
        </w:trPr>
        <w:tc>
          <w:tcPr>
            <w:tcW w:w="140" w:type="dxa"/>
            <w:vAlign w:val="bottom"/>
          </w:tcPr>
          <w:p>
            <w:pPr>
              <w:spacing w:after="0"/>
              <w:rPr>
                <w:sz w:val="16"/>
                <w:szCs w:val="16"/>
                <w:color w:val="auto"/>
              </w:rPr>
            </w:pPr>
          </w:p>
        </w:tc>
        <w:tc>
          <w:tcPr>
            <w:tcW w:w="10440" w:type="dxa"/>
            <w:vAlign w:val="bottom"/>
            <w:gridSpan w:val="14"/>
          </w:tcPr>
          <w:p>
            <w:pPr>
              <w:spacing w:after="0"/>
              <w:rPr>
                <w:rFonts w:ascii="Arial" w:cs="Arial" w:eastAsia="Arial" w:hAnsi="Arial"/>
                <w:sz w:val="16"/>
                <w:szCs w:val="16"/>
                <w:color w:val="0000FF"/>
              </w:rPr>
            </w:pPr>
            <w:hyperlink w:anchor="page182">
              <w:r>
                <w:rPr>
                  <w:rFonts w:ascii="Arial" w:cs="Arial" w:eastAsia="Arial" w:hAnsi="Arial"/>
                  <w:sz w:val="16"/>
                  <w:szCs w:val="16"/>
                  <w:color w:val="0000FF"/>
                </w:rPr>
                <w:t>Consolidated Statements of Operations and Comprehensive Loss</w:t>
              </w:r>
            </w:hyperlink>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spacing w:after="0"/>
              <w:rPr>
                <w:rFonts w:ascii="Arial" w:cs="Arial" w:eastAsia="Arial" w:hAnsi="Arial"/>
                <w:sz w:val="16"/>
                <w:szCs w:val="16"/>
                <w:color w:val="0000FF"/>
                <w:w w:val="91"/>
              </w:rPr>
            </w:pPr>
            <w:hyperlink w:anchor="page182">
              <w:r>
                <w:rPr>
                  <w:rFonts w:ascii="Arial" w:cs="Arial" w:eastAsia="Arial" w:hAnsi="Arial"/>
                  <w:sz w:val="16"/>
                  <w:szCs w:val="16"/>
                  <w:color w:val="0000FF"/>
                  <w:w w:val="91"/>
                </w:rPr>
                <w:t>F-5</w:t>
              </w:r>
            </w:hyperlink>
          </w:p>
        </w:tc>
      </w:tr>
      <w:tr>
        <w:trPr>
          <w:trHeight w:val="20"/>
        </w:trPr>
        <w:tc>
          <w:tcPr>
            <w:tcW w:w="14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6220" w:type="dxa"/>
            <w:vAlign w:val="bottom"/>
            <w:tcBorders>
              <w:bottom w:val="single" w:sz="8" w:color="0000FF"/>
            </w:tcBorders>
            <w:gridSpan w:val="12"/>
          </w:tcPr>
          <w:p>
            <w:pPr>
              <w:spacing w:after="0"/>
              <w:rPr>
                <w:rFonts w:ascii="Arial" w:cs="Arial" w:eastAsia="Arial" w:hAnsi="Arial"/>
                <w:sz w:val="16"/>
                <w:szCs w:val="16"/>
                <w:color w:val="0000FF"/>
                <w:w w:val="93"/>
              </w:rPr>
            </w:pPr>
            <w:hyperlink w:anchor="page183">
              <w:r>
                <w:rPr>
                  <w:rFonts w:ascii="Arial" w:cs="Arial" w:eastAsia="Arial" w:hAnsi="Arial"/>
                  <w:sz w:val="16"/>
                  <w:szCs w:val="16"/>
                  <w:color w:val="0000FF"/>
                  <w:w w:val="93"/>
                </w:rPr>
                <w:t>Consolidated Statements of Changes in Convertible Preferred Stock and Stockholders’ Deficit</w:t>
              </w:r>
            </w:hyperlink>
          </w:p>
        </w:tc>
        <w:tc>
          <w:tcPr>
            <w:tcW w:w="42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91"/>
              </w:rPr>
            </w:pPr>
            <w:hyperlink w:anchor="page183">
              <w:r>
                <w:rPr>
                  <w:rFonts w:ascii="Arial" w:cs="Arial" w:eastAsia="Arial" w:hAnsi="Arial"/>
                  <w:sz w:val="16"/>
                  <w:szCs w:val="16"/>
                  <w:color w:val="0000FF"/>
                  <w:w w:val="91"/>
                </w:rPr>
                <w:t>F-6</w:t>
              </w:r>
            </w:hyperlink>
          </w:p>
        </w:tc>
      </w:tr>
      <w:tr>
        <w:trPr>
          <w:trHeight w:val="190"/>
        </w:trPr>
        <w:tc>
          <w:tcPr>
            <w:tcW w:w="140" w:type="dxa"/>
            <w:vAlign w:val="bottom"/>
          </w:tcPr>
          <w:p>
            <w:pPr>
              <w:spacing w:after="0"/>
              <w:rPr>
                <w:sz w:val="16"/>
                <w:szCs w:val="16"/>
                <w:color w:val="auto"/>
              </w:rPr>
            </w:pPr>
          </w:p>
        </w:tc>
        <w:tc>
          <w:tcPr>
            <w:tcW w:w="264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184">
              <w:r>
                <w:rPr>
                  <w:rFonts w:ascii="Arial" w:cs="Arial" w:eastAsia="Arial" w:hAnsi="Arial"/>
                  <w:sz w:val="16"/>
                  <w:szCs w:val="16"/>
                  <w:color w:val="0000FF"/>
                  <w:w w:val="92"/>
                </w:rPr>
                <w:t>Consolidated Statements of Cash Flows</w:t>
              </w:r>
            </w:hyperlink>
          </w:p>
        </w:tc>
        <w:tc>
          <w:tcPr>
            <w:tcW w:w="7800" w:type="dxa"/>
            <w:vAlign w:val="bottom"/>
            <w:gridSpan w:val="12"/>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0000FF"/>
            </w:tcBorders>
          </w:tcPr>
          <w:p>
            <w:pPr>
              <w:jc w:val="right"/>
              <w:spacing w:after="0"/>
              <w:rPr>
                <w:rFonts w:ascii="Arial" w:cs="Arial" w:eastAsia="Arial" w:hAnsi="Arial"/>
                <w:sz w:val="16"/>
                <w:szCs w:val="16"/>
                <w:color w:val="0000FF"/>
                <w:w w:val="91"/>
              </w:rPr>
            </w:pPr>
            <w:hyperlink w:anchor="page184">
              <w:r>
                <w:rPr>
                  <w:rFonts w:ascii="Arial" w:cs="Arial" w:eastAsia="Arial" w:hAnsi="Arial"/>
                  <w:sz w:val="16"/>
                  <w:szCs w:val="16"/>
                  <w:color w:val="0000FF"/>
                  <w:w w:val="91"/>
                </w:rPr>
                <w:t>F-7</w:t>
              </w:r>
            </w:hyperlink>
          </w:p>
        </w:tc>
      </w:tr>
      <w:tr>
        <w:trPr>
          <w:trHeight w:val="190"/>
        </w:trPr>
        <w:tc>
          <w:tcPr>
            <w:tcW w:w="140" w:type="dxa"/>
            <w:vAlign w:val="bottom"/>
          </w:tcPr>
          <w:p>
            <w:pPr>
              <w:spacing w:after="0"/>
              <w:rPr>
                <w:sz w:val="16"/>
                <w:szCs w:val="16"/>
                <w:color w:val="auto"/>
              </w:rPr>
            </w:pPr>
          </w:p>
        </w:tc>
        <w:tc>
          <w:tcPr>
            <w:tcW w:w="10440" w:type="dxa"/>
            <w:vAlign w:val="bottom"/>
            <w:gridSpan w:val="14"/>
          </w:tcPr>
          <w:p>
            <w:pPr>
              <w:spacing w:after="0"/>
              <w:rPr>
                <w:rFonts w:ascii="Arial" w:cs="Arial" w:eastAsia="Arial" w:hAnsi="Arial"/>
                <w:sz w:val="16"/>
                <w:szCs w:val="16"/>
                <w:color w:val="0000FF"/>
              </w:rPr>
            </w:pPr>
            <w:hyperlink w:anchor="page186">
              <w:r>
                <w:rPr>
                  <w:rFonts w:ascii="Arial" w:cs="Arial" w:eastAsia="Arial" w:hAnsi="Arial"/>
                  <w:sz w:val="16"/>
                  <w:szCs w:val="16"/>
                  <w:color w:val="0000FF"/>
                </w:rPr>
                <w:t>Notes to Consolidated Financial Statements</w:t>
              </w:r>
            </w:hyperlink>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spacing w:after="0"/>
              <w:rPr>
                <w:rFonts w:ascii="Arial" w:cs="Arial" w:eastAsia="Arial" w:hAnsi="Arial"/>
                <w:sz w:val="16"/>
                <w:szCs w:val="16"/>
                <w:color w:val="0000FF"/>
                <w:w w:val="91"/>
              </w:rPr>
            </w:pPr>
            <w:hyperlink w:anchor="page186">
              <w:r>
                <w:rPr>
                  <w:rFonts w:ascii="Arial" w:cs="Arial" w:eastAsia="Arial" w:hAnsi="Arial"/>
                  <w:sz w:val="16"/>
                  <w:szCs w:val="16"/>
                  <w:color w:val="0000FF"/>
                  <w:w w:val="91"/>
                </w:rPr>
                <w:t>F-9</w:t>
              </w:r>
            </w:hyperlink>
          </w:p>
        </w:tc>
      </w:tr>
      <w:tr>
        <w:trPr>
          <w:trHeight w:val="20"/>
        </w:trPr>
        <w:tc>
          <w:tcPr>
            <w:tcW w:w="14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0"/>
        </w:trPr>
        <w:tc>
          <w:tcPr>
            <w:tcW w:w="5620" w:type="dxa"/>
            <w:vAlign w:val="bottom"/>
            <w:tcBorders>
              <w:bottom w:val="single" w:sz="8" w:color="0000FF"/>
            </w:tcBorders>
            <w:gridSpan w:val="12"/>
          </w:tcPr>
          <w:p>
            <w:pPr>
              <w:spacing w:after="0"/>
              <w:rPr>
                <w:rFonts w:ascii="Arial" w:cs="Arial" w:eastAsia="Arial" w:hAnsi="Arial"/>
                <w:sz w:val="16"/>
                <w:szCs w:val="16"/>
                <w:color w:val="0000FF"/>
                <w:w w:val="94"/>
              </w:rPr>
            </w:pPr>
            <w:hyperlink w:anchor="page227">
              <w:r>
                <w:rPr>
                  <w:rFonts w:ascii="Arial" w:cs="Arial" w:eastAsia="Arial" w:hAnsi="Arial"/>
                  <w:sz w:val="16"/>
                  <w:szCs w:val="16"/>
                  <w:color w:val="0000FF"/>
                  <w:w w:val="94"/>
                </w:rPr>
                <w:t>Schedule I—Condensed Financial Information of Registrant—Parent Company Only</w:t>
              </w:r>
            </w:hyperlink>
          </w:p>
        </w:tc>
        <w:tc>
          <w:tcPr>
            <w:tcW w:w="496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bottom w:val="single" w:sz="8" w:color="0000FF"/>
            </w:tcBorders>
            <w:gridSpan w:val="2"/>
          </w:tcPr>
          <w:p>
            <w:pPr>
              <w:jc w:val="right"/>
              <w:spacing w:after="0"/>
              <w:rPr>
                <w:rFonts w:ascii="Arial" w:cs="Arial" w:eastAsia="Arial" w:hAnsi="Arial"/>
                <w:sz w:val="16"/>
                <w:szCs w:val="16"/>
                <w:color w:val="0000FF"/>
                <w:w w:val="91"/>
              </w:rPr>
            </w:pPr>
            <w:hyperlink w:anchor="page227">
              <w:r>
                <w:rPr>
                  <w:rFonts w:ascii="Arial" w:cs="Arial" w:eastAsia="Arial" w:hAnsi="Arial"/>
                  <w:sz w:val="16"/>
                  <w:szCs w:val="16"/>
                  <w:color w:val="0000FF"/>
                  <w:w w:val="91"/>
                </w:rPr>
                <w:t>F-50</w:t>
              </w:r>
            </w:hyperlink>
          </w:p>
        </w:tc>
      </w:tr>
      <w:tr>
        <w:trPr>
          <w:trHeight w:val="190"/>
        </w:trPr>
        <w:tc>
          <w:tcPr>
            <w:tcW w:w="10580" w:type="dxa"/>
            <w:vAlign w:val="bottom"/>
            <w:gridSpan w:val="15"/>
          </w:tcPr>
          <w:p>
            <w:pPr>
              <w:spacing w:after="0"/>
              <w:rPr>
                <w:rFonts w:ascii="Arial" w:cs="Arial" w:eastAsia="Arial" w:hAnsi="Arial"/>
                <w:sz w:val="16"/>
                <w:szCs w:val="16"/>
                <w:color w:val="0000FF"/>
              </w:rPr>
            </w:pPr>
            <w:hyperlink w:anchor="page231">
              <w:r>
                <w:rPr>
                  <w:rFonts w:ascii="Arial" w:cs="Arial" w:eastAsia="Arial" w:hAnsi="Arial"/>
                  <w:sz w:val="16"/>
                  <w:szCs w:val="16"/>
                  <w:color w:val="0000FF"/>
                </w:rPr>
                <w:t>Schedule II—Valuation and Qualifying Accounts</w:t>
              </w:r>
            </w:hyperlink>
          </w:p>
        </w:tc>
        <w:tc>
          <w:tcPr>
            <w:tcW w:w="640" w:type="dxa"/>
            <w:vAlign w:val="bottom"/>
            <w:gridSpan w:val="3"/>
          </w:tcPr>
          <w:p>
            <w:pPr>
              <w:jc w:val="right"/>
              <w:spacing w:after="0"/>
              <w:rPr>
                <w:rFonts w:ascii="Arial" w:cs="Arial" w:eastAsia="Arial" w:hAnsi="Arial"/>
                <w:sz w:val="16"/>
                <w:szCs w:val="16"/>
                <w:color w:val="0000FF"/>
              </w:rPr>
            </w:pPr>
            <w:hyperlink w:anchor="page231">
              <w:r>
                <w:rPr>
                  <w:rFonts w:ascii="Arial" w:cs="Arial" w:eastAsia="Arial" w:hAnsi="Arial"/>
                  <w:sz w:val="16"/>
                  <w:szCs w:val="16"/>
                  <w:color w:val="0000FF"/>
                </w:rPr>
                <w:t>F-54</w:t>
              </w:r>
            </w:hyperlink>
          </w:p>
        </w:tc>
      </w:tr>
      <w:tr>
        <w:trPr>
          <w:trHeight w:val="461"/>
        </w:trPr>
        <w:tc>
          <w:tcPr>
            <w:tcW w:w="32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w w:val="96"/>
              </w:rPr>
              <w:t>Condensed Consolidated Financial Statements</w:t>
            </w:r>
          </w:p>
        </w:tc>
        <w:tc>
          <w:tcPr>
            <w:tcW w:w="734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r>
      <w:tr>
        <w:trPr>
          <w:trHeight w:val="162"/>
        </w:trPr>
        <w:tc>
          <w:tcPr>
            <w:tcW w:w="10580" w:type="dxa"/>
            <w:vAlign w:val="bottom"/>
            <w:gridSpan w:val="15"/>
          </w:tcPr>
          <w:p>
            <w:pPr>
              <w:spacing w:after="0" w:line="162" w:lineRule="exact"/>
              <w:rPr>
                <w:sz w:val="20"/>
                <w:szCs w:val="20"/>
                <w:color w:val="auto"/>
              </w:rPr>
            </w:pPr>
            <w:r>
              <w:rPr>
                <w:rFonts w:ascii="Arial" w:cs="Arial" w:eastAsia="Arial" w:hAnsi="Arial"/>
                <w:sz w:val="16"/>
                <w:szCs w:val="16"/>
                <w:color w:val="auto"/>
                <w:w w:val="94"/>
              </w:rPr>
              <w:t>As of September 30, 2021 (unaudited) and December 31, 2020 and for the three and nine months ended September 30, 2021 (unaudited) and September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9"/>
        </w:trPr>
        <w:tc>
          <w:tcPr>
            <w:tcW w:w="140" w:type="dxa"/>
            <w:vAlign w:val="bottom"/>
          </w:tcPr>
          <w:p>
            <w:pPr>
              <w:spacing w:after="0"/>
              <w:rPr>
                <w:sz w:val="18"/>
                <w:szCs w:val="18"/>
                <w:color w:val="auto"/>
              </w:rPr>
            </w:pPr>
          </w:p>
        </w:tc>
        <w:tc>
          <w:tcPr>
            <w:tcW w:w="10440" w:type="dxa"/>
            <w:vAlign w:val="bottom"/>
            <w:gridSpan w:val="14"/>
          </w:tcPr>
          <w:p>
            <w:pPr>
              <w:spacing w:after="0"/>
              <w:rPr>
                <w:sz w:val="20"/>
                <w:szCs w:val="20"/>
                <w:color w:val="auto"/>
              </w:rPr>
            </w:pPr>
            <w:r>
              <w:rPr>
                <w:rFonts w:ascii="Arial" w:cs="Arial" w:eastAsia="Arial" w:hAnsi="Arial"/>
                <w:sz w:val="16"/>
                <w:szCs w:val="16"/>
                <w:color w:val="auto"/>
              </w:rPr>
              <w:t>2020 (unaudited)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74"/>
        </w:trPr>
        <w:tc>
          <w:tcPr>
            <w:tcW w:w="140" w:type="dxa"/>
            <w:vAlign w:val="bottom"/>
          </w:tcPr>
          <w:p>
            <w:pPr>
              <w:spacing w:after="0"/>
              <w:rPr>
                <w:sz w:val="15"/>
                <w:szCs w:val="15"/>
                <w:color w:val="auto"/>
              </w:rPr>
            </w:pPr>
          </w:p>
        </w:tc>
        <w:tc>
          <w:tcPr>
            <w:tcW w:w="10440" w:type="dxa"/>
            <w:vAlign w:val="bottom"/>
            <w:gridSpan w:val="14"/>
          </w:tcPr>
          <w:p>
            <w:pPr>
              <w:spacing w:after="0" w:line="175" w:lineRule="exact"/>
              <w:rPr>
                <w:rFonts w:ascii="Arial" w:cs="Arial" w:eastAsia="Arial" w:hAnsi="Arial"/>
                <w:sz w:val="16"/>
                <w:szCs w:val="16"/>
                <w:color w:val="0000FF"/>
              </w:rPr>
            </w:pPr>
            <w:hyperlink w:anchor="page232">
              <w:r>
                <w:rPr>
                  <w:rFonts w:ascii="Arial" w:cs="Arial" w:eastAsia="Arial" w:hAnsi="Arial"/>
                  <w:sz w:val="16"/>
                  <w:szCs w:val="16"/>
                  <w:color w:val="0000FF"/>
                </w:rPr>
                <w:t xml:space="preserve">Condensed Consolidated Balance Sheets </w:t>
              </w:r>
            </w:hyperlink>
            <w:r>
              <w:rPr>
                <w:rFonts w:ascii="Arial" w:cs="Arial" w:eastAsia="Arial" w:hAnsi="Arial"/>
                <w:sz w:val="16"/>
                <w:szCs w:val="16"/>
                <w:color w:val="000000"/>
              </w:rPr>
              <w:t>(unaudited)</w:t>
            </w:r>
          </w:p>
        </w:tc>
        <w:tc>
          <w:tcPr>
            <w:tcW w:w="640" w:type="dxa"/>
            <w:vAlign w:val="bottom"/>
            <w:gridSpan w:val="3"/>
          </w:tcPr>
          <w:p>
            <w:pPr>
              <w:jc w:val="right"/>
              <w:spacing w:after="0" w:line="175" w:lineRule="exact"/>
              <w:rPr>
                <w:rFonts w:ascii="Arial" w:cs="Arial" w:eastAsia="Arial" w:hAnsi="Arial"/>
                <w:sz w:val="16"/>
                <w:szCs w:val="16"/>
                <w:color w:val="0000FF"/>
              </w:rPr>
            </w:pPr>
            <w:hyperlink w:anchor="page232">
              <w:r>
                <w:rPr>
                  <w:rFonts w:ascii="Arial" w:cs="Arial" w:eastAsia="Arial" w:hAnsi="Arial"/>
                  <w:sz w:val="16"/>
                  <w:szCs w:val="16"/>
                  <w:color w:val="0000FF"/>
                </w:rPr>
                <w:t>F-55</w:t>
              </w:r>
            </w:hyperlink>
          </w:p>
        </w:tc>
      </w:tr>
      <w:tr>
        <w:trPr>
          <w:trHeight w:val="20"/>
        </w:trPr>
        <w:tc>
          <w:tcPr>
            <w:tcW w:w="14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0440" w:type="dxa"/>
            <w:vAlign w:val="bottom"/>
            <w:gridSpan w:val="14"/>
          </w:tcPr>
          <w:p>
            <w:pPr>
              <w:spacing w:after="0"/>
              <w:rPr>
                <w:rFonts w:ascii="Arial" w:cs="Arial" w:eastAsia="Arial" w:hAnsi="Arial"/>
                <w:sz w:val="16"/>
                <w:szCs w:val="16"/>
                <w:color w:val="0000FF"/>
              </w:rPr>
            </w:pPr>
            <w:hyperlink w:anchor="page234">
              <w:r>
                <w:rPr>
                  <w:rFonts w:ascii="Arial" w:cs="Arial" w:eastAsia="Arial" w:hAnsi="Arial"/>
                  <w:sz w:val="16"/>
                  <w:szCs w:val="16"/>
                  <w:color w:val="0000FF"/>
                </w:rPr>
                <w:t xml:space="preserve">Condensed Consolidated Statements of Operations and Comprehensive Loss </w:t>
              </w:r>
            </w:hyperlink>
            <w:r>
              <w:rPr>
                <w:rFonts w:ascii="Arial" w:cs="Arial" w:eastAsia="Arial" w:hAnsi="Arial"/>
                <w:sz w:val="16"/>
                <w:szCs w:val="16"/>
                <w:color w:val="000000"/>
              </w:rPr>
              <w:t>(unaudited)</w:t>
            </w:r>
          </w:p>
        </w:tc>
        <w:tc>
          <w:tcPr>
            <w:tcW w:w="640" w:type="dxa"/>
            <w:vAlign w:val="bottom"/>
            <w:gridSpan w:val="3"/>
          </w:tcPr>
          <w:p>
            <w:pPr>
              <w:jc w:val="right"/>
              <w:spacing w:after="0"/>
              <w:rPr>
                <w:rFonts w:ascii="Arial" w:cs="Arial" w:eastAsia="Arial" w:hAnsi="Arial"/>
                <w:sz w:val="16"/>
                <w:szCs w:val="16"/>
                <w:color w:val="0000FF"/>
              </w:rPr>
            </w:pPr>
            <w:hyperlink w:anchor="page234">
              <w:r>
                <w:rPr>
                  <w:rFonts w:ascii="Arial" w:cs="Arial" w:eastAsia="Arial" w:hAnsi="Arial"/>
                  <w:sz w:val="16"/>
                  <w:szCs w:val="16"/>
                  <w:color w:val="0000FF"/>
                </w:rPr>
                <w:t>F-57</w:t>
              </w:r>
            </w:hyperlink>
          </w:p>
        </w:tc>
      </w:tr>
      <w:tr>
        <w:trPr>
          <w:trHeight w:val="20"/>
        </w:trPr>
        <w:tc>
          <w:tcPr>
            <w:tcW w:w="1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0440" w:type="dxa"/>
            <w:vAlign w:val="bottom"/>
            <w:gridSpan w:val="14"/>
          </w:tcPr>
          <w:p>
            <w:pPr>
              <w:spacing w:after="0"/>
              <w:rPr>
                <w:rFonts w:ascii="Arial" w:cs="Arial" w:eastAsia="Arial" w:hAnsi="Arial"/>
                <w:sz w:val="16"/>
                <w:szCs w:val="16"/>
                <w:color w:val="0000FF"/>
              </w:rPr>
            </w:pPr>
            <w:hyperlink w:anchor="page235">
              <w:r>
                <w:rPr>
                  <w:rFonts w:ascii="Arial" w:cs="Arial" w:eastAsia="Arial" w:hAnsi="Arial"/>
                  <w:sz w:val="16"/>
                  <w:szCs w:val="16"/>
                  <w:color w:val="0000FF"/>
                </w:rPr>
                <w:t xml:space="preserve">Condensed Consolidated Statements of Changes in Convertible Preferred Stock and Stockholders’ Equity (Deficit) </w:t>
              </w:r>
            </w:hyperlink>
            <w:r>
              <w:rPr>
                <w:rFonts w:ascii="Arial" w:cs="Arial" w:eastAsia="Arial" w:hAnsi="Arial"/>
                <w:sz w:val="16"/>
                <w:szCs w:val="16"/>
                <w:color w:val="000000"/>
              </w:rPr>
              <w:t>(unaudited)</w:t>
            </w:r>
          </w:p>
        </w:tc>
        <w:tc>
          <w:tcPr>
            <w:tcW w:w="640" w:type="dxa"/>
            <w:vAlign w:val="bottom"/>
            <w:gridSpan w:val="3"/>
          </w:tcPr>
          <w:p>
            <w:pPr>
              <w:jc w:val="right"/>
              <w:spacing w:after="0"/>
              <w:rPr>
                <w:rFonts w:ascii="Arial" w:cs="Arial" w:eastAsia="Arial" w:hAnsi="Arial"/>
                <w:sz w:val="16"/>
                <w:szCs w:val="16"/>
                <w:color w:val="0000FF"/>
              </w:rPr>
            </w:pPr>
            <w:hyperlink w:anchor="page235">
              <w:r>
                <w:rPr>
                  <w:rFonts w:ascii="Arial" w:cs="Arial" w:eastAsia="Arial" w:hAnsi="Arial"/>
                  <w:sz w:val="16"/>
                  <w:szCs w:val="16"/>
                  <w:color w:val="0000FF"/>
                </w:rPr>
                <w:t>F-58</w:t>
              </w:r>
            </w:hyperlink>
          </w:p>
        </w:tc>
      </w:tr>
      <w:tr>
        <w:trPr>
          <w:trHeight w:val="190"/>
        </w:trPr>
        <w:tc>
          <w:tcPr>
            <w:tcW w:w="140" w:type="dxa"/>
            <w:vAlign w:val="bottom"/>
          </w:tcPr>
          <w:p>
            <w:pPr>
              <w:spacing w:after="0"/>
              <w:rPr>
                <w:sz w:val="16"/>
                <w:szCs w:val="16"/>
                <w:color w:val="auto"/>
              </w:rPr>
            </w:pPr>
          </w:p>
        </w:tc>
        <w:tc>
          <w:tcPr>
            <w:tcW w:w="7580" w:type="dxa"/>
            <w:vAlign w:val="bottom"/>
            <w:tcBorders>
              <w:top w:val="single" w:sz="8" w:color="0000FF"/>
            </w:tcBorders>
            <w:gridSpan w:val="13"/>
          </w:tcPr>
          <w:p>
            <w:pPr>
              <w:spacing w:after="0"/>
              <w:rPr>
                <w:rFonts w:ascii="Arial" w:cs="Arial" w:eastAsia="Arial" w:hAnsi="Arial"/>
                <w:sz w:val="16"/>
                <w:szCs w:val="16"/>
                <w:color w:val="0000FF"/>
              </w:rPr>
            </w:pPr>
            <w:hyperlink w:anchor="page237">
              <w:r>
                <w:rPr>
                  <w:rFonts w:ascii="Arial" w:cs="Arial" w:eastAsia="Arial" w:hAnsi="Arial"/>
                  <w:sz w:val="16"/>
                  <w:szCs w:val="16"/>
                  <w:color w:val="0000FF"/>
                </w:rPr>
                <w:t xml:space="preserve">Condensed Consolidated Statements of Cash Flows </w:t>
              </w:r>
            </w:hyperlink>
            <w:r>
              <w:rPr>
                <w:rFonts w:ascii="Arial" w:cs="Arial" w:eastAsia="Arial" w:hAnsi="Arial"/>
                <w:sz w:val="16"/>
                <w:szCs w:val="16"/>
                <w:color w:val="000000"/>
              </w:rPr>
              <w:t>(unaudited)</w:t>
            </w:r>
          </w:p>
        </w:tc>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top w:val="single" w:sz="8" w:color="0000FF"/>
            </w:tcBorders>
            <w:gridSpan w:val="2"/>
          </w:tcPr>
          <w:p>
            <w:pPr>
              <w:jc w:val="right"/>
              <w:spacing w:after="0"/>
              <w:rPr>
                <w:rFonts w:ascii="Arial" w:cs="Arial" w:eastAsia="Arial" w:hAnsi="Arial"/>
                <w:sz w:val="16"/>
                <w:szCs w:val="16"/>
                <w:color w:val="0000FF"/>
                <w:w w:val="91"/>
              </w:rPr>
            </w:pPr>
            <w:hyperlink w:anchor="page237">
              <w:r>
                <w:rPr>
                  <w:rFonts w:ascii="Arial" w:cs="Arial" w:eastAsia="Arial" w:hAnsi="Arial"/>
                  <w:sz w:val="16"/>
                  <w:szCs w:val="16"/>
                  <w:color w:val="0000FF"/>
                  <w:w w:val="91"/>
                </w:rPr>
                <w:t>F-60</w:t>
              </w:r>
            </w:hyperlink>
          </w:p>
        </w:tc>
      </w:tr>
      <w:tr>
        <w:trPr>
          <w:trHeight w:val="20"/>
        </w:trPr>
        <w:tc>
          <w:tcPr>
            <w:tcW w:w="140" w:type="dxa"/>
            <w:vAlign w:val="bottom"/>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10440" w:type="dxa"/>
            <w:vAlign w:val="bottom"/>
            <w:gridSpan w:val="14"/>
          </w:tcPr>
          <w:p>
            <w:pPr>
              <w:spacing w:after="0"/>
              <w:rPr>
                <w:rFonts w:ascii="Arial" w:cs="Arial" w:eastAsia="Arial" w:hAnsi="Arial"/>
                <w:sz w:val="16"/>
                <w:szCs w:val="16"/>
                <w:color w:val="0000FF"/>
              </w:rPr>
            </w:pPr>
            <w:hyperlink w:anchor="page238">
              <w:r>
                <w:rPr>
                  <w:rFonts w:ascii="Arial" w:cs="Arial" w:eastAsia="Arial" w:hAnsi="Arial"/>
                  <w:sz w:val="16"/>
                  <w:szCs w:val="16"/>
                  <w:color w:val="0000FF"/>
                </w:rPr>
                <w:t>Notes to Unaudited Condensed Consolidated Financial Statements</w:t>
              </w:r>
            </w:hyperlink>
          </w:p>
        </w:tc>
        <w:tc>
          <w:tcPr>
            <w:tcW w:w="640" w:type="dxa"/>
            <w:vAlign w:val="bottom"/>
            <w:gridSpan w:val="3"/>
          </w:tcPr>
          <w:p>
            <w:pPr>
              <w:jc w:val="right"/>
              <w:spacing w:after="0"/>
              <w:rPr>
                <w:rFonts w:ascii="Arial" w:cs="Arial" w:eastAsia="Arial" w:hAnsi="Arial"/>
                <w:sz w:val="16"/>
                <w:szCs w:val="16"/>
                <w:color w:val="0000FF"/>
              </w:rPr>
            </w:pPr>
            <w:hyperlink w:anchor="page238">
              <w:r>
                <w:rPr>
                  <w:rFonts w:ascii="Arial" w:cs="Arial" w:eastAsia="Arial" w:hAnsi="Arial"/>
                  <w:sz w:val="16"/>
                  <w:szCs w:val="16"/>
                  <w:color w:val="0000FF"/>
                </w:rPr>
                <w:t>F-61</w:t>
              </w:r>
            </w:hyperlink>
          </w:p>
        </w:tc>
      </w:tr>
      <w:tr>
        <w:trPr>
          <w:trHeight w:val="20"/>
        </w:trPr>
        <w:tc>
          <w:tcPr>
            <w:tcW w:w="1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161290</wp:posOffset>
            </wp:positionV>
            <wp:extent cx="716915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40" w:top="1310" w:right="339" w:bottom="1440" w:gutter="0" w:footer="0" w:header="0"/>
        </w:sectPr>
      </w:pPr>
    </w:p>
    <w:bookmarkStart w:id="179" w:name="page180"/>
    <w:bookmarkEnd w:id="179"/>
    <w:p>
      <w:pPr>
        <w:spacing w:after="0" w:line="19" w:lineRule="exact"/>
        <w:rPr>
          <w:sz w:val="20"/>
          <w:szCs w:val="20"/>
          <w:color w:val="auto"/>
        </w:rPr>
      </w:pPr>
    </w:p>
    <w:p>
      <w:pPr>
        <w:ind w:right="3500" w:firstLine="3562"/>
        <w:spacing w:after="0" w:line="45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Clover Health Investments, Corp. </w:t>
      </w:r>
      <w:r>
        <w:rPr>
          <w:rFonts w:ascii="Arial" w:cs="Arial" w:eastAsia="Arial" w:hAnsi="Arial"/>
          <w:sz w:val="16"/>
          <w:szCs w:val="16"/>
          <w:b w:val="1"/>
          <w:bCs w:val="1"/>
          <w:color w:val="auto"/>
        </w:rPr>
        <w:t>Opinion on the Financial Statements</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have audited the accompanying consolidated balance sheets of Clover Health Investments, Corp. and subsidiaries (the Company) as of December 31, 2020 and 2019, the related consolidated statements of operations and comprehensive loss, changes in convertible preferred stock and stockholders’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March 31, 2021, except for the effects of the reverse recapitalization described in Note 3 and subsequent events described in Note 26, as to which the date is 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3"/>
                <w:szCs w:val="13"/>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67,598</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138,638</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securities, held-to-maturity (Fair value: 2020: $266; 2019: $0)</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Accrued retrospective premiums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34,829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13,225</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receivables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Reinsurance recoverable</w:t>
            </w:r>
          </w:p>
        </w:tc>
        <w:tc>
          <w:tcPr>
            <w:tcW w:w="9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Healthcare receivables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25,819</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assets, current</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189,782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252,956</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Investment securities, available-for-sale, at fair value (Amortized cost: 2020: $53,953; 2019: $56,382)</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53,963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56,428</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securities, held-to-maturity (Fair value: 2020: $471; 2019: $685)</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9,704</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Operating lease right-of-use assets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11,097</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intangible assets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267,252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deficit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Unpaid claims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103,976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77,886</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30,671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19,826</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salaries and benefits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Operating lease liabilities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notes and securities payable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18,481</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Premium deficiency reserve</w:t>
            </w:r>
          </w:p>
        </w:tc>
        <w:tc>
          <w:tcPr>
            <w:tcW w:w="9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17,128</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liabilities, current</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2"/>
        </w:trPr>
        <w:tc>
          <w:tcPr>
            <w:tcW w:w="804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164,228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141,888</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liabilities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Notes and securities payable, net of discount and deferred issuance costs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106,413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57,917</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Derivative liabilities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138,561</w:t>
            </w:r>
          </w:p>
        </w:tc>
        <w:tc>
          <w:tcPr>
            <w:tcW w:w="0" w:type="dxa"/>
            <w:vAlign w:val="bottom"/>
          </w:tcPr>
          <w:p>
            <w:pPr>
              <w:spacing w:after="0"/>
              <w:rPr>
                <w:sz w:val="1"/>
                <w:szCs w:val="1"/>
                <w:color w:val="auto"/>
              </w:rPr>
            </w:pPr>
          </w:p>
        </w:tc>
      </w:tr>
      <w:tr>
        <w:trPr>
          <w:trHeight w:val="210"/>
        </w:trPr>
        <w:tc>
          <w:tcPr>
            <w:tcW w:w="8040" w:type="dxa"/>
            <w:vAlign w:val="bottom"/>
          </w:tcPr>
          <w:p>
            <w:pPr>
              <w:ind w:left="320"/>
              <w:spacing w:after="0"/>
              <w:rPr>
                <w:sz w:val="20"/>
                <w:szCs w:val="20"/>
                <w:color w:val="auto"/>
              </w:rPr>
            </w:pPr>
            <w:r>
              <w:rPr>
                <w:rFonts w:ascii="Arial" w:cs="Arial" w:eastAsia="Arial" w:hAnsi="Arial"/>
                <w:sz w:val="16"/>
                <w:szCs w:val="16"/>
                <w:color w:val="auto"/>
              </w:rPr>
              <w:t>Warrants payable</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17,672</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Long-term operating lease liabilities</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10,044</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432,698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377,811</w:t>
            </w:r>
          </w:p>
        </w:tc>
        <w:tc>
          <w:tcPr>
            <w:tcW w:w="0" w:type="dxa"/>
            <w:vAlign w:val="bottom"/>
          </w:tcPr>
          <w:p>
            <w:pPr>
              <w:spacing w:after="0"/>
              <w:rPr>
                <w:sz w:val="1"/>
                <w:szCs w:val="1"/>
                <w:color w:val="auto"/>
              </w:rPr>
            </w:pPr>
          </w:p>
        </w:tc>
      </w:tr>
      <w:tr>
        <w:trPr>
          <w:trHeight w:val="19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22)</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20"/>
              <w:spacing w:after="0" w:line="161" w:lineRule="exact"/>
              <w:rPr>
                <w:sz w:val="20"/>
                <w:szCs w:val="20"/>
                <w:color w:val="auto"/>
              </w:rPr>
            </w:pPr>
            <w:r>
              <w:rPr>
                <w:rFonts w:ascii="Arial" w:cs="Arial" w:eastAsia="Arial" w:hAnsi="Arial"/>
                <w:sz w:val="16"/>
                <w:szCs w:val="16"/>
                <w:color w:val="auto"/>
                <w:w w:val="94"/>
              </w:rPr>
              <w:t>Convertible Preferred stock (Series Seed A, A-1, B, C, and D), $0.0001 par value; 155,387,025 shares authorized as of</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160"/>
              <w:spacing w:after="0" w:line="161" w:lineRule="exact"/>
              <w:rPr>
                <w:sz w:val="20"/>
                <w:szCs w:val="20"/>
                <w:color w:val="auto"/>
              </w:rPr>
            </w:pPr>
            <w:r>
              <w:rPr>
                <w:rFonts w:ascii="Arial" w:cs="Arial" w:eastAsia="Arial" w:hAnsi="Arial"/>
                <w:sz w:val="16"/>
                <w:szCs w:val="16"/>
                <w:color w:val="auto"/>
                <w:w w:val="92"/>
              </w:rPr>
              <w:t>December 31, 2020 and 2019; 139,444,346 shares; after reverse capitalization, issued and outstanding as of December</w:t>
            </w:r>
          </w:p>
        </w:tc>
        <w:tc>
          <w:tcPr>
            <w:tcW w:w="9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w w:val="93"/>
              </w:rPr>
              <w:t>447,747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447,747</w:t>
            </w:r>
          </w:p>
        </w:tc>
        <w:tc>
          <w:tcPr>
            <w:tcW w:w="0" w:type="dxa"/>
            <w:vAlign w:val="bottom"/>
          </w:tcPr>
          <w:p>
            <w:pPr>
              <w:spacing w:after="0"/>
              <w:rPr>
                <w:sz w:val="1"/>
                <w:szCs w:val="1"/>
                <w:color w:val="auto"/>
              </w:rPr>
            </w:pPr>
          </w:p>
        </w:tc>
      </w:tr>
      <w:tr>
        <w:trPr>
          <w:trHeight w:val="209"/>
        </w:trPr>
        <w:tc>
          <w:tcPr>
            <w:tcW w:w="8040" w:type="dxa"/>
            <w:vAlign w:val="bottom"/>
          </w:tcPr>
          <w:p>
            <w:pPr>
              <w:ind w:left="160"/>
              <w:spacing w:after="0"/>
              <w:rPr>
                <w:sz w:val="20"/>
                <w:szCs w:val="20"/>
                <w:color w:val="auto"/>
              </w:rPr>
            </w:pPr>
            <w:r>
              <w:rPr>
                <w:rFonts w:ascii="Arial" w:cs="Arial" w:eastAsia="Arial" w:hAnsi="Arial"/>
                <w:sz w:val="16"/>
                <w:szCs w:val="16"/>
                <w:color w:val="auto"/>
              </w:rPr>
              <w:t>31, 2020 and 2019; aggregate liquidation preference of $470,256 as of December 31, 2020</w:t>
            </w:r>
          </w:p>
        </w:tc>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40" w:type="dxa"/>
            <w:vAlign w:val="bottom"/>
          </w:tcPr>
          <w:p>
            <w:pPr>
              <w:ind w:left="20"/>
              <w:spacing w:after="0" w:line="161" w:lineRule="exact"/>
              <w:rPr>
                <w:sz w:val="20"/>
                <w:szCs w:val="20"/>
                <w:color w:val="auto"/>
              </w:rPr>
            </w:pPr>
            <w:r>
              <w:rPr>
                <w:rFonts w:ascii="Arial" w:cs="Arial" w:eastAsia="Arial" w:hAnsi="Arial"/>
                <w:sz w:val="16"/>
                <w:szCs w:val="16"/>
                <w:color w:val="auto"/>
                <w:w w:val="94"/>
              </w:rPr>
              <w:t>Common stock, $0.0001 par value, 351,572,668 shares authorized; 89,972,184 and 88,674,206 issued; and 89,206,266</w:t>
            </w:r>
          </w:p>
        </w:tc>
        <w:tc>
          <w:tcPr>
            <w:tcW w:w="4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8040" w:type="dxa"/>
            <w:vAlign w:val="bottom"/>
          </w:tcPr>
          <w:p>
            <w:pPr>
              <w:ind w:left="160"/>
              <w:spacing w:after="0"/>
              <w:rPr>
                <w:sz w:val="20"/>
                <w:szCs w:val="20"/>
                <w:color w:val="auto"/>
              </w:rPr>
            </w:pPr>
            <w:r>
              <w:rPr>
                <w:rFonts w:ascii="Arial" w:cs="Arial" w:eastAsia="Arial" w:hAnsi="Arial"/>
                <w:sz w:val="16"/>
                <w:szCs w:val="16"/>
                <w:color w:val="auto"/>
                <w:w w:val="98"/>
              </w:rPr>
              <w:t>and 88,279,119 shares outstanding; after reverse capitalization as of December 31, 2020 and 2019, respectively</w:t>
            </w:r>
          </w:p>
        </w:tc>
        <w:tc>
          <w:tcPr>
            <w:tcW w:w="4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403,041</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(1,028,982)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(891,633)</w:t>
            </w:r>
          </w:p>
        </w:tc>
        <w:tc>
          <w:tcPr>
            <w:tcW w:w="0" w:type="dxa"/>
            <w:vAlign w:val="bottom"/>
          </w:tcPr>
          <w:p>
            <w:pPr>
              <w:spacing w:after="0"/>
              <w:rPr>
                <w:sz w:val="1"/>
                <w:szCs w:val="1"/>
                <w:color w:val="auto"/>
              </w:rPr>
            </w:pPr>
          </w:p>
        </w:tc>
      </w:tr>
      <w:tr>
        <w:trPr>
          <w:trHeight w:val="202"/>
        </w:trPr>
        <w:tc>
          <w:tcPr>
            <w:tcW w:w="8040" w:type="dxa"/>
            <w:vAlign w:val="bottom"/>
          </w:tcPr>
          <w:p>
            <w:pPr>
              <w:ind w:left="20"/>
              <w:spacing w:after="0"/>
              <w:rPr>
                <w:sz w:val="20"/>
                <w:szCs w:val="20"/>
                <w:color w:val="auto"/>
              </w:rPr>
            </w:pPr>
            <w:r>
              <w:rPr>
                <w:rFonts w:ascii="Arial" w:cs="Arial" w:eastAsia="Arial" w:hAnsi="Arial"/>
                <w:sz w:val="16"/>
                <w:szCs w:val="16"/>
                <w:color w:val="auto"/>
              </w:rPr>
              <w:t>Clover shareholders’ deficit</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(617,096)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(488,537)</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deficit</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(613,193)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(488,537)</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267,252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2" w:name="page183"/>
    <w:bookmarkEnd w:id="182"/>
    <w:p>
      <w:pPr>
        <w:jc w:val="center"/>
        <w:ind w:left="340" w:right="2660"/>
        <w:spacing w:after="0" w:line="274" w:lineRule="auto"/>
        <w:rPr>
          <w:sz w:val="20"/>
          <w:szCs w:val="20"/>
          <w:color w:val="auto"/>
        </w:rPr>
      </w:pPr>
      <w:r>
        <w:rPr>
          <w:rFonts w:ascii="Arial" w:cs="Arial" w:eastAsia="Arial" w:hAnsi="Arial"/>
          <w:sz w:val="16"/>
          <w:szCs w:val="16"/>
          <w:color w:val="auto"/>
        </w:rPr>
        <w:t>CLOVER HEALTH INVESTMENTS, CORP. AND SUBSIDIARIES CONSOLIDATED STATEMENTS OF OPERATIONS AND COMPREHENSIVE LOSS (Dollars in thousands)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3"/>
                <w:szCs w:val="13"/>
                <w:b w:val="1"/>
                <w:bCs w:val="1"/>
                <w:color w:val="auto"/>
              </w:rPr>
              <w:t>For the years ended December 31,</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Premiums earned, net (Net of ceded premiums: 2020: $599; 2019: $832)</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665,698</w:t>
            </w:r>
          </w:p>
        </w:tc>
        <w:tc>
          <w:tcPr>
            <w:tcW w:w="10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456,926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Investment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672,888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462,266</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6"/>
                <w:szCs w:val="16"/>
                <w:color w:val="auto"/>
              </w:rPr>
              <w:t>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medical claims incurred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450,645</w:t>
            </w: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Salaries and benefits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91,626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94,757</w:t>
            </w: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Premium deficiency reserve (benefit)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7,523</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Other expense</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765,595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645,465</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(92,707)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(183,199)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warrants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23,155</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notes and securities discount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loss on derivative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138,561</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(363,737)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Per share data:</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shareholders – basic and diluted, after reverse capitalization</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2"/>
              </w:rPr>
              <w:t>Basic and diluted weighted average number of common shares and common share equivalents outstanding, after reverse</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88,691,582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87,829,419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gain on available-for-sale investments</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3" w:name="page184"/>
    <w:bookmarkEnd w:id="183"/>
    <w:p>
      <w:pPr>
        <w:jc w:val="center"/>
        <w:ind w:left="340" w:right="1200"/>
        <w:spacing w:after="0" w:line="285" w:lineRule="auto"/>
        <w:rPr>
          <w:sz w:val="20"/>
          <w:szCs w:val="20"/>
          <w:color w:val="auto"/>
        </w:rPr>
      </w:pPr>
      <w:r>
        <w:rPr>
          <w:rFonts w:ascii="Arial" w:cs="Arial" w:eastAsia="Arial" w:hAnsi="Arial"/>
          <w:sz w:val="16"/>
          <w:szCs w:val="16"/>
          <w:color w:val="auto"/>
        </w:rPr>
        <w:t>CLOVER HEALTH INVESTMENTS, CORP. AND SUBSIDIARIES CONSOLIDATED STATEMENTS OF CHANGES IN CONVERTIBLE PREFERRED STOCK AND STOCKHOLDERS’ DEFICIT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1920" w:type="dxa"/>
            <w:vAlign w:val="bottom"/>
            <w:tcBorders>
              <w:right w:val="single" w:sz="8" w:color="auto"/>
            </w:tcBorders>
            <w:gridSpan w:val="5"/>
          </w:tcPr>
          <w:p>
            <w:pPr>
              <w:ind w:left="220"/>
              <w:spacing w:after="0"/>
              <w:rPr>
                <w:sz w:val="20"/>
                <w:szCs w:val="20"/>
                <w:color w:val="auto"/>
              </w:rPr>
            </w:pPr>
            <w:r>
              <w:rPr>
                <w:rFonts w:ascii="Arial" w:cs="Arial" w:eastAsia="Arial" w:hAnsi="Arial"/>
                <w:sz w:val="12"/>
                <w:szCs w:val="12"/>
                <w:b w:val="1"/>
                <w:bCs w:val="1"/>
                <w:color w:val="auto"/>
              </w:rPr>
              <w:t>Convertible Preferred stock</w:t>
            </w:r>
          </w:p>
        </w:tc>
        <w:tc>
          <w:tcPr>
            <w:tcW w:w="40" w:type="dxa"/>
            <w:vAlign w:val="bottom"/>
          </w:tcPr>
          <w:p>
            <w:pPr>
              <w:spacing w:after="0"/>
              <w:rPr>
                <w:sz w:val="12"/>
                <w:szCs w:val="12"/>
                <w:color w:val="auto"/>
              </w:rPr>
            </w:pPr>
          </w:p>
        </w:tc>
        <w:tc>
          <w:tcPr>
            <w:tcW w:w="1580" w:type="dxa"/>
            <w:vAlign w:val="bottom"/>
            <w:gridSpan w:val="3"/>
          </w:tcPr>
          <w:p>
            <w:pPr>
              <w:jc w:val="right"/>
              <w:ind w:right="232"/>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3"/>
              <w:spacing w:after="0"/>
              <w:rPr>
                <w:sz w:val="20"/>
                <w:szCs w:val="20"/>
                <w:color w:val="auto"/>
              </w:rPr>
            </w:pPr>
            <w:r>
              <w:rPr>
                <w:rFonts w:ascii="Arial" w:cs="Arial" w:eastAsia="Arial" w:hAnsi="Arial"/>
                <w:sz w:val="12"/>
                <w:szCs w:val="12"/>
                <w:b w:val="1"/>
                <w:bCs w:val="1"/>
                <w:color w:val="auto"/>
                <w:w w:val="90"/>
              </w:rPr>
              <w:t>Total</w:t>
            </w:r>
          </w:p>
        </w:tc>
      </w:tr>
      <w:tr>
        <w:trPr>
          <w:trHeight w:val="49"/>
        </w:trPr>
        <w:tc>
          <w:tcPr>
            <w:tcW w:w="27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3"/>
          </w:tcPr>
          <w:p>
            <w:pPr>
              <w:ind w:left="20"/>
              <w:spacing w:after="0" w:line="50" w:lineRule="exact"/>
              <w:rPr>
                <w:sz w:val="20"/>
                <w:szCs w:val="20"/>
                <w:color w:val="auto"/>
              </w:rPr>
            </w:pPr>
            <w:r>
              <w:rPr>
                <w:rFonts w:ascii="Arial" w:cs="Arial" w:eastAsia="Arial" w:hAnsi="Arial"/>
                <w:sz w:val="5"/>
                <w:szCs w:val="5"/>
                <w:b w:val="1"/>
                <w:bCs w:val="1"/>
                <w:color w:val="auto"/>
              </w:rPr>
              <w:t>Additional paid-</w:t>
            </w:r>
          </w:p>
        </w:tc>
        <w:tc>
          <w:tcPr>
            <w:tcW w:w="100" w:type="dxa"/>
            <w:vAlign w:val="bottom"/>
          </w:tcPr>
          <w:p>
            <w:pPr>
              <w:spacing w:after="0"/>
              <w:rPr>
                <w:sz w:val="4"/>
                <w:szCs w:val="4"/>
                <w:color w:val="auto"/>
              </w:rPr>
            </w:pPr>
          </w:p>
        </w:tc>
        <w:tc>
          <w:tcPr>
            <w:tcW w:w="840" w:type="dxa"/>
            <w:vAlign w:val="bottom"/>
            <w:gridSpan w:val="2"/>
          </w:tcPr>
          <w:p>
            <w:pPr>
              <w:spacing w:after="0" w:line="50" w:lineRule="exact"/>
              <w:rPr>
                <w:sz w:val="20"/>
                <w:szCs w:val="20"/>
                <w:color w:val="auto"/>
              </w:rPr>
            </w:pPr>
            <w:r>
              <w:rPr>
                <w:rFonts w:ascii="Arial" w:cs="Arial" w:eastAsia="Arial" w:hAnsi="Arial"/>
                <w:sz w:val="5"/>
                <w:szCs w:val="5"/>
                <w:b w:val="1"/>
                <w:bCs w:val="1"/>
                <w:color w:val="auto"/>
              </w:rPr>
              <w:t>Accumulated</w:t>
            </w:r>
          </w:p>
        </w:tc>
        <w:tc>
          <w:tcPr>
            <w:tcW w:w="960" w:type="dxa"/>
            <w:vAlign w:val="bottom"/>
            <w:gridSpan w:val="3"/>
          </w:tcPr>
          <w:p>
            <w:pPr>
              <w:jc w:val="center"/>
              <w:ind w:right="60"/>
              <w:spacing w:after="0" w:line="50" w:lineRule="exact"/>
              <w:rPr>
                <w:sz w:val="20"/>
                <w:szCs w:val="20"/>
                <w:color w:val="auto"/>
              </w:rPr>
            </w:pPr>
            <w:r>
              <w:rPr>
                <w:rFonts w:ascii="Arial" w:cs="Arial" w:eastAsia="Arial" w:hAnsi="Arial"/>
                <w:sz w:val="5"/>
                <w:szCs w:val="5"/>
                <w:b w:val="1"/>
                <w:bCs w:val="1"/>
                <w:color w:val="auto"/>
              </w:rPr>
              <w:t>comprehensive</w:t>
            </w:r>
          </w:p>
        </w:tc>
        <w:tc>
          <w:tcPr>
            <w:tcW w:w="960" w:type="dxa"/>
            <w:vAlign w:val="bottom"/>
            <w:gridSpan w:val="3"/>
          </w:tcPr>
          <w:p>
            <w:pPr>
              <w:ind w:left="60"/>
              <w:spacing w:after="0" w:line="50" w:lineRule="exact"/>
              <w:rPr>
                <w:sz w:val="20"/>
                <w:szCs w:val="20"/>
                <w:color w:val="auto"/>
              </w:rPr>
            </w:pPr>
            <w:r>
              <w:rPr>
                <w:rFonts w:ascii="Arial" w:cs="Arial" w:eastAsia="Arial" w:hAnsi="Arial"/>
                <w:sz w:val="5"/>
                <w:szCs w:val="5"/>
                <w:b w:val="1"/>
                <w:bCs w:val="1"/>
                <w:color w:val="auto"/>
              </w:rPr>
              <w:t>Noncontrolling</w:t>
            </w:r>
          </w:p>
        </w:tc>
        <w:tc>
          <w:tcPr>
            <w:tcW w:w="80" w:type="dxa"/>
            <w:vAlign w:val="bottom"/>
          </w:tcPr>
          <w:p>
            <w:pPr>
              <w:spacing w:after="0"/>
              <w:rPr>
                <w:sz w:val="4"/>
                <w:szCs w:val="4"/>
                <w:color w:val="auto"/>
              </w:rPr>
            </w:pPr>
          </w:p>
        </w:tc>
        <w:tc>
          <w:tcPr>
            <w:tcW w:w="780" w:type="dxa"/>
            <w:vAlign w:val="bottom"/>
          </w:tcPr>
          <w:p>
            <w:pPr>
              <w:jc w:val="center"/>
              <w:ind w:right="13"/>
              <w:spacing w:after="0" w:line="50" w:lineRule="exact"/>
              <w:rPr>
                <w:sz w:val="20"/>
                <w:szCs w:val="20"/>
                <w:color w:val="auto"/>
              </w:rPr>
            </w:pPr>
            <w:r>
              <w:rPr>
                <w:rFonts w:ascii="Arial" w:cs="Arial" w:eastAsia="Arial" w:hAnsi="Arial"/>
                <w:sz w:val="5"/>
                <w:szCs w:val="5"/>
                <w:b w:val="1"/>
                <w:bCs w:val="1"/>
                <w:color w:val="auto"/>
              </w:rPr>
              <w:t>stockholders’</w:t>
            </w:r>
          </w:p>
        </w:tc>
      </w:tr>
      <w:tr>
        <w:trPr>
          <w:trHeight w:val="159"/>
        </w:trPr>
        <w:tc>
          <w:tcPr>
            <w:tcW w:w="27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w w:val="96"/>
              </w:rPr>
              <w:t>in 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2"/>
              </w:rPr>
              <w:t>income (loss)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interest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4"/>
              </w:rPr>
              <w:t>deficit</w:t>
            </w: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67,427,138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42,243,445</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(527,896)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(502,574)</w:t>
            </w: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rPr>
              <w:t>Retroactive application of reverse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0"/>
        </w:trPr>
        <w:tc>
          <w:tcPr>
            <w:tcW w:w="27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capitalization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72,017,208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45,119,147</w:t>
            </w: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451"/>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balance, 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87,362,592</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(527,896)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(502,574)</w:t>
            </w: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rPr>
              <w:t>Stock issuance for exercise of stock</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6"/>
                <w:szCs w:val="16"/>
                <w:color w:val="auto"/>
                <w:w w:val="99"/>
              </w:rPr>
              <w:t>options, net of early exercise liability</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443,179</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601</w:t>
            </w: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Retroactive application of reverse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473,348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3,301</w:t>
            </w: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3"/>
              </w:rPr>
              <w:t>Unrealized holdings gain on investments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securities, available-for-sale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451"/>
              <w:spacing w:after="0"/>
              <w:rPr>
                <w:sz w:val="20"/>
                <w:szCs w:val="20"/>
                <w:color w:val="auto"/>
              </w:rPr>
            </w:pPr>
            <w:r>
              <w:rPr>
                <w:rFonts w:ascii="Arial" w:cs="Arial" w:eastAsia="Arial" w:hAnsi="Arial"/>
                <w:sz w:val="14"/>
                <w:szCs w:val="14"/>
                <w:color w:val="auto"/>
                <w:w w:val="89"/>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Beneficial conversion feature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373,826</w:t>
            </w: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(363,737)</w:t>
            </w:r>
          </w:p>
        </w:tc>
      </w:tr>
      <w:tr>
        <w:trPr>
          <w:trHeight w:val="178"/>
        </w:trPr>
        <w:tc>
          <w:tcPr>
            <w:tcW w:w="2740" w:type="dxa"/>
            <w:vAlign w:val="bottom"/>
          </w:tcPr>
          <w:p>
            <w:pPr>
              <w:ind w:left="20"/>
              <w:spacing w:after="0" w:line="178" w:lineRule="exact"/>
              <w:rPr>
                <w:sz w:val="20"/>
                <w:szCs w:val="20"/>
                <w:color w:val="auto"/>
              </w:rPr>
            </w:pPr>
            <w:r>
              <w:rPr>
                <w:rFonts w:ascii="Arial" w:cs="Arial" w:eastAsia="Arial" w:hAnsi="Arial"/>
                <w:sz w:val="16"/>
                <w:szCs w:val="16"/>
                <w:color w:val="auto"/>
              </w:rPr>
              <w:t>Balance,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88,279,119</w:t>
            </w:r>
          </w:p>
        </w:tc>
        <w:tc>
          <w:tcPr>
            <w:tcW w:w="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403,041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(891,633)</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center"/>
              <w:ind w:left="451"/>
              <w:spacing w:after="0"/>
              <w:rPr>
                <w:sz w:val="20"/>
                <w:szCs w:val="20"/>
                <w:color w:val="auto"/>
              </w:rPr>
            </w:pPr>
            <w:r>
              <w:rPr>
                <w:rFonts w:ascii="Arial" w:cs="Arial" w:eastAsia="Arial" w:hAnsi="Arial"/>
                <w:sz w:val="14"/>
                <w:szCs w:val="14"/>
                <w:color w:val="auto"/>
                <w:w w:val="89"/>
              </w:rPr>
              <w:t>46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(488,537)</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3"/>
        </w:trPr>
        <w:tc>
          <w:tcPr>
            <w:tcW w:w="2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Balance, December 31, 2019</w:t>
            </w:r>
          </w:p>
        </w:tc>
        <w:tc>
          <w:tcPr>
            <w:tcW w:w="880" w:type="dxa"/>
            <w:vAlign w:val="bottom"/>
          </w:tcPr>
          <w:p>
            <w:pPr>
              <w:jc w:val="right"/>
              <w:spacing w:after="0"/>
              <w:rPr>
                <w:sz w:val="20"/>
                <w:szCs w:val="20"/>
                <w:color w:val="auto"/>
              </w:rPr>
            </w:pPr>
            <w:r>
              <w:rPr>
                <w:rFonts w:ascii="Arial" w:cs="Arial" w:eastAsia="Arial" w:hAnsi="Arial"/>
                <w:sz w:val="14"/>
                <w:szCs w:val="14"/>
                <w:color w:val="auto"/>
              </w:rPr>
              <w:t>67,427,138</w:t>
            </w:r>
          </w:p>
        </w:tc>
        <w:tc>
          <w:tcPr>
            <w:tcW w:w="8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42,686,624</w:t>
            </w:r>
          </w:p>
        </w:tc>
        <w:tc>
          <w:tcPr>
            <w:tcW w:w="60" w:type="dxa"/>
            <w:vAlign w:val="bottom"/>
          </w:tcPr>
          <w:p>
            <w:pPr>
              <w:spacing w:after="0"/>
              <w:rPr>
                <w:sz w:val="18"/>
                <w:szCs w:val="18"/>
                <w:color w:val="auto"/>
              </w:rPr>
            </w:pPr>
          </w:p>
        </w:tc>
        <w:tc>
          <w:tcPr>
            <w:tcW w:w="64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403,046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(891,633)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451"/>
              <w:spacing w:after="0"/>
              <w:rPr>
                <w:sz w:val="20"/>
                <w:szCs w:val="20"/>
                <w:color w:val="auto"/>
              </w:rPr>
            </w:pPr>
            <w:r>
              <w:rPr>
                <w:rFonts w:ascii="Arial" w:cs="Arial" w:eastAsia="Arial" w:hAnsi="Arial"/>
                <w:sz w:val="14"/>
                <w:szCs w:val="14"/>
                <w:color w:val="auto"/>
                <w:w w:val="89"/>
              </w:rPr>
              <w:t>46</w:t>
            </w:r>
          </w:p>
        </w:tc>
        <w:tc>
          <w:tcPr>
            <w:tcW w:w="8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(488,537)</w:t>
            </w: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Retroactive application of reverse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72,017,208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45,592,495</w:t>
            </w: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451"/>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2740" w:type="dxa"/>
            <w:vAlign w:val="bottom"/>
          </w:tcPr>
          <w:p>
            <w:pPr>
              <w:ind w:left="20"/>
              <w:spacing w:after="0"/>
              <w:rPr>
                <w:sz w:val="20"/>
                <w:szCs w:val="20"/>
                <w:color w:val="auto"/>
              </w:rPr>
            </w:pPr>
            <w:r>
              <w:rPr>
                <w:rFonts w:ascii="Arial" w:cs="Arial" w:eastAsia="Arial" w:hAnsi="Arial"/>
                <w:sz w:val="16"/>
                <w:szCs w:val="16"/>
                <w:color w:val="auto"/>
              </w:rPr>
              <w:t>Adjusted balance, beginning of period</w:t>
            </w:r>
          </w:p>
        </w:tc>
        <w:tc>
          <w:tcPr>
            <w:tcW w:w="880" w:type="dxa"/>
            <w:vAlign w:val="bottom"/>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88,279,119</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403,041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(891,633)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left="451"/>
              <w:spacing w:after="0"/>
              <w:rPr>
                <w:sz w:val="20"/>
                <w:szCs w:val="20"/>
                <w:color w:val="auto"/>
              </w:rPr>
            </w:pPr>
            <w:r>
              <w:rPr>
                <w:rFonts w:ascii="Arial" w:cs="Arial" w:eastAsia="Arial" w:hAnsi="Arial"/>
                <w:sz w:val="14"/>
                <w:szCs w:val="14"/>
                <w:color w:val="auto"/>
                <w:w w:val="89"/>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(488,537)</w:t>
            </w: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Stock issuance for exercise of stock</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options, net of early exercise liability</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627,626</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rPr>
              <w:t>Retroactive application of reverse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6"/>
                <w:szCs w:val="16"/>
                <w:color w:val="auto"/>
              </w:rPr>
              <w:t>capitalization</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670,351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7,078</w:t>
            </w: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w w:val="94"/>
              </w:rPr>
              <w:t>Buyback and subsequent cancellation of</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6"/>
                <w:szCs w:val="16"/>
                <w:color w:val="auto"/>
              </w:rPr>
              <w:t>common shares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(179,312)</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(957)</w:t>
            </w: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Retroactive application of reverse</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(191,518)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color w:val="auto"/>
                <w:w w:val="97"/>
              </w:rPr>
              <w:t>Unrealized holdings loss on investment</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0"/>
        </w:trPr>
        <w:tc>
          <w:tcPr>
            <w:tcW w:w="2740" w:type="dxa"/>
            <w:vAlign w:val="bottom"/>
          </w:tcPr>
          <w:p>
            <w:pPr>
              <w:ind w:left="160"/>
              <w:spacing w:after="0"/>
              <w:rPr>
                <w:sz w:val="20"/>
                <w:szCs w:val="20"/>
                <w:color w:val="auto"/>
              </w:rPr>
            </w:pPr>
            <w:r>
              <w:rPr>
                <w:rFonts w:ascii="Arial" w:cs="Arial" w:eastAsia="Arial" w:hAnsi="Arial"/>
                <w:sz w:val="16"/>
                <w:szCs w:val="16"/>
                <w:color w:val="auto"/>
              </w:rPr>
              <w:t>securities, available for sale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Pr>
          <w:p>
            <w:pPr>
              <w:jc w:val="center"/>
              <w:ind w:left="431"/>
              <w:spacing w:after="0"/>
              <w:rPr>
                <w:sz w:val="20"/>
                <w:szCs w:val="20"/>
                <w:color w:val="auto"/>
              </w:rPr>
            </w:pPr>
            <w:r>
              <w:rPr>
                <w:rFonts w:ascii="Arial" w:cs="Arial" w:eastAsia="Arial" w:hAnsi="Arial"/>
                <w:sz w:val="14"/>
                <w:szCs w:val="14"/>
                <w:color w:val="auto"/>
                <w:w w:val="96"/>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 issued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(136,392)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371"/>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(136,392)</w:t>
            </w:r>
          </w:p>
        </w:tc>
      </w:tr>
      <w:tr>
        <w:trPr>
          <w:trHeight w:val="203"/>
        </w:trPr>
        <w:tc>
          <w:tcPr>
            <w:tcW w:w="2740" w:type="dxa"/>
            <w:vAlign w:val="bottom"/>
            <w:tcBorders>
              <w:top w:val="single" w:sz="8" w:color="CCEEFF"/>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Balance, December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139,444,346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89,206,266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411,867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(1,028,982)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center"/>
              <w:ind w:left="451"/>
              <w:spacing w:after="0"/>
              <w:rPr>
                <w:sz w:val="20"/>
                <w:szCs w:val="20"/>
                <w:color w:val="auto"/>
              </w:rPr>
            </w:pPr>
            <w:r>
              <w:rPr>
                <w:rFonts w:ascii="Arial" w:cs="Arial" w:eastAsia="Arial" w:hAnsi="Arial"/>
                <w:sz w:val="14"/>
                <w:szCs w:val="14"/>
                <w:color w:val="auto"/>
                <w:w w:val="89"/>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(613,193)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78"/>
              <w:spacing w:after="0"/>
              <w:rPr>
                <w:sz w:val="20"/>
                <w:szCs w:val="20"/>
                <w:color w:val="auto"/>
              </w:rPr>
            </w:pPr>
            <w:r>
              <w:rPr>
                <w:rFonts w:ascii="Arial" w:cs="Arial" w:eastAsia="Arial" w:hAnsi="Arial"/>
                <w:sz w:val="13"/>
                <w:szCs w:val="13"/>
                <w:b w:val="1"/>
                <w:bCs w:val="1"/>
                <w:color w:val="auto"/>
              </w:rPr>
              <w:t>Years ended December 31,</w:t>
            </w:r>
          </w:p>
        </w:tc>
      </w:tr>
      <w:tr>
        <w:trPr>
          <w:trHeight w:val="169"/>
        </w:trPr>
        <w:tc>
          <w:tcPr>
            <w:tcW w:w="8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(363,737)</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Amortization of notes and securities discount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15,807</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Loss on disposal of property and equipment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Paid in kind interest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11,633</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 of warrants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Change in derivative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(93,751)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138,561</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Accretion, net of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Net realized gains on investment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Amortization of warrants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Asset impairment charges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Accrued retrospective premiums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r>
      <w:tr>
        <w:trPr>
          <w:trHeight w:val="210"/>
        </w:trPr>
        <w:tc>
          <w:tcPr>
            <w:tcW w:w="8020" w:type="dxa"/>
            <w:vAlign w:val="bottom"/>
          </w:tcPr>
          <w:p>
            <w:pPr>
              <w:ind w:left="900"/>
              <w:spacing w:after="0"/>
              <w:rPr>
                <w:sz w:val="20"/>
                <w:szCs w:val="20"/>
                <w:color w:val="auto"/>
              </w:rPr>
            </w:pPr>
            <w:r>
              <w:rPr>
                <w:rFonts w:ascii="Arial" w:cs="Arial" w:eastAsia="Arial" w:hAnsi="Arial"/>
                <w:sz w:val="16"/>
                <w:szCs w:val="16"/>
                <w:color w:val="auto"/>
              </w:rPr>
              <w:t>Other receivables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4,115</w:t>
            </w: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Reinsurance recoverable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63,610</w:t>
            </w:r>
          </w:p>
        </w:tc>
      </w:tr>
      <w:tr>
        <w:trPr>
          <w:trHeight w:val="210"/>
        </w:trPr>
        <w:tc>
          <w:tcPr>
            <w:tcW w:w="8020" w:type="dxa"/>
            <w:vAlign w:val="bottom"/>
          </w:tcPr>
          <w:p>
            <w:pPr>
              <w:ind w:left="90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Healthcare receivables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(14,511)</w:t>
            </w:r>
          </w:p>
        </w:tc>
      </w:tr>
      <w:tr>
        <w:trPr>
          <w:trHeight w:val="210"/>
        </w:trPr>
        <w:tc>
          <w:tcPr>
            <w:tcW w:w="8020" w:type="dxa"/>
            <w:vAlign w:val="bottom"/>
          </w:tcPr>
          <w:p>
            <w:pPr>
              <w:ind w:left="90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(11,933)</w:t>
            </w: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Unpaid claims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23,882</w:t>
            </w:r>
          </w:p>
        </w:tc>
      </w:tr>
      <w:tr>
        <w:trPr>
          <w:trHeight w:val="210"/>
        </w:trPr>
        <w:tc>
          <w:tcPr>
            <w:tcW w:w="8020" w:type="dxa"/>
            <w:vAlign w:val="bottom"/>
          </w:tcPr>
          <w:p>
            <w:pPr>
              <w:ind w:left="90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6,298</w:t>
            </w: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Accrued salaries and benefits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r>
      <w:tr>
        <w:trPr>
          <w:trHeight w:val="210"/>
        </w:trPr>
        <w:tc>
          <w:tcPr>
            <w:tcW w:w="8020" w:type="dxa"/>
            <w:vAlign w:val="bottom"/>
          </w:tcPr>
          <w:p>
            <w:pPr>
              <w:ind w:left="900"/>
              <w:spacing w:after="0"/>
              <w:rPr>
                <w:sz w:val="20"/>
                <w:szCs w:val="20"/>
                <w:color w:val="auto"/>
              </w:rPr>
            </w:pPr>
            <w:r>
              <w:rPr>
                <w:rFonts w:ascii="Arial" w:cs="Arial" w:eastAsia="Arial" w:hAnsi="Arial"/>
                <w:sz w:val="16"/>
                <w:szCs w:val="16"/>
                <w:color w:val="auto"/>
              </w:rPr>
              <w:t>Premium deficiency (benefit) reserve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7,523</w:t>
            </w: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Reinsurance premium payable</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(64,414)</w:t>
            </w:r>
          </w:p>
        </w:tc>
      </w:tr>
      <w:tr>
        <w:trPr>
          <w:trHeight w:val="210"/>
        </w:trPr>
        <w:tc>
          <w:tcPr>
            <w:tcW w:w="8020" w:type="dxa"/>
            <w:vAlign w:val="bottom"/>
          </w:tcPr>
          <w:p>
            <w:pPr>
              <w:ind w:left="900"/>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211"/>
        </w:trPr>
        <w:tc>
          <w:tcPr>
            <w:tcW w:w="80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Other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0"/>
        </w:trPr>
        <w:tc>
          <w:tcPr>
            <w:tcW w:w="80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14,805</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(159,875)</w:t>
            </w:r>
          </w:p>
        </w:tc>
      </w:tr>
      <w:tr>
        <w:trPr>
          <w:trHeight w:val="190"/>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Purchases of available-for-sale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(505,545)</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Proceeds from sales of available-for-sale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248,664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269,205</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Proceeds from maturities of available-for-sale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46,415</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Proceeds from maturities of held-to-maturity securities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9,220</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Acquisition of business, net of cash acquired</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r>
      <w:tr>
        <w:trPr>
          <w:trHeight w:val="210"/>
        </w:trPr>
        <w:tc>
          <w:tcPr>
            <w:tcW w:w="80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(181,908)</w:t>
            </w:r>
          </w:p>
        </w:tc>
      </w:tr>
      <w:tr>
        <w:trPr>
          <w:trHeight w:val="190"/>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Proceeds from issuance of convertible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343,410</w:t>
            </w:r>
          </w:p>
        </w:tc>
      </w:t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Deferred financing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Payment of notes payable principal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ind w:left="600"/>
              <w:spacing w:after="0"/>
              <w:rPr>
                <w:sz w:val="20"/>
                <w:szCs w:val="20"/>
                <w:color w:val="auto"/>
              </w:rPr>
            </w:pPr>
            <w:r>
              <w:rPr>
                <w:rFonts w:ascii="Arial" w:cs="Arial" w:eastAsia="Arial" w:hAnsi="Arial"/>
                <w:sz w:val="16"/>
                <w:szCs w:val="16"/>
                <w:color w:val="auto"/>
              </w:rPr>
              <w:t>Issuance of common stock, net of early exercise liability</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11"/>
        </w:trPr>
        <w:tc>
          <w:tcPr>
            <w:tcW w:w="80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Buyback and subsequent cancellation of common stock</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Issuance of noncontrolling interest</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5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333,978</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(7,805)</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67,598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75,403</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92,348</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67,598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8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Supplemental cash flow disclosures</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Cash paid during the year for interest</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4,578</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6,257</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during the year for health insurance industry fee</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of warrants issued in connection with notes payable</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Settlement of bridge loan in connection with convertible securities</w:t>
            </w:r>
          </w:p>
        </w:tc>
        <w:tc>
          <w:tcPr>
            <w:tcW w:w="5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30,416</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Right-of-use assets obtained in exchange for lease liabilities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6" w:name="page187"/>
    <w:bookmarkEnd w:id="186"/>
    <w:p>
      <w:pPr>
        <w:jc w:val="center"/>
        <w:ind w:right="-60"/>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 Organization and operations</w:t>
      </w:r>
    </w:p>
    <w:p>
      <w:pPr>
        <w:spacing w:after="0" w:line="166" w:lineRule="exact"/>
        <w:rPr>
          <w:sz w:val="20"/>
          <w:szCs w:val="20"/>
          <w:color w:val="auto"/>
        </w:rPr>
      </w:pPr>
    </w:p>
    <w:p>
      <w:pPr>
        <w:ind w:left="1" w:right="20" w:firstLine="297"/>
        <w:spacing w:after="0" w:line="264" w:lineRule="auto"/>
        <w:rPr>
          <w:sz w:val="20"/>
          <w:szCs w:val="20"/>
          <w:color w:val="auto"/>
        </w:rPr>
      </w:pPr>
      <w:r>
        <w:rPr>
          <w:rFonts w:ascii="Arial" w:cs="Arial" w:eastAsia="Arial" w:hAnsi="Arial"/>
          <w:sz w:val="16"/>
          <w:szCs w:val="16"/>
          <w:color w:val="auto"/>
        </w:rPr>
        <w:t>Clover Health Investments, Corp., incorporated on July 17, 2014 in the state of Delaware, together with its affiliates and subsidiaries (collectively, the “Corporation” or “Clover”),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21" w:lineRule="exact"/>
        <w:rPr>
          <w:sz w:val="20"/>
          <w:szCs w:val="20"/>
          <w:color w:val="auto"/>
        </w:rPr>
      </w:pPr>
    </w:p>
    <w:p>
      <w:pPr>
        <w:ind w:left="1" w:right="20" w:firstLine="297"/>
        <w:spacing w:after="0" w:line="266" w:lineRule="auto"/>
        <w:rPr>
          <w:sz w:val="20"/>
          <w:szCs w:val="20"/>
          <w:color w:val="auto"/>
        </w:rPr>
      </w:pPr>
      <w:r>
        <w:rPr>
          <w:rFonts w:ascii="Arial" w:cs="Arial" w:eastAsia="Arial" w:hAnsi="Arial"/>
          <w:sz w:val="16"/>
          <w:szCs w:val="16"/>
          <w:color w:val="auto"/>
        </w:rPr>
        <w:t>Clover’s approach combines technology, data analytics and preventive care to lower costs and increase the quality of health and life of its members. Clover’s technology platform uses machine learning-powered systems to deliver data and insights to physicians at the point of care in order to improve outcomes for members and drive down costs. Clover provides access to a wide network of primary care providers, specialists, and hospitals, enabling its members to see any doctor participating in Medicare willing to accept them. Clover focuses on keeping out-of-pocket costs for its members to a minimum and allows members to pay the same low cost-sharing regardless of whether their doctor is in- or out-of-network.</w:t>
      </w:r>
    </w:p>
    <w:p>
      <w:pPr>
        <w:spacing w:after="0" w:line="118" w:lineRule="exact"/>
        <w:rPr>
          <w:sz w:val="20"/>
          <w:szCs w:val="20"/>
          <w:color w:val="auto"/>
        </w:rPr>
      </w:pPr>
    </w:p>
    <w:p>
      <w:pPr>
        <w:ind w:left="1" w:firstLine="297"/>
        <w:spacing w:after="0" w:line="282" w:lineRule="auto"/>
        <w:rPr>
          <w:sz w:val="20"/>
          <w:szCs w:val="20"/>
          <w:color w:val="auto"/>
        </w:rPr>
      </w:pPr>
      <w:r>
        <w:rPr>
          <w:rFonts w:ascii="Arial" w:cs="Arial" w:eastAsia="Arial" w:hAnsi="Arial"/>
          <w:sz w:val="15"/>
          <w:szCs w:val="15"/>
          <w:color w:val="auto"/>
        </w:rPr>
        <w:t>On October 5, 2020, Clover entered into a Merger Agreement (Merger Agreement) with Social Capital Hedosophia Holdings Corp. III (SCH), a special purpose acquisition company (SPAC). The Business Combination is accounted for as a reverse capitalization in accordance with generally accepted accounting principles in the United States (GAAP). Under the guidance in Accounting Standards Codification (ASC) 805, Clover Health Investments, Corp. is treated as the “acquirer” for financial reporting purposes. The Corporation is deemed the accounting predecessor of the combined business, and the parent company of the combined business is the successor SEC registrant, meaning that the Corporation’s financial statements for previous periods will be disclosed in the registrant’s future periodic reports filed with the SEC. As a result of the merger event, there were simultaneous changes to the Corporation’s convertible securities agreement and certain of the warrant agreements. See Note 13 (Notes and securities payable) and Note 14 (Warrants payable) for additional information regarding these changes to the respective agreements. See also Note 26 (Subsequent events) for additional information related to the merger event.</w:t>
      </w:r>
    </w:p>
    <w:p>
      <w:pPr>
        <w:spacing w:after="0" w:line="105" w:lineRule="exact"/>
        <w:rPr>
          <w:sz w:val="20"/>
          <w:szCs w:val="20"/>
          <w:color w:val="auto"/>
        </w:rPr>
      </w:pPr>
    </w:p>
    <w:p>
      <w:pPr>
        <w:ind w:left="301" w:right="8020" w:hanging="301"/>
        <w:spacing w:after="0" w:line="454" w:lineRule="auto"/>
        <w:tabs>
          <w:tab w:leader="none" w:pos="169"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Basis of presentation</w:t>
      </w:r>
    </w:p>
    <w:p>
      <w:pPr>
        <w:ind w:left="1" w:right="380" w:firstLine="297"/>
        <w:spacing w:after="0" w:line="274" w:lineRule="auto"/>
        <w:rPr>
          <w:sz w:val="20"/>
          <w:szCs w:val="20"/>
          <w:color w:val="auto"/>
        </w:rPr>
      </w:pPr>
      <w:r>
        <w:rPr>
          <w:rFonts w:ascii="Arial" w:cs="Arial" w:eastAsia="Arial" w:hAnsi="Arial"/>
          <w:sz w:val="16"/>
          <w:szCs w:val="16"/>
          <w:color w:val="auto"/>
        </w:rPr>
        <w:t>The Corporation has prepared these Consolidated Financial Statements in accordance with U.S. GAAP, which differs materially from the statutory accounting practices prescribed by various insurance regulatory authorities. The Consolidated Financial Statements include the accounts of the Corporation and its subsidiaries. Intercompany balances and transactions have been eliminated in consolidating these financial statements.</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62" w:lineRule="exact"/>
        <w:rPr>
          <w:sz w:val="20"/>
          <w:szCs w:val="20"/>
          <w:color w:val="auto"/>
        </w:rPr>
      </w:pPr>
    </w:p>
    <w:p>
      <w:pPr>
        <w:ind w:left="1" w:right="240" w:firstLine="297"/>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w:t>
      </w:r>
    </w:p>
    <w:p>
      <w:pPr>
        <w:spacing w:after="0" w:line="99" w:lineRule="exact"/>
        <w:rPr>
          <w:sz w:val="20"/>
          <w:szCs w:val="20"/>
          <w:color w:val="auto"/>
        </w:rPr>
      </w:pPr>
    </w:p>
    <w:p>
      <w:pPr>
        <w:ind w:left="1" w:right="20" w:firstLine="297"/>
        <w:spacing w:after="0" w:line="263" w:lineRule="auto"/>
        <w:rPr>
          <w:sz w:val="20"/>
          <w:szCs w:val="20"/>
          <w:color w:val="auto"/>
        </w:rPr>
      </w:pPr>
      <w:r>
        <w:rPr>
          <w:rFonts w:ascii="Arial" w:cs="Arial" w:eastAsia="Arial" w:hAnsi="Arial"/>
          <w:sz w:val="16"/>
          <w:szCs w:val="16"/>
          <w:color w:val="auto"/>
        </w:rPr>
        <w:t>The areas involving the most significant use of estimates are the amounts incurred but not reported (IBNR) claims, recoveries from third parties for coordination of benefits, and final determination of medical cost adjustment pools.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The assumptions and estimates are based on the Corporation’s knowledge of current events and anticipated future events; however, actual results may differ from the amounts recorded in the Consolidated Financial Statements, and the Corporation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1"/>
          </w:cols>
          <w:pgMar w:left="319" w:top="127" w:right="37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incur a charge to operations in the period in which it determines a shortfall exists. Other areas involving significant estimates include risk adjustment provisions related to Medicare contracts and the valuation of investment securities, goodwill and other intangible assets, warrants, the embedded derivative related to the convertible securities, and stock-based compensation.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162" w:lineRule="exact"/>
        <w:rPr>
          <w:sz w:val="20"/>
          <w:szCs w:val="20"/>
          <w:color w:val="auto"/>
        </w:rPr>
      </w:pPr>
    </w:p>
    <w:p>
      <w:pPr>
        <w:jc w:val="both"/>
        <w:ind w:right="140" w:firstLine="297"/>
        <w:spacing w:after="0" w:line="274" w:lineRule="auto"/>
        <w:rPr>
          <w:sz w:val="20"/>
          <w:szCs w:val="20"/>
          <w:color w:val="auto"/>
        </w:rPr>
      </w:pPr>
      <w:r>
        <w:rPr>
          <w:rFonts w:ascii="Arial" w:cs="Arial" w:eastAsia="Arial" w:hAnsi="Arial"/>
          <w:sz w:val="16"/>
          <w:szCs w:val="16"/>
          <w:color w:val="auto"/>
        </w:rPr>
        <w:t>Certain amounts in the prior years’ Consolidated Statements of Cash Flows have been reclassified to conform to the current year’s presentation, primarily related to the amortization of warrants, amortization of debt issuance costs, and paid in kind interest. These reclassifications had no effect on the previously reported Consolidated Financial Statements.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62" w:lineRule="exact"/>
        <w:rPr>
          <w:sz w:val="20"/>
          <w:szCs w:val="20"/>
          <w:color w:val="auto"/>
        </w:rPr>
      </w:pPr>
    </w:p>
    <w:p>
      <w:pPr>
        <w:ind w:right="260" w:firstLine="297"/>
        <w:spacing w:after="0" w:line="290" w:lineRule="auto"/>
        <w:rPr>
          <w:sz w:val="20"/>
          <w:szCs w:val="20"/>
          <w:color w:val="auto"/>
        </w:rPr>
      </w:pPr>
      <w:r>
        <w:rPr>
          <w:rFonts w:ascii="Arial" w:cs="Arial" w:eastAsia="Arial" w:hAnsi="Arial"/>
          <w:sz w:val="16"/>
          <w:szCs w:val="16"/>
          <w:color w:val="auto"/>
        </w:rPr>
        <w:t>The Corporation’s chief operating decision maker is the Chief Executive Officer. The chief operating decision maker manages operations, allocates resources, and evaluates financial performance on a company-wide basis. The Corporation operates in one reporting segment.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COVID-19</w:t>
      </w:r>
    </w:p>
    <w:p>
      <w:pPr>
        <w:spacing w:after="0" w:line="162"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auto"/>
        </w:rPr>
        <w:t>The temporary deferral of non-essential care resulting from stay-at-home and physical distancing orders and other restrictions on movement and economic activity implemented throughout the country beginning in the second half of March 2020 to reduce the spread of the novel coronavirus (COVID-19) has impacted the Corporation’s business. Beginning in late March 2020 and trending throughout 2020, utilization of healthcare services began to experience reductions as a result of the stay-at-home orders and the closure of certain provider facilities, with some recovery in utilization taking place during times of more eased restrictions. The impact of the deferral of non-essential care was partially offset by additional costs incurred as a result of care for those members who have contracted COVID-19 as well as costs incurred for efforts related to the Corporation’s pandemic response efforts.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62" w:lineRule="exact"/>
        <w:rPr>
          <w:sz w:val="20"/>
          <w:szCs w:val="20"/>
          <w:color w:val="auto"/>
        </w:rPr>
      </w:pPr>
    </w:p>
    <w:p>
      <w:pPr>
        <w:ind w:right="100" w:firstLine="297"/>
        <w:spacing w:after="0" w:line="325" w:lineRule="auto"/>
        <w:rPr>
          <w:sz w:val="20"/>
          <w:szCs w:val="20"/>
          <w:color w:val="auto"/>
        </w:rPr>
      </w:pPr>
      <w:r>
        <w:rPr>
          <w:rFonts w:ascii="Arial" w:cs="Arial" w:eastAsia="Arial" w:hAnsi="Arial"/>
          <w:sz w:val="15"/>
          <w:szCs w:val="15"/>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77" w:lineRule="exact"/>
        <w:rPr>
          <w:sz w:val="20"/>
          <w:szCs w:val="20"/>
          <w:color w:val="auto"/>
        </w:rPr>
      </w:pPr>
    </w:p>
    <w:p>
      <w:pPr>
        <w:ind w:right="680" w:firstLine="297"/>
        <w:spacing w:after="0" w:line="366" w:lineRule="auto"/>
        <w:rPr>
          <w:sz w:val="20"/>
          <w:szCs w:val="20"/>
          <w:color w:val="auto"/>
        </w:rPr>
      </w:pPr>
      <w:r>
        <w:rPr>
          <w:rFonts w:ascii="Arial" w:cs="Arial" w:eastAsia="Arial" w:hAnsi="Arial"/>
          <w:sz w:val="14"/>
          <w:szCs w:val="14"/>
          <w:color w:val="auto"/>
        </w:rPr>
        <w:t>At December 31, 2020 and 2019, the Corporation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Short-term investments</w:t>
      </w:r>
    </w:p>
    <w:p>
      <w:pPr>
        <w:spacing w:after="0" w:line="162" w:lineRule="exact"/>
        <w:rPr>
          <w:sz w:val="20"/>
          <w:szCs w:val="20"/>
          <w:color w:val="auto"/>
        </w:rPr>
      </w:pPr>
    </w:p>
    <w:p>
      <w:pPr>
        <w:ind w:right="160" w:firstLine="297"/>
        <w:spacing w:after="0" w:line="274" w:lineRule="auto"/>
        <w:rPr>
          <w:sz w:val="20"/>
          <w:szCs w:val="20"/>
          <w:color w:val="auto"/>
        </w:rPr>
      </w:pPr>
      <w:r>
        <w:rPr>
          <w:rFonts w:ascii="Arial" w:cs="Arial" w:eastAsia="Arial" w:hAnsi="Arial"/>
          <w:sz w:val="16"/>
          <w:szCs w:val="16"/>
          <w:color w:val="auto"/>
        </w:rPr>
        <w:t>Short-term investments consist of investments which the Corporation expects to convert into cash within one year of the balance sheet date, including time deposits and debt securities, which have original maturities greater than 90 days. Short-term investments are measured at their amortized cost. The carrying value of these instruments approximate their respective fair value due to the short-term maturity of these investments.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Investment securities, available-for-sale</w:t>
      </w:r>
    </w:p>
    <w:p>
      <w:pPr>
        <w:spacing w:after="0" w:line="162"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Investment securities, which consist entirely of debt securities with fixed or determinable payments and fixed maturity dates, that the Corporation purchases with the intent and ability to sell before maturity, are classified as available-for-sale financial assets. The Corporation’s available-for-sale investments are U.S. Treasury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firstLine="297"/>
        <w:spacing w:after="0" w:line="290" w:lineRule="auto"/>
        <w:rPr>
          <w:sz w:val="20"/>
          <w:szCs w:val="20"/>
          <w:color w:val="auto"/>
        </w:rPr>
      </w:pPr>
      <w:r>
        <w:rPr>
          <w:rFonts w:ascii="Arial" w:cs="Arial" w:eastAsia="Arial" w:hAnsi="Arial"/>
          <w:sz w:val="16"/>
          <w:szCs w:val="16"/>
          <w:color w:val="auto"/>
        </w:rPr>
        <w:t>Available-for-sale investments are measured at fair value, and unrealized gains and losses, if any, are recorded in other comprehensive income, net of applicable income taxes, until realized from a sale or other-than-temporary impairment.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Investment securities, held-to-maturity</w:t>
      </w:r>
    </w:p>
    <w:p>
      <w:pPr>
        <w:spacing w:after="0" w:line="162" w:lineRule="exact"/>
        <w:rPr>
          <w:sz w:val="20"/>
          <w:szCs w:val="20"/>
          <w:color w:val="auto"/>
        </w:rPr>
      </w:pPr>
    </w:p>
    <w:p>
      <w:pPr>
        <w:ind w:right="240" w:firstLine="297"/>
        <w:spacing w:after="0" w:line="268" w:lineRule="auto"/>
        <w:rPr>
          <w:sz w:val="20"/>
          <w:szCs w:val="20"/>
          <w:color w:val="auto"/>
        </w:rPr>
      </w:pPr>
      <w:r>
        <w:rPr>
          <w:rFonts w:ascii="Arial" w:cs="Arial" w:eastAsia="Arial" w:hAnsi="Arial"/>
          <w:sz w:val="16"/>
          <w:szCs w:val="16"/>
          <w:color w:val="auto"/>
        </w:rPr>
        <w:t>Investment securities, which consist entirely of debt securities with fixed or determinable payments and fixed maturity dates, where the Corporation has a positive intent and ability to hold to maturity, are classified as held-to-maturity financial assets. The Corporation’s held-to-maturity investments are comprised of U.S. Treasury fixed maturity securities. Subsequent to initial measurement, held-to-maturity investments are measured at amortized cost using the effective interest method less impairment. Unrealized holding gains or losses are not recognized.</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Other-than-temporary impairment</w:t>
      </w:r>
    </w:p>
    <w:p>
      <w:pPr>
        <w:spacing w:after="0" w:line="162"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Corporation considers relevant facts and circumstances in evaluating whether the impairment of a security is other-than-temporary. Relevant facts and circumstances considered include (1) the length of time and extent to which the fair value has been below cost or amortized cost, (2) adverse conditions specifically to the financial condition of the issuer or related to the industry, (3) geographic area of the issuer, or the underlying collateral of a security including the current and future impact of any specific events, (4) the payment structure of the security, (5) changes in credit rating of the security by the rating agencies, (6) the volatility of the fair value changes, and (7) changes in fair value of the security after the balance sheet date and whether it is more likely than not that the Corporation will not be required to sell the security until maturity or until it recovers in value. There are a number of significant risks and uncertainties inherent in the process of monitoring impairments and determining if an impairment is other-than-temporary.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Corporation’s management to determine the fair value estimates and other-than-temporary impairments, and (4) the risk that new information obtained by the Corporation, or changes in other facts and circumstances lead the Corporation to change its intent to hold the security to maturity or until it recovers in value. Any of these situations could result in a charge to operations in a future period.</w:t>
      </w:r>
    </w:p>
    <w:p>
      <w:pPr>
        <w:spacing w:after="0" w:line="119" w:lineRule="exact"/>
        <w:rPr>
          <w:sz w:val="20"/>
          <w:szCs w:val="20"/>
          <w:color w:val="auto"/>
        </w:rPr>
      </w:pPr>
    </w:p>
    <w:p>
      <w:pPr>
        <w:ind w:right="20" w:firstLine="297"/>
        <w:spacing w:after="0" w:line="274" w:lineRule="auto"/>
        <w:rPr>
          <w:sz w:val="20"/>
          <w:szCs w:val="20"/>
          <w:color w:val="auto"/>
        </w:rPr>
      </w:pPr>
      <w:r>
        <w:rPr>
          <w:rFonts w:ascii="Arial" w:cs="Arial" w:eastAsia="Arial" w:hAnsi="Arial"/>
          <w:sz w:val="16"/>
          <w:szCs w:val="16"/>
          <w:color w:val="auto"/>
        </w:rPr>
        <w:t>For a debt security in an unrealized loss position that the Corporation has the intent to sell, or it is more likely than not that the Corporation will have to sell the debt security before recovery of its amortized cost basis, the decline in value is deemed to be other-than-temporary and is recorded to other-than- temporary impairment losses, recognized in investment income, net in the Consolidated Statements of Operations and Comprehensive Loss.</w:t>
      </w:r>
    </w:p>
    <w:p>
      <w:pPr>
        <w:spacing w:after="0" w:line="112" w:lineRule="exact"/>
        <w:rPr>
          <w:sz w:val="20"/>
          <w:szCs w:val="20"/>
          <w:color w:val="auto"/>
        </w:rPr>
      </w:pPr>
    </w:p>
    <w:p>
      <w:pPr>
        <w:ind w:right="260" w:firstLine="297"/>
        <w:spacing w:after="0" w:line="268" w:lineRule="auto"/>
        <w:rPr>
          <w:sz w:val="20"/>
          <w:szCs w:val="20"/>
          <w:color w:val="auto"/>
        </w:rPr>
      </w:pPr>
      <w:r>
        <w:rPr>
          <w:rFonts w:ascii="Arial" w:cs="Arial" w:eastAsia="Arial" w:hAnsi="Arial"/>
          <w:sz w:val="16"/>
          <w:szCs w:val="16"/>
          <w:color w:val="auto"/>
        </w:rPr>
        <w:t>For impaired debt securities that the Corporation does not intend to sell or it is more likely than not that it will not have to sell such securities, but the Corporation expects that it will not fully recover the amortized cost basis, the credit component of the other-than-temporary impairment is recognized in other-than-temporary impairment losses, recognized in investment income, net in the Consolidated Statements of Operations and Comprehensive Loss, and the non-credit component of the other-than-temporary impairment is recognized in other comprehensive income.</w:t>
      </w:r>
    </w:p>
    <w:p>
      <w:pPr>
        <w:spacing w:after="0" w:line="118" w:lineRule="exact"/>
        <w:rPr>
          <w:sz w:val="20"/>
          <w:szCs w:val="20"/>
          <w:color w:val="auto"/>
        </w:rPr>
      </w:pPr>
    </w:p>
    <w:p>
      <w:pPr>
        <w:ind w:right="160" w:firstLine="297"/>
        <w:spacing w:after="0" w:line="266" w:lineRule="auto"/>
        <w:rPr>
          <w:sz w:val="20"/>
          <w:szCs w:val="20"/>
          <w:color w:val="auto"/>
        </w:rPr>
      </w:pPr>
      <w:r>
        <w:rPr>
          <w:rFonts w:ascii="Arial" w:cs="Arial" w:eastAsia="Arial" w:hAnsi="Arial"/>
          <w:sz w:val="16"/>
          <w:szCs w:val="16"/>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Corporation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2020 and 2019, respectively, there has been no impairment loss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Allowance for uncollectible receivables</w:t>
      </w:r>
    </w:p>
    <w:p>
      <w:pPr>
        <w:spacing w:after="0" w:line="162" w:lineRule="exact"/>
        <w:rPr>
          <w:sz w:val="20"/>
          <w:szCs w:val="20"/>
          <w:color w:val="auto"/>
        </w:rPr>
      </w:pPr>
    </w:p>
    <w:p>
      <w:pPr>
        <w:ind w:right="460" w:firstLine="297"/>
        <w:spacing w:after="0" w:line="290" w:lineRule="auto"/>
        <w:rPr>
          <w:sz w:val="20"/>
          <w:szCs w:val="20"/>
          <w:color w:val="auto"/>
        </w:rPr>
      </w:pPr>
      <w:r>
        <w:rPr>
          <w:rFonts w:ascii="Arial" w:cs="Arial" w:eastAsia="Arial" w:hAnsi="Arial"/>
          <w:sz w:val="16"/>
          <w:szCs w:val="16"/>
          <w:color w:val="auto"/>
        </w:rPr>
        <w:t>The Corporation assesses outstanding receivables at each period for collection risk. The majority of collections are from the Center for Medicare and Medicaid Services (CMS), a United States government entity that presents very limited credit risk.</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Investment income, net</w:t>
      </w:r>
    </w:p>
    <w:p>
      <w:pPr>
        <w:spacing w:after="0" w:line="162" w:lineRule="exact"/>
        <w:rPr>
          <w:sz w:val="20"/>
          <w:szCs w:val="20"/>
          <w:color w:val="auto"/>
        </w:rPr>
      </w:pPr>
    </w:p>
    <w:p>
      <w:pPr>
        <w:ind w:right="200" w:firstLine="297"/>
        <w:spacing w:after="0" w:line="274" w:lineRule="auto"/>
        <w:rPr>
          <w:sz w:val="20"/>
          <w:szCs w:val="20"/>
          <w:color w:val="auto"/>
        </w:rPr>
      </w:pPr>
      <w:r>
        <w:rPr>
          <w:rFonts w:ascii="Arial" w:cs="Arial" w:eastAsia="Arial" w:hAnsi="Arial"/>
          <w:sz w:val="16"/>
          <w:szCs w:val="16"/>
          <w:color w:val="auto"/>
        </w:rPr>
        <w:t>Investment income includes interest, dividends received or accrued on investments, and realized gains or losses. Investment income is reported as earned and is presented net of related investment expenses and other-than-temporary impairment. Realized gains or losses are recognized based on the specific identification method. Purchases and sales are recorded on a trade-date basis.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62" w:lineRule="exact"/>
        <w:rPr>
          <w:sz w:val="20"/>
          <w:szCs w:val="20"/>
          <w:color w:val="auto"/>
        </w:rPr>
      </w:pPr>
    </w:p>
    <w:p>
      <w:pPr>
        <w:ind w:right="360" w:firstLine="297"/>
        <w:spacing w:after="0" w:line="290" w:lineRule="auto"/>
        <w:rPr>
          <w:sz w:val="20"/>
          <w:szCs w:val="20"/>
          <w:color w:val="auto"/>
        </w:rPr>
      </w:pPr>
      <w:r>
        <w:rPr>
          <w:rFonts w:ascii="Arial" w:cs="Arial" w:eastAsia="Arial" w:hAnsi="Arial"/>
          <w:sz w:val="16"/>
          <w:szCs w:val="16"/>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99"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auto"/>
        </w:rPr>
        <w:t>To determine the fair value of its investments, the Corporation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21"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Corporation would use in pricing the Corporation’s assets or liabilities based on independently derived and observable market data. Unobservable inputs are inputs that cannot be sourced from a broad active market in which assets or liabilities identical or similar to those of the Corporation are traded.</w:t>
      </w:r>
    </w:p>
    <w:p>
      <w:pPr>
        <w:spacing w:after="0" w:line="118" w:lineRule="exact"/>
        <w:rPr>
          <w:sz w:val="20"/>
          <w:szCs w:val="20"/>
          <w:color w:val="auto"/>
        </w:rPr>
      </w:pPr>
    </w:p>
    <w:p>
      <w:pPr>
        <w:ind w:right="200" w:firstLine="297"/>
        <w:spacing w:after="0" w:line="290" w:lineRule="auto"/>
        <w:rPr>
          <w:sz w:val="20"/>
          <w:szCs w:val="20"/>
          <w:color w:val="auto"/>
        </w:rPr>
      </w:pPr>
      <w:r>
        <w:rPr>
          <w:rFonts w:ascii="Arial" w:cs="Arial" w:eastAsia="Arial" w:hAnsi="Arial"/>
          <w:sz w:val="16"/>
          <w:szCs w:val="16"/>
          <w:color w:val="auto"/>
        </w:rPr>
        <w:t>The fair value hierarchy includes three levels of inputs based on the degree to which the exit price is independently observable or determinable that may be used to measure fair value as described below:</w:t>
      </w:r>
    </w:p>
    <w:p>
      <w:pPr>
        <w:spacing w:after="0" w:line="99" w:lineRule="exact"/>
        <w:rPr>
          <w:sz w:val="20"/>
          <w:szCs w:val="20"/>
          <w:color w:val="auto"/>
        </w:rPr>
      </w:pPr>
    </w:p>
    <w:p>
      <w:pPr>
        <w:jc w:val="both"/>
        <w:ind w:right="160" w:firstLine="297"/>
        <w:spacing w:after="0" w:line="300" w:lineRule="auto"/>
        <w:rPr>
          <w:sz w:val="20"/>
          <w:szCs w:val="20"/>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Valuations are based on quoted (unadjusted) market prices in active markets for identical assets or liabilities. Since valuations are based on quoted prices</w:t>
      </w:r>
      <w:r>
        <w:rPr>
          <w:rFonts w:ascii="Arial" w:cs="Arial" w:eastAsia="Arial" w:hAnsi="Arial"/>
          <w:sz w:val="15"/>
          <w:szCs w:val="15"/>
          <w:i w:val="1"/>
          <w:iCs w:val="1"/>
          <w:color w:val="auto"/>
        </w:rPr>
        <w:t xml:space="preserve"> </w:t>
      </w:r>
      <w:r>
        <w:rPr>
          <w:rFonts w:ascii="Arial" w:cs="Arial" w:eastAsia="Arial" w:hAnsi="Arial"/>
          <w:sz w:val="15"/>
          <w:szCs w:val="15"/>
          <w:color w:val="auto"/>
        </w:rPr>
        <w:t>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95" w:lineRule="exact"/>
        <w:rPr>
          <w:sz w:val="20"/>
          <w:szCs w:val="20"/>
          <w:color w:val="auto"/>
        </w:rPr>
      </w:pPr>
    </w:p>
    <w:p>
      <w:pPr>
        <w:jc w:val="both"/>
        <w:ind w:right="40" w:firstLine="297"/>
        <w:spacing w:after="0" w:line="274"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Valuations are based on observable inputs other than Level 1 prices such as quoted prices in active markets for similar assets or liabilities, quoted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identical or similar assets or liabilities in markets that are not active, or other inputs that are observable or can be corroborated by observable market data for substantially the full term of the assets or liabilities;</w:t>
      </w:r>
    </w:p>
    <w:p>
      <w:pPr>
        <w:spacing w:after="0" w:line="112" w:lineRule="exact"/>
        <w:rPr>
          <w:sz w:val="20"/>
          <w:szCs w:val="20"/>
          <w:color w:val="auto"/>
        </w:rPr>
      </w:pPr>
    </w:p>
    <w:p>
      <w:pPr>
        <w:jc w:val="both"/>
        <w:ind w:right="280" w:firstLine="297"/>
        <w:spacing w:after="0" w:line="366" w:lineRule="auto"/>
        <w:rPr>
          <w:sz w:val="20"/>
          <w:szCs w:val="20"/>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Valuations are based on techniques that use significant inputs that are unobservable and reflect management’s best estimate of what market participants</w:t>
      </w:r>
      <w:r>
        <w:rPr>
          <w:rFonts w:ascii="Arial" w:cs="Arial" w:eastAsia="Arial" w:hAnsi="Arial"/>
          <w:sz w:val="14"/>
          <w:szCs w:val="14"/>
          <w:i w:val="1"/>
          <w:iCs w:val="1"/>
          <w:color w:val="auto"/>
        </w:rPr>
        <w:t xml:space="preserve"> </w:t>
      </w:r>
      <w:r>
        <w:rPr>
          <w:rFonts w:ascii="Arial" w:cs="Arial" w:eastAsia="Arial" w:hAnsi="Arial"/>
          <w:sz w:val="14"/>
          <w:szCs w:val="14"/>
          <w:color w:val="auto"/>
        </w:rPr>
        <w:t>would use when pricing the asset or liability, including assumptions about risk. The valuation of Level 3 assets and liabilities requires the greatest degree of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These measurements may be made under circumstances in which there is little, if any, market activity for the asset or liability. The Corporation’s assessment of the significance of a particular input to the fair value measurement in its entirety requires judgment. In making the assessment, the Corporation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18" w:lineRule="exact"/>
        <w:rPr>
          <w:sz w:val="20"/>
          <w:szCs w:val="20"/>
          <w:color w:val="auto"/>
        </w:rPr>
      </w:pPr>
    </w:p>
    <w:p>
      <w:pPr>
        <w:ind w:right="20" w:firstLine="297"/>
        <w:spacing w:after="0" w:line="263" w:lineRule="auto"/>
        <w:rPr>
          <w:sz w:val="20"/>
          <w:szCs w:val="20"/>
          <w:color w:val="auto"/>
        </w:rPr>
      </w:pPr>
      <w:r>
        <w:rPr>
          <w:rFonts w:ascii="Arial" w:cs="Arial" w:eastAsia="Arial" w:hAnsi="Arial"/>
          <w:sz w:val="16"/>
          <w:szCs w:val="16"/>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Clover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22"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Fair values of warrants and derivative liabilities related to convertible securities are estimated using a probability-weighted expected return method, where the values of various instruments are estimated based on an analysis of future values for the Corporation, assuming various future outcomes. The resulting instruments’ values are based upon the probability-weighted present value of expected future investment returns, considering each of the possible future outcomes available to the Corporation,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the most recent financing by the Corporation, comparing the subject instrument with similar instruments of publicly traded companies in similar lines of business, and reviewing the underlying financial performance of the Corporation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Concentrations of credit risk</w:t>
      </w:r>
    </w:p>
    <w:p>
      <w:pPr>
        <w:spacing w:after="0" w:line="162" w:lineRule="exact"/>
        <w:rPr>
          <w:sz w:val="20"/>
          <w:szCs w:val="20"/>
          <w:color w:val="auto"/>
        </w:rPr>
      </w:pPr>
    </w:p>
    <w:p>
      <w:pPr>
        <w:ind w:right="640" w:firstLine="297"/>
        <w:spacing w:after="0" w:line="325" w:lineRule="auto"/>
        <w:rPr>
          <w:sz w:val="20"/>
          <w:szCs w:val="20"/>
          <w:color w:val="auto"/>
        </w:rPr>
      </w:pPr>
      <w:r>
        <w:rPr>
          <w:rFonts w:ascii="Arial" w:cs="Arial" w:eastAsia="Arial" w:hAnsi="Arial"/>
          <w:sz w:val="15"/>
          <w:szCs w:val="15"/>
          <w:color w:val="auto"/>
        </w:rPr>
        <w:t>Financial instruments that potentially subject the Corporation to concentrations of credit risk consist principally of cash and cash equivalents. Cash and cash equivalents are held with financial institutions of high quality. Balances may exceed the amount of insurance provided on such balances.</w:t>
      </w:r>
    </w:p>
    <w:p>
      <w:pPr>
        <w:spacing w:after="0" w:line="77" w:lineRule="exact"/>
        <w:rPr>
          <w:sz w:val="20"/>
          <w:szCs w:val="20"/>
          <w:color w:val="auto"/>
        </w:rPr>
      </w:pPr>
    </w:p>
    <w:p>
      <w:pPr>
        <w:ind w:right="20" w:firstLine="297"/>
        <w:spacing w:after="0" w:line="300" w:lineRule="auto"/>
        <w:rPr>
          <w:sz w:val="20"/>
          <w:szCs w:val="20"/>
          <w:color w:val="auto"/>
        </w:rPr>
      </w:pPr>
      <w:r>
        <w:rPr>
          <w:rFonts w:ascii="Arial" w:cs="Arial" w:eastAsia="Arial" w:hAnsi="Arial"/>
          <w:sz w:val="15"/>
          <w:szCs w:val="15"/>
          <w:color w:val="auto"/>
        </w:rPr>
        <w:t>The ceding of insurance does not legally discharge the Corporation from its primary liability for the full amount of the policy coverage, and therefore the Corporation will be required to pay the loss and bear collection risk if the reinsurer fails to meet its obligations under the reinsurance agreement. To minimize exposure to significant losses from reinsurance insolvencies, the Corporation evaluates the financial condition of its reinsurers and monitors concentrations of credit risk.</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Acquisition costs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Acquisition costs that vary with and are directly related to the acquisition of new and renewal business, including commissions, are deferred and subsequently</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amortized. Deferred acquisition costs are recorded as other assets on the Consolidated Balance Sheets and are amortized over the estimated life of the related contracts.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amortization of deferred acquisition costs is recorded in general and administrative expenses in the Consolidated Statements of Operations and Comprehensive Loss.</w:t>
      </w:r>
    </w:p>
    <w:p>
      <w:pPr>
        <w:spacing w:after="0" w:line="174" w:lineRule="exact"/>
        <w:rPr>
          <w:sz w:val="20"/>
          <w:szCs w:val="20"/>
          <w:color w:val="auto"/>
        </w:rPr>
      </w:pPr>
    </w:p>
    <w:p>
      <w:pPr>
        <w:ind w:right="660" w:firstLine="297"/>
        <w:spacing w:after="0" w:line="290" w:lineRule="auto"/>
        <w:rPr>
          <w:sz w:val="20"/>
          <w:szCs w:val="20"/>
          <w:color w:val="auto"/>
        </w:rPr>
      </w:pPr>
      <w:r>
        <w:rPr>
          <w:rFonts w:ascii="Arial" w:cs="Arial" w:eastAsia="Arial" w:hAnsi="Arial"/>
          <w:sz w:val="16"/>
          <w:szCs w:val="16"/>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62" w:lineRule="exact"/>
        <w:rPr>
          <w:sz w:val="20"/>
          <w:szCs w:val="20"/>
          <w:color w:val="auto"/>
        </w:rPr>
      </w:pPr>
    </w:p>
    <w:p>
      <w:pPr>
        <w:ind w:right="80" w:firstLine="297"/>
        <w:spacing w:after="0" w:line="292" w:lineRule="auto"/>
        <w:rPr>
          <w:sz w:val="20"/>
          <w:szCs w:val="20"/>
          <w:color w:val="auto"/>
        </w:rPr>
      </w:pPr>
      <w:r>
        <w:rPr>
          <w:rFonts w:ascii="Arial" w:cs="Arial" w:eastAsia="Arial" w:hAnsi="Arial"/>
          <w:sz w:val="15"/>
          <w:szCs w:val="15"/>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in other income (loss).</w:t>
      </w:r>
    </w:p>
    <w:p>
      <w:pPr>
        <w:spacing w:after="0" w:line="100" w:lineRule="exact"/>
        <w:rPr>
          <w:sz w:val="20"/>
          <w:szCs w:val="20"/>
          <w:color w:val="auto"/>
        </w:rPr>
      </w:pPr>
    </w:p>
    <w:p>
      <w:pPr>
        <w:ind w:right="200" w:firstLine="297"/>
        <w:spacing w:after="0" w:line="274" w:lineRule="auto"/>
        <w:rPr>
          <w:sz w:val="20"/>
          <w:szCs w:val="20"/>
          <w:color w:val="auto"/>
        </w:rPr>
      </w:pPr>
      <w:r>
        <w:rPr>
          <w:rFonts w:ascii="Arial" w:cs="Arial" w:eastAsia="Arial" w:hAnsi="Arial"/>
          <w:sz w:val="16"/>
          <w:szCs w:val="16"/>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62" w:lineRule="exact"/>
        <w:rPr>
          <w:sz w:val="20"/>
          <w:szCs w:val="20"/>
          <w:color w:val="auto"/>
        </w:rPr>
      </w:pPr>
    </w:p>
    <w:p>
      <w:pPr>
        <w:ind w:right="100" w:firstLine="297"/>
        <w:spacing w:after="0" w:line="292" w:lineRule="auto"/>
        <w:rPr>
          <w:sz w:val="20"/>
          <w:szCs w:val="20"/>
          <w:color w:val="auto"/>
        </w:rPr>
      </w:pPr>
      <w:r>
        <w:rPr>
          <w:rFonts w:ascii="Arial" w:cs="Arial" w:eastAsia="Arial" w:hAnsi="Arial"/>
          <w:sz w:val="15"/>
          <w:szCs w:val="15"/>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100" w:lineRule="exact"/>
        <w:rPr>
          <w:sz w:val="20"/>
          <w:szCs w:val="20"/>
          <w:color w:val="auto"/>
        </w:rPr>
      </w:pPr>
    </w:p>
    <w:p>
      <w:pPr>
        <w:ind w:right="20" w:firstLine="297"/>
        <w:spacing w:after="0" w:line="282" w:lineRule="auto"/>
        <w:rPr>
          <w:sz w:val="20"/>
          <w:szCs w:val="20"/>
          <w:color w:val="auto"/>
        </w:rPr>
      </w:pPr>
      <w:r>
        <w:rPr>
          <w:rFonts w:ascii="Arial" w:cs="Arial" w:eastAsia="Arial" w:hAnsi="Arial"/>
          <w:sz w:val="15"/>
          <w:szCs w:val="15"/>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2020 and 2019, respectively.</w:t>
      </w:r>
    </w:p>
    <w:p>
      <w:pPr>
        <w:spacing w:after="0" w:line="109"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Corporation may elect to bypass a qualitative assessment, or if a qualitative assessment indicates it is more likely than not that the estimated carrying value exceeds the fair value, the Corporation will test for impairment using a quantitative process. If the Corporation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Corporation and the resulting cash flows. As of December 31, 2020 and 2019, respectively, there were no circumstances that indicate that the carrying amount of intangible assets deemed to have an indefinite useful life may not be recoverable.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Reinsurance</w:t>
      </w:r>
    </w:p>
    <w:p>
      <w:pPr>
        <w:spacing w:after="0" w:line="162"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In the normal course of business, the Corporation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collectability of the reinsurance recoverable is evaluated based upon a number of factors. Such factors include the amounts outstanding, length of collection periods, disputes, any collateral or letters of credit held and other relevant factors. To the extent that an allowance for uncollectible reinsurance recoverable is established, amounts deemed to be uncollectible would be written off against the allowance for estimated uncollectible reinsurance recoverable. The Corporation had no allowances for uncollectible reinsurance recoverable as of December 31, 2020 and 2019, respectively. Amounts recoverable from reinsurers are estimated in a manner consistent with the liability associated with the reinsured business and consistent with the terms of the underlying contracts. Although reinsurance agreements contractually obligate reinsurers to reimburse the Corporation for their share of losses, they do not discharge the primary liability of the Corporation. The Corporation remains liable for unpaid claims and claims adjustment expenses associated with ceded insured risks in the event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Unpaid claims</w:t>
      </w:r>
    </w:p>
    <w:p>
      <w:pPr>
        <w:spacing w:after="0" w:line="162"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Unpaid claims and unpaid claims adjustment expenses include reported claims and IBNR, as well as the estimated expense of processing these claims. Management develops an estimate for IBNR using actuarial methodologies and assumptions, primarily based upon historical claim experience.</w:t>
      </w:r>
    </w:p>
    <w:p>
      <w:pPr>
        <w:spacing w:after="0" w:line="99"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18" w:lineRule="exact"/>
        <w:rPr>
          <w:sz w:val="20"/>
          <w:szCs w:val="20"/>
          <w:color w:val="auto"/>
        </w:rPr>
      </w:pPr>
    </w:p>
    <w:p>
      <w:pPr>
        <w:ind w:right="40" w:firstLine="297"/>
        <w:spacing w:after="0" w:line="281" w:lineRule="auto"/>
        <w:rPr>
          <w:sz w:val="20"/>
          <w:szCs w:val="20"/>
          <w:color w:val="auto"/>
        </w:rPr>
      </w:pPr>
      <w:r>
        <w:rPr>
          <w:rFonts w:ascii="Arial" w:cs="Arial" w:eastAsia="Arial" w:hAnsi="Arial"/>
          <w:sz w:val="15"/>
          <w:szCs w:val="15"/>
          <w:color w:val="auto"/>
        </w:rPr>
        <w:t>Liabilities for both reported claims and IBNR not yet processed through the Corporation’s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Corporation’s reserving practice is to consistently recognize an actuarial best estimate inclusive of a provision for moderately adverse conditions. This provision is reported as part of incurred claims.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Medical claims incurred</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Corporation recognizes the cost of medical claims in the period in which services are provided, including an estimate of the cost of medical claims IBNR.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Medical claim expense reported in the Consolidated Statements of Operations and Comprehensive Loss includes direct medical expenses.</w:t>
      </w:r>
    </w:p>
    <w:p>
      <w:pPr>
        <w:spacing w:after="0" w:line="151"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Direct medical expenses include amounts paid or payable to hospitals, physicians, pharmacy benefit managers, providers of ancillary services, mandatory supplemental benefits, and is inclusive of the medical expense related to the Corporation’s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in healthcare receivable in the Consolidated Balance Sheets. Overpayments to providers are recognized as a contra medical expense and reported as other receivables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Premium deficiency reserve</w:t>
      </w:r>
    </w:p>
    <w:p>
      <w:pPr>
        <w:spacing w:after="0" w:line="162" w:lineRule="exact"/>
        <w:rPr>
          <w:sz w:val="20"/>
          <w:szCs w:val="20"/>
          <w:color w:val="auto"/>
        </w:rPr>
      </w:pPr>
    </w:p>
    <w:p>
      <w:pPr>
        <w:ind w:right="140" w:firstLine="297"/>
        <w:spacing w:after="0" w:line="290" w:lineRule="auto"/>
        <w:rPr>
          <w:sz w:val="20"/>
          <w:szCs w:val="20"/>
          <w:color w:val="auto"/>
        </w:rPr>
      </w:pPr>
      <w:r>
        <w:rPr>
          <w:rFonts w:ascii="Arial" w:cs="Arial" w:eastAsia="Arial" w:hAnsi="Arial"/>
          <w:sz w:val="16"/>
          <w:szCs w:val="16"/>
          <w:color w:val="auto"/>
        </w:rPr>
        <w:t>A liability for premium deficiency reserves is an actuarial estimate for anticipated losses on the Corporation’s Medicare Advantage and Medicare Advantage Part D (MAPD) business.</w:t>
      </w:r>
    </w:p>
    <w:p>
      <w:pPr>
        <w:spacing w:after="0" w:line="99" w:lineRule="exact"/>
        <w:rPr>
          <w:sz w:val="20"/>
          <w:szCs w:val="20"/>
          <w:color w:val="auto"/>
        </w:rPr>
      </w:pPr>
    </w:p>
    <w:p>
      <w:pPr>
        <w:ind w:right="20" w:firstLine="297"/>
        <w:spacing w:after="0" w:line="274" w:lineRule="auto"/>
        <w:rPr>
          <w:sz w:val="20"/>
          <w:szCs w:val="20"/>
          <w:color w:val="auto"/>
        </w:rPr>
      </w:pPr>
      <w:r>
        <w:rPr>
          <w:rFonts w:ascii="Arial" w:cs="Arial" w:eastAsia="Arial" w:hAnsi="Arial"/>
          <w:sz w:val="16"/>
          <w:szCs w:val="16"/>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spacing w:after="0" w:line="112" w:lineRule="exact"/>
        <w:rPr>
          <w:sz w:val="20"/>
          <w:szCs w:val="20"/>
          <w:color w:val="auto"/>
        </w:rPr>
      </w:pPr>
    </w:p>
    <w:p>
      <w:pPr>
        <w:ind w:right="680" w:firstLine="297"/>
        <w:spacing w:after="0" w:line="290" w:lineRule="auto"/>
        <w:rPr>
          <w:sz w:val="20"/>
          <w:szCs w:val="20"/>
          <w:color w:val="auto"/>
        </w:rPr>
      </w:pPr>
      <w:r>
        <w:rPr>
          <w:rFonts w:ascii="Arial" w:cs="Arial" w:eastAsia="Arial" w:hAnsi="Arial"/>
          <w:sz w:val="16"/>
          <w:szCs w:val="16"/>
          <w:color w:val="auto"/>
        </w:rPr>
        <w:t>For purposes of calculating premium deficiency reserves, management groups contracts in a manner consistent with the method of acquiring, servicing, and measuring the profitability of such contracts.</w:t>
      </w:r>
    </w:p>
    <w:p>
      <w:pPr>
        <w:spacing w:after="0" w:line="99"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Losses recognized as a premium deficiency are recorded in the period in which such losses were identified and reflected in the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12" w:lineRule="exact"/>
        <w:rPr>
          <w:sz w:val="20"/>
          <w:szCs w:val="20"/>
          <w:color w:val="auto"/>
        </w:rPr>
      </w:pPr>
    </w:p>
    <w:p>
      <w:pPr>
        <w:ind w:right="80" w:firstLine="297"/>
        <w:spacing w:after="0" w:line="283" w:lineRule="auto"/>
        <w:rPr>
          <w:sz w:val="20"/>
          <w:szCs w:val="20"/>
          <w:color w:val="auto"/>
        </w:rPr>
      </w:pPr>
      <w:r>
        <w:rPr>
          <w:rFonts w:ascii="Arial" w:cs="Arial" w:eastAsia="Arial" w:hAnsi="Arial"/>
          <w:sz w:val="15"/>
          <w:szCs w:val="15"/>
          <w:color w:val="auto"/>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resumed for calendar year 2020. The HIF is not deductible for income tax purposes. The 2019 premium deficiency reserve is inclusive of the 2020 HIF. The Corporation estimates a liability for the HIF and records it in full once qualifying insurance coverage is provided in the applicable calendar year in which the fee is payable, with a corresponding deferred cost that is amortized ratably to expense over the same calendar year. The deferred cost is recorded in other assets on the Consolidated Balance Sheets. The Corporation paid the federal government approximately $8.0 million for the HIF in 2020, which is reflected in the Consolidated Statements of Operations and Comprehensive Loss.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Notes and securities payable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Debt issuance costs</w:t>
      </w:r>
    </w:p>
    <w:p>
      <w:pPr>
        <w:spacing w:after="0" w:line="162"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Costs incurred in connection with Corporation’s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Non-convertible notes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Corporation records the non-convertible notes at carrying value, net of discounts on the Consolidated Balance Sheets.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Convertible securities</w:t>
      </w:r>
    </w:p>
    <w:p>
      <w:pPr>
        <w:spacing w:after="0" w:line="16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The Corporation accounts for convertible securities in accordance with the accounting guidance for debt with conversion and other options, after determining whether embedded conversion options should be bifurcated from their host instruments.</w:t>
      </w:r>
    </w:p>
    <w:p>
      <w:pPr>
        <w:spacing w:after="0" w:line="99"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Conversion options that are not bifurcated as a derivative and not accounted for as a separate equity component are evaluated to determine whether they are beneficial to the investor at inception, a beneficial conversion feature (BCF), or may become beneficial in the future due to potential adjustments. A BCF is defined as a nondetachable conversion feature that is in the money at the commitment date and the applicable accounting guidance requires recognition of the conversion option’s intrinsic value in equity, with an offsetting reduction to the carrying amount of the instrument. The Corporation accretes the resulting discount using the effective interest method over the life of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The Corporation records, as applicable, discounts to convertible securities for the intrinsic value of conversion options embedded in debt instruments. Discounts on the debt are amortized over the term of the notes, using the effective interest method.</w:t>
      </w:r>
    </w:p>
    <w:p>
      <w:pPr>
        <w:spacing w:after="0" w:line="99"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Convertible securities are recorded at carrying value, net of discounts on the Consolidated Balance Sheets. The fair value of convertible securities is calculated for the purposes of determining the fair value of the related derivative liabilities.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Warrants payable</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For warrants issued in connection with notes payable, the Corporation determines whether the warrants are considered freestanding instruments. The warrants are considered to be freestanding instruments if they meet either of the following conditions: (1) they are entered into separately and apart from any of the Corporation’s other financial instruments or equity transactions or (2) they are entered into in conjunction with some other transaction and are legally detachable and separately exercisable. The Corporation considers its warrants to be legally detachable and separately exercisable from the simultaneous notes payable transactions they were issued with, and therefore accounts for them separately.</w:t>
      </w:r>
    </w:p>
    <w:p>
      <w:pPr>
        <w:spacing w:after="0" w:line="118"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To determine the balance sheet classification for these warrants, the Corporation evaluates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the Consolidated Statements of Operations and Comprehensive Loss.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Derivative liabilities</w:t>
      </w:r>
    </w:p>
    <w:p>
      <w:pPr>
        <w:spacing w:after="0" w:line="162" w:lineRule="exact"/>
        <w:rPr>
          <w:sz w:val="20"/>
          <w:szCs w:val="20"/>
          <w:color w:val="auto"/>
        </w:rPr>
      </w:pPr>
    </w:p>
    <w:p>
      <w:pPr>
        <w:ind w:right="140" w:firstLine="297"/>
        <w:spacing w:after="0" w:line="300" w:lineRule="auto"/>
        <w:rPr>
          <w:sz w:val="20"/>
          <w:szCs w:val="20"/>
          <w:color w:val="auto"/>
        </w:rPr>
      </w:pPr>
      <w:r>
        <w:rPr>
          <w:rFonts w:ascii="Arial" w:cs="Arial" w:eastAsia="Arial" w:hAnsi="Arial"/>
          <w:sz w:val="15"/>
          <w:szCs w:val="15"/>
          <w:color w:val="auto"/>
        </w:rPr>
        <w:t>The Corporation evaluates the embedded features of its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Corporation’s embedded derivatives associated with its convertible securities are recognized as derivative liabilities and recorded at fair value.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Premiums earned, net</w:t>
      </w:r>
    </w:p>
    <w:p>
      <w:pPr>
        <w:spacing w:after="0" w:line="162" w:lineRule="exact"/>
        <w:rPr>
          <w:sz w:val="20"/>
          <w:szCs w:val="20"/>
          <w:color w:val="auto"/>
        </w:rPr>
      </w:pPr>
    </w:p>
    <w:p>
      <w:pPr>
        <w:ind w:right="100" w:firstLine="297"/>
        <w:spacing w:after="0" w:line="300" w:lineRule="auto"/>
        <w:rPr>
          <w:sz w:val="20"/>
          <w:szCs w:val="20"/>
          <w:color w:val="auto"/>
        </w:rPr>
      </w:pPr>
      <w:r>
        <w:rPr>
          <w:rFonts w:ascii="Arial" w:cs="Arial" w:eastAsia="Arial" w:hAnsi="Arial"/>
          <w:sz w:val="15"/>
          <w:szCs w:val="15"/>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on the Consolidated Balance Sheets and recognized as revenue when earned.</w:t>
      </w:r>
    </w:p>
    <w:p>
      <w:pPr>
        <w:spacing w:after="0" w:line="95"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Premiums anticipated to be received within twelve months based on the documented diagnostic criteria of the Corporation’s enrollees are estimated and included in revenue for the period including the member months for which the payment is designated by CMS.</w:t>
      </w:r>
    </w:p>
    <w:p>
      <w:pPr>
        <w:spacing w:after="0" w:line="99"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auto"/>
        </w:rPr>
        <w:t>CMS uses a risk-adjustment model which adjusts premiums paid to MA contracts, based on risk scores that are compared with the overall average risk scores for the relevant state and market pool. Generally, if a risk score is below the average risk score the Corporation is required to make a risk adjustment payment into the risk pool, and if a risk score is above the average risk score the Corporation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Corporation’s estimated cost of providing standard Medicare- 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Consolidated Statements of Operations and Comprehensive Loss, based upon available information.</w:t>
      </w:r>
    </w:p>
    <w:p>
      <w:pPr>
        <w:spacing w:after="0" w:line="162"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MAPD revenue</w:t>
      </w:r>
    </w:p>
    <w:p>
      <w:pPr>
        <w:spacing w:after="0" w:line="162" w:lineRule="exact"/>
        <w:rPr>
          <w:sz w:val="20"/>
          <w:szCs w:val="20"/>
          <w:color w:val="auto"/>
        </w:rPr>
      </w:pPr>
    </w:p>
    <w:p>
      <w:pPr>
        <w:ind w:right="20" w:firstLine="297"/>
        <w:spacing w:after="0" w:line="283" w:lineRule="auto"/>
        <w:rPr>
          <w:sz w:val="20"/>
          <w:szCs w:val="20"/>
          <w:color w:val="auto"/>
        </w:rPr>
      </w:pPr>
      <w:r>
        <w:rPr>
          <w:rFonts w:ascii="Arial" w:cs="Arial" w:eastAsia="Arial" w:hAnsi="Arial"/>
          <w:sz w:val="15"/>
          <w:szCs w:val="15"/>
          <w:color w:val="auto"/>
        </w:rPr>
        <w:t>Payments received from CMS and members from Clover’s participation in the MAPD program are determined from the Corporation’s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Corporation or require the Corporation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09"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18"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Payments from CMS for reinsurance and low-income cost subsidies are based on assumptions submitted with the annual bid. A reconciliation and related settlement of CMS’s prospective subsidies against actual prescription drug costs paid is made after the end of the year. Consumer discounts of 50% on brand name prescription drugs for participants in the coverage gap are funded by CMS and pharmaceutical manufacturers. The Corporation accounts for these subsidies and discounts in other assets in the Consolidated Balance Sheets and as an operating activity in the Consolidated Statements of Cash Flows. The Corporation does not recognize premiums revenue or claim expenses for these subsidies or discounts.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Leases</w:t>
      </w:r>
    </w:p>
    <w:p>
      <w:pPr>
        <w:spacing w:after="0" w:line="162" w:lineRule="exact"/>
        <w:rPr>
          <w:sz w:val="20"/>
          <w:szCs w:val="20"/>
          <w:color w:val="auto"/>
        </w:rPr>
      </w:pPr>
    </w:p>
    <w:p>
      <w:pPr>
        <w:ind w:right="20" w:firstLine="297"/>
        <w:spacing w:after="0" w:line="287" w:lineRule="auto"/>
        <w:rPr>
          <w:sz w:val="20"/>
          <w:szCs w:val="20"/>
          <w:color w:val="auto"/>
        </w:rPr>
      </w:pPr>
      <w:r>
        <w:rPr>
          <w:rFonts w:ascii="Arial" w:cs="Arial" w:eastAsia="Arial" w:hAnsi="Arial"/>
          <w:sz w:val="15"/>
          <w:szCs w:val="15"/>
          <w:color w:val="auto"/>
        </w:rPr>
        <w:t>At the inception of an arrangement, the Corporation determines whether the arrangement is or contains a lease based on the unique facts and circumstances present in the arrangement including the use of an identified asset(s) and the Corporation’s control over the use of that identified asset. The Corporation does not recognize leases with a lease term of one year or less on its balance sheet. Leases with a term greater than one year are recognized on the balance sheet as right-of-use (ROU) assets and lease liabilities. The Corporation has sublease arrangements and recognizes sublease income from leasing excess space. Sublease income is recognized on a straight-line basis over the sublease term. As of December 31, 2020 and 2019, respectively, the Corporation does not have any financing leases.</w:t>
      </w:r>
    </w:p>
    <w:p>
      <w:pPr>
        <w:spacing w:after="0" w:line="106"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As of December 31, 2020 and 2019, respectively, the Corporation has not included optional extension periods in the measurement of its leases as they are not reasonably certain of exercise. The Corporation monitors its plans to renew its material leases on a quarterly basis.</w:t>
      </w:r>
    </w:p>
    <w:p>
      <w:pPr>
        <w:spacing w:after="0" w:line="118"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Where the rates implicit in the Corporation’s leases are not readily determinable, the Corporation utilizes the appropriate incremental borrowing rate, which is the rate incurred to borrow on a collateralized basis over a similar term, an amount equal to the lease payments in a similar economic environment over the lease term. Historically,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340"/>
        <w:spacing w:after="0" w:line="274" w:lineRule="auto"/>
        <w:rPr>
          <w:sz w:val="20"/>
          <w:szCs w:val="20"/>
          <w:color w:val="auto"/>
        </w:rPr>
      </w:pPr>
      <w:r>
        <w:rPr>
          <w:rFonts w:ascii="Arial" w:cs="Arial" w:eastAsia="Arial" w:hAnsi="Arial"/>
          <w:sz w:val="16"/>
          <w:szCs w:val="16"/>
          <w:color w:val="auto"/>
        </w:rPr>
        <w:t>rate implicit in the leases has not been readily determinable and the appropriate incremental borrowing rate has been utilized. To estimate the appropriate incremental borrowing rate, a credit rating applicable to the Corporation is estimated using a synthetic credit rating analysis since the Corporation does not currently have a rating agency-based credit rating.</w:t>
      </w:r>
    </w:p>
    <w:p>
      <w:pPr>
        <w:spacing w:after="0" w:line="112" w:lineRule="exact"/>
        <w:rPr>
          <w:sz w:val="20"/>
          <w:szCs w:val="20"/>
          <w:color w:val="auto"/>
        </w:rPr>
      </w:pPr>
    </w:p>
    <w:p>
      <w:pPr>
        <w:ind w:right="100" w:firstLine="297"/>
        <w:spacing w:after="0" w:line="268" w:lineRule="auto"/>
        <w:rPr>
          <w:sz w:val="20"/>
          <w:szCs w:val="20"/>
          <w:color w:val="auto"/>
        </w:rPr>
      </w:pPr>
      <w:r>
        <w:rPr>
          <w:rFonts w:ascii="Arial" w:cs="Arial" w:eastAsia="Arial" w:hAnsi="Arial"/>
          <w:sz w:val="16"/>
          <w:szCs w:val="16"/>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Corporation has elected to account for lease and non-lease components together as a single lease component for all underlying assets and allocate all of the contract consideration to the lease component only.</w:t>
      </w:r>
    </w:p>
    <w:p>
      <w:pPr>
        <w:spacing w:after="0" w:line="118" w:lineRule="exact"/>
        <w:rPr>
          <w:sz w:val="20"/>
          <w:szCs w:val="20"/>
          <w:color w:val="auto"/>
        </w:rPr>
      </w:pPr>
    </w:p>
    <w:p>
      <w:pPr>
        <w:ind w:firstLine="297"/>
        <w:spacing w:after="0" w:line="318" w:lineRule="auto"/>
        <w:rPr>
          <w:sz w:val="20"/>
          <w:szCs w:val="20"/>
          <w:color w:val="auto"/>
        </w:rPr>
      </w:pPr>
      <w:r>
        <w:rPr>
          <w:rFonts w:ascii="Arial" w:cs="Arial" w:eastAsia="Arial" w:hAnsi="Arial"/>
          <w:sz w:val="14"/>
          <w:szCs w:val="14"/>
          <w:color w:val="auto"/>
        </w:rPr>
        <w:t xml:space="preserve">In determining the classification of a lease as operating or finance, ASC 842, </w:t>
      </w:r>
      <w:r>
        <w:rPr>
          <w:rFonts w:ascii="Arial" w:cs="Arial" w:eastAsia="Arial" w:hAnsi="Arial"/>
          <w:sz w:val="14"/>
          <w:szCs w:val="14"/>
          <w:i w:val="1"/>
          <w:iCs w:val="1"/>
          <w:color w:val="auto"/>
        </w:rPr>
        <w:t>Leases</w:t>
      </w:r>
      <w:r>
        <w:rPr>
          <w:rFonts w:ascii="Arial" w:cs="Arial" w:eastAsia="Arial" w:hAnsi="Arial"/>
          <w:sz w:val="14"/>
          <w:szCs w:val="14"/>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Corporation applies the bright line thresholds referenced in the lease guidance of 75 percent to represent “a major part” and 90 percent to represent “substantially all” as allowed in ASC 842 in evaluating leases for appropriate classification. These are applied consistently to the Corporation’s entire portfolio of leases.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62"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The Corporation accounts for all stock-based payment awards granted to employees and non-employees as stock-based compensation expense at fair value. The Corporation’s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Consolidated Statements of Operations and Comprehensive Loss in salaries and benefits. The Corporation recognizes stock-based compensation expense for the portion of awards that have vested. Forfeitures are recorded as they occur.</w:t>
      </w:r>
    </w:p>
    <w:p>
      <w:pPr>
        <w:spacing w:after="0" w:line="12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option-pricing model. As of December 31, 2020, the Corporation is a private entity and lacks entity-specific historical and implied volatility information. Therefore, it estimates its expected stock volatility based on the historical volatility of a publicly traded set of peer companies. The expected term of the Corporation’s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Corporation has never paid cash dividends on common stock and does not expect to pay any cash dividends in the foreseeable future.</w:t>
      </w:r>
    </w:p>
    <w:p>
      <w:pPr>
        <w:spacing w:after="0" w:line="121" w:lineRule="exact"/>
        <w:rPr>
          <w:sz w:val="20"/>
          <w:szCs w:val="20"/>
          <w:color w:val="auto"/>
        </w:rPr>
      </w:pPr>
    </w:p>
    <w:p>
      <w:pPr>
        <w:ind w:right="80" w:firstLine="297"/>
        <w:spacing w:after="0" w:line="287" w:lineRule="auto"/>
        <w:rPr>
          <w:sz w:val="20"/>
          <w:szCs w:val="20"/>
          <w:color w:val="auto"/>
        </w:rPr>
      </w:pPr>
      <w:r>
        <w:rPr>
          <w:rFonts w:ascii="Arial" w:cs="Arial" w:eastAsia="Arial" w:hAnsi="Arial"/>
          <w:sz w:val="15"/>
          <w:szCs w:val="15"/>
          <w:color w:val="auto"/>
        </w:rPr>
        <w:t>For warrants issued to non-employees as payments for services, the Corporation considers the warrants to be in scope of stock-based compensation guidance to non-employees. To determine whether the warrants should be classified as liabilities or equity awards, the Corporation evaluates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Comprehensive income</w:t>
      </w:r>
    </w:p>
    <w:p>
      <w:pPr>
        <w:spacing w:after="0" w:line="162"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Comprehensive income is a measurement of certain changes in stockholders’ deficit that results from transactions and other economic events other than transactions with the stockholders. The cumulative amount of these changes is reported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Contingent liabilities</w:t>
      </w:r>
    </w:p>
    <w:p>
      <w:pPr>
        <w:spacing w:after="0" w:line="162"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auto"/>
        </w:rPr>
        <w:t>The Corporation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Federal income taxes</w:t>
      </w:r>
    </w:p>
    <w:p>
      <w:pPr>
        <w:spacing w:after="0" w:line="162"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The Corporation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Corporation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As of December 31, 2020 and 2019, respectively, sufficient doubt existed over the Corporation’s ability to generate sufficient taxable income to realize its deferred income tax assets, and accordingly, the Corporation has provided a full valuation allowance against its deferred tax assets.</w:t>
      </w:r>
    </w:p>
    <w:p>
      <w:pPr>
        <w:spacing w:after="0" w:line="124"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The Corporation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Corporation did not have any material uncertain tax positions during the years ended December 31, 2020 and 2019, respectively. The Corporation classifies interest and penalties associated with uncertain tax positions in its provision for income taxes. The Corporation did not incur or record any interest and penalties related to uncertain tax positions as of or during the years ended December 31, 2020 and 2019, respectively.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62" w:lineRule="exact"/>
        <w:rPr>
          <w:sz w:val="20"/>
          <w:szCs w:val="20"/>
          <w:color w:val="auto"/>
        </w:rPr>
      </w:pPr>
    </w:p>
    <w:p>
      <w:pPr>
        <w:ind w:right="340" w:firstLine="297"/>
        <w:spacing w:after="0" w:line="274" w:lineRule="auto"/>
        <w:rPr>
          <w:sz w:val="20"/>
          <w:szCs w:val="20"/>
          <w:color w:val="auto"/>
        </w:rPr>
      </w:pPr>
      <w:r>
        <w:rPr>
          <w:rFonts w:ascii="Arial" w:cs="Arial" w:eastAsia="Arial" w:hAnsi="Arial"/>
          <w:sz w:val="16"/>
          <w:szCs w:val="16"/>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62" w:lineRule="exact"/>
        <w:rPr>
          <w:sz w:val="20"/>
          <w:szCs w:val="20"/>
          <w:color w:val="auto"/>
        </w:rPr>
      </w:pPr>
    </w:p>
    <w:p>
      <w:pPr>
        <w:ind w:right="100" w:firstLine="297"/>
        <w:spacing w:after="0" w:line="292" w:lineRule="auto"/>
        <w:rPr>
          <w:sz w:val="20"/>
          <w:szCs w:val="20"/>
          <w:color w:val="auto"/>
        </w:rPr>
      </w:pPr>
      <w:r>
        <w:rPr>
          <w:rFonts w:ascii="Arial" w:cs="Arial" w:eastAsia="Arial" w:hAnsi="Arial"/>
          <w:sz w:val="15"/>
          <w:szCs w:val="15"/>
          <w:color w:val="auto"/>
        </w:rPr>
        <w:t>The Corporation follows the two-class method when computing net loss per share as the Corporation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00" w:lineRule="exact"/>
        <w:rPr>
          <w:sz w:val="20"/>
          <w:szCs w:val="20"/>
          <w:color w:val="auto"/>
        </w:rPr>
      </w:pPr>
    </w:p>
    <w:p>
      <w:pPr>
        <w:ind w:right="140" w:firstLine="297"/>
        <w:spacing w:after="0" w:line="264"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21" w:lineRule="exact"/>
        <w:rPr>
          <w:sz w:val="20"/>
          <w:szCs w:val="20"/>
          <w:color w:val="auto"/>
        </w:rPr>
      </w:pPr>
    </w:p>
    <w:p>
      <w:pPr>
        <w:ind w:right="480" w:firstLine="297"/>
        <w:spacing w:after="0" w:line="290" w:lineRule="auto"/>
        <w:rPr>
          <w:sz w:val="20"/>
          <w:szCs w:val="20"/>
          <w:color w:val="auto"/>
        </w:rPr>
      </w:pPr>
      <w:r>
        <w:rPr>
          <w:rFonts w:ascii="Arial" w:cs="Arial" w:eastAsia="Arial" w:hAnsi="Arial"/>
          <w:sz w:val="16"/>
          <w:szCs w:val="16"/>
          <w:color w:val="auto"/>
        </w:rPr>
        <w:t>The Corporation’s convertible preferred stock contractually entitles the holders of such shares to participate in dividends but does not contractually require the holders of such shares to participate in losses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Accordingly, in periods in which the Corporation reports a net loss attributable to common stockholders, such losses are not allocated to such participating securities.</w:t>
      </w:r>
    </w:p>
    <w:p>
      <w:pPr>
        <w:spacing w:after="0" w:line="174"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In periods in which the Corporation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Corporation reported a net loss attributable to common stockholders for the years ended December 31, 2020 and 2019.</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Emerging Growth Company</w:t>
      </w:r>
    </w:p>
    <w:p>
      <w:pPr>
        <w:spacing w:after="0" w:line="162" w:lineRule="exact"/>
        <w:rPr>
          <w:sz w:val="20"/>
          <w:szCs w:val="20"/>
          <w:color w:val="auto"/>
        </w:rPr>
      </w:pPr>
    </w:p>
    <w:p>
      <w:pPr>
        <w:ind w:right="120" w:firstLine="297"/>
        <w:spacing w:after="0" w:line="274" w:lineRule="auto"/>
        <w:rPr>
          <w:sz w:val="20"/>
          <w:szCs w:val="20"/>
          <w:color w:val="auto"/>
        </w:rPr>
      </w:pPr>
      <w:r>
        <w:rPr>
          <w:rFonts w:ascii="Arial" w:cs="Arial" w:eastAsia="Arial" w:hAnsi="Arial"/>
          <w:sz w:val="16"/>
          <w:szCs w:val="16"/>
          <w:color w:val="auto"/>
        </w:rPr>
        <w:t>The Corporation has elected to be treated as an “emerging growth company” under the Jumpstart Our Business Startups Act of 2012, or the JOBS Act. Accordingly, the Corporation is provided the option to adopt new or revised accounting guidance either (i) within the same periods as those otherwise applicable to non-emerging growth companies or (ii) within the same time periods as private companies.</w:t>
      </w:r>
    </w:p>
    <w:p>
      <w:pPr>
        <w:spacing w:after="0" w:line="112"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Revenue recognition</w:t>
      </w:r>
    </w:p>
    <w:p>
      <w:pPr>
        <w:spacing w:after="0" w:line="162" w:lineRule="exact"/>
        <w:rPr>
          <w:sz w:val="20"/>
          <w:szCs w:val="20"/>
          <w:color w:val="auto"/>
        </w:rPr>
      </w:pPr>
    </w:p>
    <w:p>
      <w:pPr>
        <w:ind w:right="120" w:firstLine="297"/>
        <w:spacing w:after="0" w:line="264"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as modified by subsequently issued ASU’s 2015-14, 2016-08, 2016-10, 2016-12 and 2016-20 (collectively, ASU 2014-09). ASU 2014-09 superseded</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recognition standards with a single model unless those contracts are within the scope of other standards (e.g., an insurance entity’s insurance contracts). The revenue recognition principle in ASU 2014-09 is that an entity should recognize revenue to depict the transfer of goods or services to customers in an amount that reflects the consideration to which the entity expects to be entitled in exchange for those goods or services. Adoption of ASU 2014-09 did not have a material impact on the Corporation’s Consolidated Financial Statements.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Leases</w:t>
      </w:r>
    </w:p>
    <w:p>
      <w:pPr>
        <w:spacing w:after="0" w:line="162"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In February 2016, the FASB issued ASU 2016-02, ASC 842, as amended, which superseded the lease accounting requirements in ASC 840 and created ASC 842. The Corporation elected to early adopt ASC 842, using the required modified retrospective approach and utilizing the effective date of January 1, 2019 as its date of initial application.</w:t>
      </w:r>
    </w:p>
    <w:p>
      <w:pPr>
        <w:spacing w:after="0" w:line="112"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The Corporation elected the short-term lease expedient for leases with a term of one year or less, which permits a lessee to not recognize lease assets and lease liabilities for those leases. Lessees continue to differentiate between finance leases (previously referred to as capital leases) and operating leases using classification criteria that are substantially similar to the previous guidance. In addition, the Corporation elected to utilize the package of practical expedients which allowed it to not reassess the following: (i) whether any expired or existing contracts contained leases; (ii) the lease classification for any expired or existing leases; and (iii) the treatment of initial direct costs for any existing leases.</w:t>
      </w:r>
    </w:p>
    <w:p>
      <w:pPr>
        <w:spacing w:after="0" w:line="118" w:lineRule="exact"/>
        <w:rPr>
          <w:sz w:val="20"/>
          <w:szCs w:val="20"/>
          <w:color w:val="auto"/>
        </w:rPr>
      </w:pPr>
    </w:p>
    <w:p>
      <w:pPr>
        <w:ind w:right="140" w:firstLine="297"/>
        <w:spacing w:after="0" w:line="274" w:lineRule="auto"/>
        <w:rPr>
          <w:sz w:val="20"/>
          <w:szCs w:val="20"/>
          <w:color w:val="auto"/>
        </w:rPr>
      </w:pPr>
      <w:r>
        <w:rPr>
          <w:rFonts w:ascii="Arial" w:cs="Arial" w:eastAsia="Arial" w:hAnsi="Arial"/>
          <w:sz w:val="16"/>
          <w:szCs w:val="16"/>
          <w:color w:val="auto"/>
        </w:rPr>
        <w:t>In transition, the Corporation elected to utilize the remaining lease term of its leases, as of the effective date, in determining the appropriate incremental borrowing rate. Lease cost for operating leases is recognized on a straight-line basis over the lease term as an operating expense. Variable lease costs are expensed as incurred as an operating expense.</w:t>
      </w:r>
    </w:p>
    <w:p>
      <w:pPr>
        <w:spacing w:after="0" w:line="112"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The adoption of this standard resulted in the recognition of operating lease ROU assets of approximately $14.3 million and lease liabilities of approximately $17.4 million, on the Corporation’s Consolidated Balance Sheets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9" w:name="page200"/>
    <w:bookmarkEnd w:id="199"/>
    <w:p>
      <w:pPr>
        <w:jc w:val="center"/>
        <w:ind w:right="-5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adoption relating to its office leases in New Jersey and San Francisco. The difference between the ROU assets and lease liabilities was due to previously recorded net deferred rent liabilities and incentives that were de-recognized and reclassified into the ROU assets. The adoption of ASU 2016-02 did not have a material impact on the Corporation’s liquidity or the Consolidated Statements of Operations and Comprehensive Loss.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Statement of cash flows</w:t>
      </w:r>
    </w:p>
    <w:p>
      <w:pPr>
        <w:spacing w:after="0" w:line="162"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This update addresses eight specific cash flow issues with the objective of reducing the existing diversity in practice in how certain cash receipts and cash payments are presented and classified. ASU 2016-15 is effective for nonpublic entities in fiscal years beginning after December 15, 2018. The Corporation adopted this ASU effective January 1, 2019. Adoption of ASU 2016-15 did not have a material impact on the Corporation’s Consolidated Financial Statements.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Restricted cash</w:t>
      </w:r>
    </w:p>
    <w:p>
      <w:pPr>
        <w:spacing w:after="0" w:line="162" w:lineRule="exact"/>
        <w:rPr>
          <w:sz w:val="20"/>
          <w:szCs w:val="20"/>
          <w:color w:val="auto"/>
        </w:rPr>
      </w:pPr>
    </w:p>
    <w:p>
      <w:pPr>
        <w:ind w:right="20" w:firstLine="297"/>
        <w:spacing w:after="0" w:line="26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ASU 2016-18 is intended to clarify how entities present restricted cash in the statement of cash flows. The guidance requires entities to show the changes in the total of cash and cash equivalents and restricted cash in the statement of cash flows. As a result, entities will no longer present transfers between cash and cash equivalents and restricted cash in the statement of cash flows. When cash and cash equivalents and restricted cash are presented in more than one line-item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ASU 2016-18 is effective for nonpublic entities in fiscal years beginning after December 15, 2018, and is to be applied retrospectively. The Corporation adopted ASU 2016-18 effective January 1, 2019. Adoption of ASU 2016-18 did not have a material impact on the Corporation’s Consolidated Financial Statements.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Fair value measurements</w:t>
      </w:r>
    </w:p>
    <w:p>
      <w:pPr>
        <w:spacing w:after="0" w:line="162" w:lineRule="exact"/>
        <w:rPr>
          <w:sz w:val="20"/>
          <w:szCs w:val="20"/>
          <w:color w:val="auto"/>
        </w:rPr>
      </w:pPr>
    </w:p>
    <w:p>
      <w:pPr>
        <w:jc w:val="both"/>
        <w:ind w:right="80" w:firstLine="297"/>
        <w:spacing w:after="0" w:line="268"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Changes to Disclosure Requirements for Fair Value Measurements</w:t>
      </w:r>
      <w:r>
        <w:rPr>
          <w:rFonts w:ascii="Arial" w:cs="Arial" w:eastAsia="Arial" w:hAnsi="Arial"/>
          <w:sz w:val="16"/>
          <w:szCs w:val="16"/>
          <w:color w:val="auto"/>
        </w:rPr>
        <w:t>, which improves the effectiveness of disclosure requirements for recurring and nonrecurring fair value measurements. The standard removes, modifies, and adds certain disclosure requirements, and is effective for all entities in fiscal years beginning after December 15, 2019. This standard became effective for the Corporation on January 1, 2020, and did not have a material impact on the Corporation’s disclosures.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Accounting pronouncements effective in future periods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Credit losses</w:t>
      </w:r>
    </w:p>
    <w:p>
      <w:pPr>
        <w:spacing w:after="0" w:line="162" w:lineRule="exact"/>
        <w:rPr>
          <w:sz w:val="20"/>
          <w:szCs w:val="20"/>
          <w:color w:val="auto"/>
        </w:rPr>
      </w:pPr>
    </w:p>
    <w:p>
      <w:pPr>
        <w:ind w:right="20" w:firstLine="297"/>
        <w:spacing w:after="0" w:line="26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was subsequently modified by several ASUs issued in 2018 and 2019. This standard introduces a new current 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Early adoption is permitted. The Corporation has evaluated the impact of ASU 2016-13 on the Consolidated Financial Statements and determined the impact to be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0" w:name="page201"/>
    <w:bookmarkEnd w:id="200"/>
    <w:p>
      <w:pPr>
        <w:jc w:val="center"/>
        <w:ind w:right="-5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Goodwill and other intangible assets</w:t>
      </w:r>
    </w:p>
    <w:p>
      <w:pPr>
        <w:spacing w:after="0" w:line="162"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with early adoption permitted for interim or annual goodwill impairment tests performed on testing dates after January 1, 2017. The Corporation is currently evaluating the impact of the adoption of ASU 2017-04 on the Consolidated Financial Statements.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Cloud computing arrangements</w:t>
      </w:r>
    </w:p>
    <w:p>
      <w:pPr>
        <w:spacing w:after="0" w:line="162"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(Topic 350) – Internal Use Software: Customer’s Accounting for Implementation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Costs Incurred in a Cloud Computing Arrangement That Is a Service Contract. </w:t>
      </w:r>
      <w:r>
        <w:rPr>
          <w:rFonts w:ascii="Arial" w:cs="Arial" w:eastAsia="Arial" w:hAnsi="Arial"/>
          <w:sz w:val="15"/>
          <w:szCs w:val="15"/>
          <w:color w:val="auto"/>
        </w:rPr>
        <w:t>This update changes the accounting guidance for cloud computing arrangements. If a</w:t>
      </w:r>
      <w:r>
        <w:rPr>
          <w:rFonts w:ascii="Arial" w:cs="Arial" w:eastAsia="Arial" w:hAnsi="Arial"/>
          <w:sz w:val="15"/>
          <w:szCs w:val="15"/>
          <w:i w:val="1"/>
          <w:iCs w:val="1"/>
          <w:color w:val="auto"/>
        </w:rPr>
        <w:t xml:space="preserve"> </w:t>
      </w:r>
      <w:r>
        <w:rPr>
          <w:rFonts w:ascii="Arial" w:cs="Arial" w:eastAsia="Arial" w:hAnsi="Arial"/>
          <w:sz w:val="15"/>
          <w:szCs w:val="15"/>
          <w:color w:val="auto"/>
        </w:rPr>
        <w:t>cloud computing arrangement includes a license to internal-use software, then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is currently evaluating the impact of the adoption of ASU 2018-15 on the Consolidated Financial Statements.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Income taxes</w:t>
      </w:r>
    </w:p>
    <w:p>
      <w:pPr>
        <w:spacing w:after="0" w:line="16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with early adoption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the adoption of ASU 2019-12 on the Consolidated Financial Statements.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Accounting for convertible instruments and contracts in an entity’s own equity</w:t>
      </w:r>
    </w:p>
    <w:p>
      <w:pPr>
        <w:spacing w:after="0" w:line="162"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 xml:space="preserve">In August 2020, the FASB issued ASU 2020-06, </w:t>
      </w:r>
      <w:r>
        <w:rPr>
          <w:rFonts w:ascii="Arial" w:cs="Arial" w:eastAsia="Arial" w:hAnsi="Arial"/>
          <w:sz w:val="15"/>
          <w:szCs w:val="15"/>
          <w:i w:val="1"/>
          <w:iCs w:val="1"/>
          <w:color w:val="auto"/>
        </w:rPr>
        <w:t>Debt—Debt with Conversion and Other Options (Subtopic 470-20) and Derivatives and Hedging—Contracts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Entity’s Own Equity (Subtopic 815-40). </w:t>
      </w:r>
      <w:r>
        <w:rPr>
          <w:rFonts w:ascii="Arial" w:cs="Arial" w:eastAsia="Arial" w:hAnsi="Arial"/>
          <w:sz w:val="15"/>
          <w:szCs w:val="15"/>
          <w:color w:val="auto"/>
        </w:rPr>
        <w:t>The amendments in ASU 2020-06 simplify the accounting for convertible instruments by removing certain separation models for</w:t>
      </w:r>
      <w:r>
        <w:rPr>
          <w:rFonts w:ascii="Arial" w:cs="Arial" w:eastAsia="Arial" w:hAnsi="Arial"/>
          <w:sz w:val="15"/>
          <w:szCs w:val="15"/>
          <w:i w:val="1"/>
          <w:iCs w:val="1"/>
          <w:color w:val="auto"/>
        </w:rPr>
        <w:t xml:space="preserve"> </w:t>
      </w:r>
      <w:r>
        <w:rPr>
          <w:rFonts w:ascii="Arial" w:cs="Arial" w:eastAsia="Arial" w:hAnsi="Arial"/>
          <w:sz w:val="15"/>
          <w:szCs w:val="15"/>
          <w:color w:val="auto"/>
        </w:rPr>
        <w:t>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The Corporation is currently evaluating the impact of the adoption of ASU 2020-06 on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Reverse capitalization</w:t>
      </w:r>
    </w:p>
    <w:p>
      <w:pPr>
        <w:spacing w:after="0" w:line="166" w:lineRule="exact"/>
        <w:rPr>
          <w:sz w:val="20"/>
          <w:szCs w:val="20"/>
          <w:color w:val="auto"/>
        </w:rPr>
      </w:pPr>
    </w:p>
    <w:p>
      <w:pPr>
        <w:ind w:right="160" w:firstLine="297"/>
        <w:spacing w:after="0" w:line="274" w:lineRule="auto"/>
        <w:rPr>
          <w:sz w:val="20"/>
          <w:szCs w:val="20"/>
          <w:color w:val="auto"/>
        </w:rPr>
      </w:pPr>
      <w:r>
        <w:rPr>
          <w:rFonts w:ascii="Arial" w:cs="Arial" w:eastAsia="Arial" w:hAnsi="Arial"/>
          <w:sz w:val="16"/>
          <w:szCs w:val="16"/>
          <w:color w:val="auto"/>
        </w:rPr>
        <w:t>The Corporation entered into the Merger Agreement with SCH, a SPAC, on October 5, 2020. Pursuant to the Merger Agreement, and a favorable vote of SCH’s stockholders on January 6, 2021, Asclepius Merger Sub Inc., a Delaware corporation and a newly formed, wholly owned subsidiary of SCH (Merger Sub), was merged 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into the Corporation. Upon consummation of the business combination, the separate corporate existence of Merger Sub ceased, the Corporation survived and merged with and into SCH, with SCH as the surviving corporation, and SCH was renamed Clover Health Investments, Corp. (the “Business Combination”).</w:t>
      </w:r>
    </w:p>
    <w:p>
      <w:pPr>
        <w:spacing w:after="0" w:line="99"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The Business Combination was accounted for as a reverse capitalization in accordance with U.S. GAAP. Under the guidance in ASC 805, Clover Health Investments, Corp. is treated as the “acquirer” for financial reporting purposes. As such, Clover is deemed the accounting predecessor of the combined business, and Clover, as the parent company of the combined business, is the successor SEC registrant, meaning that the Clover financial statements for previous periods will be disclosed in the registrant’s future periodic reports filed with the SEC.</w:t>
      </w:r>
    </w:p>
    <w:p>
      <w:pPr>
        <w:spacing w:after="0" w:line="118" w:lineRule="exact"/>
        <w:rPr>
          <w:sz w:val="20"/>
          <w:szCs w:val="20"/>
          <w:color w:val="auto"/>
        </w:rPr>
      </w:pPr>
    </w:p>
    <w:p>
      <w:pPr>
        <w:jc w:val="both"/>
        <w:ind w:right="180" w:firstLine="297"/>
        <w:spacing w:after="0" w:line="274" w:lineRule="auto"/>
        <w:rPr>
          <w:sz w:val="20"/>
          <w:szCs w:val="20"/>
          <w:color w:val="auto"/>
        </w:rPr>
      </w:pPr>
      <w:r>
        <w:rPr>
          <w:rFonts w:ascii="Arial" w:cs="Arial" w:eastAsia="Arial" w:hAnsi="Arial"/>
          <w:sz w:val="16"/>
          <w:szCs w:val="16"/>
          <w:color w:val="auto"/>
        </w:rPr>
        <w:t>Pursuant to U.S. GAAP, the Corporation retroactively applied the reverse capitalization to our equity structure for the years ended December 31, 2020 and 2019, as summarized below and reflected in the Consolidated Balance Sheets, Consolidated Statements of Operations and Comprehensive Loss, and Consolidated Statements of Changes in Convertible Preferred Stock and Stockholders’ Deficit.</w:t>
      </w:r>
    </w:p>
    <w:p>
      <w:pPr>
        <w:spacing w:after="0" w:line="112" w:lineRule="exact"/>
        <w:rPr>
          <w:sz w:val="20"/>
          <w:szCs w:val="20"/>
          <w:color w:val="auto"/>
        </w:rPr>
      </w:pPr>
    </w:p>
    <w:p>
      <w:pPr>
        <w:ind w:right="280" w:firstLine="297"/>
        <w:spacing w:after="0" w:line="274" w:lineRule="auto"/>
        <w:rPr>
          <w:sz w:val="20"/>
          <w:szCs w:val="20"/>
          <w:color w:val="auto"/>
        </w:rPr>
      </w:pPr>
      <w:r>
        <w:rPr>
          <w:rFonts w:ascii="Arial" w:cs="Arial" w:eastAsia="Arial" w:hAnsi="Arial"/>
          <w:sz w:val="16"/>
          <w:szCs w:val="16"/>
          <w:color w:val="auto"/>
        </w:rPr>
        <w:t>Unless otherwise indicated, all of the Corporation’s common stock as well as previously issued stock options presented in the accompanying retroactively revised Consolidated Statements of Changes in Convertible Preferred Stock and Stockholders’ Deficit or in the related notes are presented on an as- or as if-converted basis, converted at the ratio of approximately 2.0681 and presented as shares or awards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Retroactive application of reverse capitalization to 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Date</w:t>
            </w:r>
          </w:p>
        </w:tc>
        <w:tc>
          <w:tcPr>
            <w:tcW w:w="4720" w:type="dxa"/>
            <w:vAlign w:val="bottom"/>
            <w:gridSpan w:val="2"/>
            <w:vMerge w:val="restart"/>
          </w:tcPr>
          <w:p>
            <w:pPr>
              <w:ind w:left="1980"/>
              <w:spacing w:after="0"/>
              <w:rPr>
                <w:sz w:val="20"/>
                <w:szCs w:val="20"/>
                <w:color w:val="auto"/>
              </w:rPr>
            </w:pPr>
            <w:r>
              <w:rPr>
                <w:rFonts w:ascii="Arial" w:cs="Arial" w:eastAsia="Arial" w:hAnsi="Arial"/>
                <w:sz w:val="13"/>
                <w:szCs w:val="13"/>
                <w:b w:val="1"/>
                <w:bCs w:val="1"/>
                <w:color w:val="auto"/>
              </w:rPr>
              <w:t>Description</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As previously</w:t>
            </w:r>
          </w:p>
        </w:tc>
        <w:tc>
          <w:tcPr>
            <w:tcW w:w="1560" w:type="dxa"/>
            <w:vAlign w:val="bottom"/>
          </w:tcPr>
          <w:p>
            <w:pPr>
              <w:jc w:val="right"/>
              <w:ind w:right="540"/>
              <w:spacing w:after="0"/>
              <w:rPr>
                <w:sz w:val="20"/>
                <w:szCs w:val="20"/>
                <w:color w:val="auto"/>
              </w:rPr>
            </w:pPr>
            <w:r>
              <w:rPr>
                <w:rFonts w:ascii="Arial" w:cs="Arial" w:eastAsia="Arial" w:hAnsi="Arial"/>
                <w:sz w:val="13"/>
                <w:szCs w:val="13"/>
                <w:b w:val="1"/>
                <w:bCs w:val="1"/>
                <w:color w:val="auto"/>
              </w:rPr>
              <w:t>1/7/21</w:t>
            </w:r>
          </w:p>
        </w:tc>
        <w:tc>
          <w:tcPr>
            <w:tcW w:w="100" w:type="dxa"/>
            <w:vAlign w:val="bottom"/>
          </w:tcPr>
          <w:p>
            <w:pPr>
              <w:spacing w:after="0"/>
              <w:rPr>
                <w:sz w:val="13"/>
                <w:szCs w:val="13"/>
                <w:color w:val="auto"/>
              </w:rPr>
            </w:pPr>
          </w:p>
        </w:tc>
        <w:tc>
          <w:tcPr>
            <w:tcW w:w="1560" w:type="dxa"/>
            <w:vAlign w:val="bottom"/>
          </w:tcPr>
          <w:p>
            <w:pPr>
              <w:jc w:val="right"/>
              <w:ind w:right="160"/>
              <w:spacing w:after="0"/>
              <w:rPr>
                <w:sz w:val="20"/>
                <w:szCs w:val="20"/>
                <w:color w:val="auto"/>
              </w:rPr>
            </w:pPr>
            <w:r>
              <w:rPr>
                <w:rFonts w:ascii="Arial" w:cs="Arial" w:eastAsia="Arial" w:hAnsi="Arial"/>
                <w:sz w:val="13"/>
                <w:szCs w:val="13"/>
                <w:b w:val="1"/>
                <w:bCs w:val="1"/>
                <w:color w:val="auto"/>
              </w:rPr>
              <w:t>Reverse capitalized</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reported</w:t>
            </w:r>
          </w:p>
        </w:tc>
        <w:tc>
          <w:tcPr>
            <w:tcW w:w="1660" w:type="dxa"/>
            <w:vAlign w:val="bottom"/>
            <w:gridSpan w:val="2"/>
          </w:tcPr>
          <w:p>
            <w:pPr>
              <w:ind w:left="320"/>
              <w:spacing w:after="0"/>
              <w:rPr>
                <w:sz w:val="20"/>
                <w:szCs w:val="20"/>
                <w:color w:val="auto"/>
              </w:rPr>
            </w:pPr>
            <w:r>
              <w:rPr>
                <w:rFonts w:ascii="Arial" w:cs="Arial" w:eastAsia="Arial" w:hAnsi="Arial"/>
                <w:sz w:val="13"/>
                <w:szCs w:val="13"/>
                <w:b w:val="1"/>
                <w:bCs w:val="1"/>
                <w:color w:val="auto"/>
              </w:rPr>
              <w:t>conversion ratio</w:t>
            </w:r>
          </w:p>
        </w:tc>
        <w:tc>
          <w:tcPr>
            <w:tcW w:w="1560" w:type="dxa"/>
            <w:vAlign w:val="bottom"/>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204"/>
        </w:trPr>
        <w:tc>
          <w:tcPr>
            <w:tcW w:w="154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92"/>
              </w:rPr>
              <w:t>12/31/2019</w:t>
            </w:r>
          </w:p>
        </w:tc>
        <w:tc>
          <w:tcPr>
            <w:tcW w:w="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Convertible preferred shares authorized</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75,136,086</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155,387,025</w:t>
            </w:r>
          </w:p>
        </w:tc>
        <w:tc>
          <w:tcPr>
            <w:tcW w:w="0" w:type="dxa"/>
            <w:vAlign w:val="bottom"/>
          </w:tcPr>
          <w:p>
            <w:pPr>
              <w:spacing w:after="0"/>
              <w:rPr>
                <w:sz w:val="1"/>
                <w:szCs w:val="1"/>
                <w:color w:val="auto"/>
              </w:rPr>
            </w:pPr>
          </w:p>
        </w:tc>
      </w:tr>
      <w:tr>
        <w:trPr>
          <w:trHeight w:val="210"/>
        </w:trPr>
        <w:tc>
          <w:tcPr>
            <w:tcW w:w="1540" w:type="dxa"/>
            <w:vAlign w:val="bottom"/>
          </w:tcPr>
          <w:p>
            <w:pPr>
              <w:jc w:val="right"/>
              <w:ind w:right="699"/>
              <w:spacing w:after="0"/>
              <w:rPr>
                <w:sz w:val="20"/>
                <w:szCs w:val="20"/>
                <w:color w:val="auto"/>
              </w:rPr>
            </w:pPr>
            <w:r>
              <w:rPr>
                <w:rFonts w:ascii="Arial" w:cs="Arial" w:eastAsia="Arial" w:hAnsi="Arial"/>
                <w:sz w:val="16"/>
                <w:szCs w:val="16"/>
                <w:color w:val="auto"/>
                <w:w w:val="92"/>
              </w:rPr>
              <w:t>12/31/2019</w:t>
            </w:r>
          </w:p>
        </w:tc>
        <w:tc>
          <w:tcPr>
            <w:tcW w:w="1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Arial" w:cs="Arial" w:eastAsia="Arial" w:hAnsi="Arial"/>
                <w:sz w:val="16"/>
                <w:szCs w:val="16"/>
                <w:color w:val="auto"/>
              </w:rPr>
              <w:t>Convertible preferred shares issued and outstanding</w:t>
            </w:r>
          </w:p>
        </w:tc>
        <w:tc>
          <w:tcPr>
            <w:tcW w:w="1560" w:type="dxa"/>
            <w:vAlign w:val="bottom"/>
          </w:tcPr>
          <w:p>
            <w:pPr>
              <w:jc w:val="right"/>
              <w:spacing w:after="0"/>
              <w:rPr>
                <w:sz w:val="20"/>
                <w:szCs w:val="20"/>
                <w:color w:val="auto"/>
              </w:rPr>
            </w:pPr>
            <w:r>
              <w:rPr>
                <w:rFonts w:ascii="Arial" w:cs="Arial" w:eastAsia="Arial" w:hAnsi="Arial"/>
                <w:sz w:val="16"/>
                <w:szCs w:val="16"/>
                <w:color w:val="auto"/>
              </w:rPr>
              <w:t>67,427,138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139,444,346</w:t>
            </w:r>
          </w:p>
        </w:tc>
        <w:tc>
          <w:tcPr>
            <w:tcW w:w="0" w:type="dxa"/>
            <w:vAlign w:val="bottom"/>
          </w:tcPr>
          <w:p>
            <w:pPr>
              <w:spacing w:after="0"/>
              <w:rPr>
                <w:sz w:val="1"/>
                <w:szCs w:val="1"/>
                <w:color w:val="auto"/>
              </w:rPr>
            </w:pPr>
          </w:p>
        </w:tc>
      </w:tr>
      <w:tr>
        <w:trPr>
          <w:trHeight w:val="211"/>
        </w:trPr>
        <w:tc>
          <w:tcPr>
            <w:tcW w:w="15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92"/>
              </w:rPr>
              <w:t>12/31/2019</w:t>
            </w:r>
          </w:p>
        </w:tc>
        <w:tc>
          <w:tcPr>
            <w:tcW w:w="1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shares authorized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351,572,668</w:t>
            </w:r>
          </w:p>
        </w:tc>
        <w:tc>
          <w:tcPr>
            <w:tcW w:w="0" w:type="dxa"/>
            <w:vAlign w:val="bottom"/>
          </w:tcPr>
          <w:p>
            <w:pPr>
              <w:spacing w:after="0"/>
              <w:rPr>
                <w:sz w:val="1"/>
                <w:szCs w:val="1"/>
                <w:color w:val="auto"/>
              </w:rPr>
            </w:pPr>
          </w:p>
        </w:tc>
      </w:tr>
      <w:tr>
        <w:trPr>
          <w:trHeight w:val="210"/>
        </w:trPr>
        <w:tc>
          <w:tcPr>
            <w:tcW w:w="1540" w:type="dxa"/>
            <w:vAlign w:val="bottom"/>
          </w:tcPr>
          <w:p>
            <w:pPr>
              <w:jc w:val="right"/>
              <w:ind w:right="699"/>
              <w:spacing w:after="0"/>
              <w:rPr>
                <w:sz w:val="20"/>
                <w:szCs w:val="20"/>
                <w:color w:val="auto"/>
              </w:rPr>
            </w:pPr>
            <w:r>
              <w:rPr>
                <w:rFonts w:ascii="Arial" w:cs="Arial" w:eastAsia="Arial" w:hAnsi="Arial"/>
                <w:sz w:val="16"/>
                <w:szCs w:val="16"/>
                <w:color w:val="auto"/>
                <w:w w:val="92"/>
              </w:rPr>
              <w:t>12/31/2019</w:t>
            </w:r>
          </w:p>
        </w:tc>
        <w:tc>
          <w:tcPr>
            <w:tcW w:w="1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Arial" w:cs="Arial" w:eastAsia="Arial" w:hAnsi="Arial"/>
                <w:sz w:val="16"/>
                <w:szCs w:val="16"/>
                <w:color w:val="auto"/>
              </w:rPr>
              <w:t>Common shares issued</w:t>
            </w:r>
          </w:p>
        </w:tc>
        <w:tc>
          <w:tcPr>
            <w:tcW w:w="1560" w:type="dxa"/>
            <w:vAlign w:val="bottom"/>
          </w:tcPr>
          <w:p>
            <w:pPr>
              <w:jc w:val="right"/>
              <w:spacing w:after="0"/>
              <w:rPr>
                <w:sz w:val="20"/>
                <w:szCs w:val="20"/>
                <w:color w:val="auto"/>
              </w:rPr>
            </w:pPr>
            <w:r>
              <w:rPr>
                <w:rFonts w:ascii="Arial" w:cs="Arial" w:eastAsia="Arial" w:hAnsi="Arial"/>
                <w:sz w:val="16"/>
                <w:szCs w:val="16"/>
                <w:color w:val="auto"/>
              </w:rPr>
              <w:t>42,877,665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88,674,206</w:t>
            </w:r>
          </w:p>
        </w:tc>
        <w:tc>
          <w:tcPr>
            <w:tcW w:w="0" w:type="dxa"/>
            <w:vAlign w:val="bottom"/>
          </w:tcPr>
          <w:p>
            <w:pPr>
              <w:spacing w:after="0"/>
              <w:rPr>
                <w:sz w:val="1"/>
                <w:szCs w:val="1"/>
                <w:color w:val="auto"/>
              </w:rPr>
            </w:pPr>
          </w:p>
        </w:tc>
      </w:tr>
      <w:tr>
        <w:trPr>
          <w:trHeight w:val="211"/>
        </w:trPr>
        <w:tc>
          <w:tcPr>
            <w:tcW w:w="15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92"/>
              </w:rPr>
              <w:t>12/31/2019</w:t>
            </w:r>
          </w:p>
        </w:tc>
        <w:tc>
          <w:tcPr>
            <w:tcW w:w="1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shares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42,686,624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88,279,119</w:t>
            </w:r>
          </w:p>
        </w:tc>
        <w:tc>
          <w:tcPr>
            <w:tcW w:w="0" w:type="dxa"/>
            <w:vAlign w:val="bottom"/>
          </w:tcPr>
          <w:p>
            <w:pPr>
              <w:spacing w:after="0"/>
              <w:rPr>
                <w:sz w:val="1"/>
                <w:szCs w:val="1"/>
                <w:color w:val="auto"/>
              </w:rPr>
            </w:pPr>
          </w:p>
        </w:tc>
      </w:tr>
      <w:tr>
        <w:trPr>
          <w:trHeight w:val="210"/>
        </w:trPr>
        <w:tc>
          <w:tcPr>
            <w:tcW w:w="1540" w:type="dxa"/>
            <w:vAlign w:val="bottom"/>
          </w:tcPr>
          <w:p>
            <w:pPr>
              <w:jc w:val="right"/>
              <w:ind w:right="699"/>
              <w:spacing w:after="0"/>
              <w:rPr>
                <w:sz w:val="20"/>
                <w:szCs w:val="20"/>
                <w:color w:val="auto"/>
              </w:rPr>
            </w:pPr>
            <w:r>
              <w:rPr>
                <w:rFonts w:ascii="Arial" w:cs="Arial" w:eastAsia="Arial" w:hAnsi="Arial"/>
                <w:sz w:val="16"/>
                <w:szCs w:val="16"/>
                <w:color w:val="auto"/>
                <w:w w:val="92"/>
              </w:rPr>
              <w:t>12/31/2020</w:t>
            </w:r>
          </w:p>
        </w:tc>
        <w:tc>
          <w:tcPr>
            <w:tcW w:w="1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Arial" w:cs="Arial" w:eastAsia="Arial" w:hAnsi="Arial"/>
                <w:sz w:val="16"/>
                <w:szCs w:val="16"/>
                <w:color w:val="auto"/>
              </w:rPr>
              <w:t>Convertible preferred shares authorized</w:t>
            </w:r>
          </w:p>
        </w:tc>
        <w:tc>
          <w:tcPr>
            <w:tcW w:w="1560" w:type="dxa"/>
            <w:vAlign w:val="bottom"/>
          </w:tcPr>
          <w:p>
            <w:pPr>
              <w:jc w:val="right"/>
              <w:spacing w:after="0"/>
              <w:rPr>
                <w:sz w:val="20"/>
                <w:szCs w:val="20"/>
                <w:color w:val="auto"/>
              </w:rPr>
            </w:pPr>
            <w:r>
              <w:rPr>
                <w:rFonts w:ascii="Arial" w:cs="Arial" w:eastAsia="Arial" w:hAnsi="Arial"/>
                <w:sz w:val="16"/>
                <w:szCs w:val="16"/>
                <w:color w:val="auto"/>
              </w:rPr>
              <w:t>75,136,086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155,387,025</w:t>
            </w:r>
          </w:p>
        </w:tc>
        <w:tc>
          <w:tcPr>
            <w:tcW w:w="0" w:type="dxa"/>
            <w:vAlign w:val="bottom"/>
          </w:tcPr>
          <w:p>
            <w:pPr>
              <w:spacing w:after="0"/>
              <w:rPr>
                <w:sz w:val="1"/>
                <w:szCs w:val="1"/>
                <w:color w:val="auto"/>
              </w:rPr>
            </w:pPr>
          </w:p>
        </w:tc>
      </w:tr>
      <w:tr>
        <w:trPr>
          <w:trHeight w:val="211"/>
        </w:trPr>
        <w:tc>
          <w:tcPr>
            <w:tcW w:w="15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92"/>
              </w:rPr>
              <w:t>12/31/2020</w:t>
            </w:r>
          </w:p>
        </w:tc>
        <w:tc>
          <w:tcPr>
            <w:tcW w:w="1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Convertible preferred shares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67,427,138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139,444,346</w:t>
            </w:r>
          </w:p>
        </w:tc>
        <w:tc>
          <w:tcPr>
            <w:tcW w:w="0" w:type="dxa"/>
            <w:vAlign w:val="bottom"/>
          </w:tcPr>
          <w:p>
            <w:pPr>
              <w:spacing w:after="0"/>
              <w:rPr>
                <w:sz w:val="1"/>
                <w:szCs w:val="1"/>
                <w:color w:val="auto"/>
              </w:rPr>
            </w:pPr>
          </w:p>
        </w:tc>
      </w:tr>
      <w:tr>
        <w:trPr>
          <w:trHeight w:val="210"/>
        </w:trPr>
        <w:tc>
          <w:tcPr>
            <w:tcW w:w="1540" w:type="dxa"/>
            <w:vAlign w:val="bottom"/>
          </w:tcPr>
          <w:p>
            <w:pPr>
              <w:jc w:val="right"/>
              <w:ind w:right="699"/>
              <w:spacing w:after="0"/>
              <w:rPr>
                <w:sz w:val="20"/>
                <w:szCs w:val="20"/>
                <w:color w:val="auto"/>
              </w:rPr>
            </w:pPr>
            <w:r>
              <w:rPr>
                <w:rFonts w:ascii="Arial" w:cs="Arial" w:eastAsia="Arial" w:hAnsi="Arial"/>
                <w:sz w:val="16"/>
                <w:szCs w:val="16"/>
                <w:color w:val="auto"/>
                <w:w w:val="92"/>
              </w:rPr>
              <w:t>12/31/2020</w:t>
            </w:r>
          </w:p>
        </w:tc>
        <w:tc>
          <w:tcPr>
            <w:tcW w:w="1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Arial" w:cs="Arial" w:eastAsia="Arial" w:hAnsi="Arial"/>
                <w:sz w:val="16"/>
                <w:szCs w:val="16"/>
                <w:color w:val="auto"/>
              </w:rPr>
              <w:t>Common shares authorized</w:t>
            </w:r>
          </w:p>
        </w:tc>
        <w:tc>
          <w:tcPr>
            <w:tcW w:w="1560" w:type="dxa"/>
            <w:vAlign w:val="bottom"/>
          </w:tcPr>
          <w:p>
            <w:pPr>
              <w:jc w:val="right"/>
              <w:spacing w:after="0"/>
              <w:rPr>
                <w:sz w:val="20"/>
                <w:szCs w:val="20"/>
                <w:color w:val="auto"/>
              </w:rPr>
            </w:pPr>
            <w:r>
              <w:rPr>
                <w:rFonts w:ascii="Arial" w:cs="Arial" w:eastAsia="Arial" w:hAnsi="Arial"/>
                <w:sz w:val="16"/>
                <w:szCs w:val="16"/>
                <w:color w:val="auto"/>
              </w:rPr>
              <w:t>170,000,000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351,572,668</w:t>
            </w:r>
          </w:p>
        </w:tc>
        <w:tc>
          <w:tcPr>
            <w:tcW w:w="0" w:type="dxa"/>
            <w:vAlign w:val="bottom"/>
          </w:tcPr>
          <w:p>
            <w:pPr>
              <w:spacing w:after="0"/>
              <w:rPr>
                <w:sz w:val="1"/>
                <w:szCs w:val="1"/>
                <w:color w:val="auto"/>
              </w:rPr>
            </w:pPr>
          </w:p>
        </w:tc>
      </w:tr>
      <w:tr>
        <w:trPr>
          <w:trHeight w:val="211"/>
        </w:trPr>
        <w:tc>
          <w:tcPr>
            <w:tcW w:w="15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92"/>
              </w:rPr>
              <w:t>12/31/2020</w:t>
            </w:r>
          </w:p>
        </w:tc>
        <w:tc>
          <w:tcPr>
            <w:tcW w:w="1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shares issued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43,505,291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89,972,184</w:t>
            </w:r>
          </w:p>
        </w:tc>
        <w:tc>
          <w:tcPr>
            <w:tcW w:w="0" w:type="dxa"/>
            <w:vAlign w:val="bottom"/>
          </w:tcPr>
          <w:p>
            <w:pPr>
              <w:spacing w:after="0"/>
              <w:rPr>
                <w:sz w:val="1"/>
                <w:szCs w:val="1"/>
                <w:color w:val="auto"/>
              </w:rPr>
            </w:pPr>
          </w:p>
        </w:tc>
      </w:tr>
      <w:tr>
        <w:trPr>
          <w:trHeight w:val="209"/>
        </w:trPr>
        <w:tc>
          <w:tcPr>
            <w:tcW w:w="1540" w:type="dxa"/>
            <w:vAlign w:val="bottom"/>
          </w:tcPr>
          <w:p>
            <w:pPr>
              <w:jc w:val="right"/>
              <w:ind w:right="699"/>
              <w:spacing w:after="0"/>
              <w:rPr>
                <w:sz w:val="20"/>
                <w:szCs w:val="20"/>
                <w:color w:val="auto"/>
              </w:rPr>
            </w:pPr>
            <w:r>
              <w:rPr>
                <w:rFonts w:ascii="Arial" w:cs="Arial" w:eastAsia="Arial" w:hAnsi="Arial"/>
                <w:sz w:val="16"/>
                <w:szCs w:val="16"/>
                <w:color w:val="auto"/>
                <w:w w:val="92"/>
              </w:rPr>
              <w:t>12/31/2020</w:t>
            </w:r>
          </w:p>
        </w:tc>
        <w:tc>
          <w:tcPr>
            <w:tcW w:w="1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Arial" w:cs="Arial" w:eastAsia="Arial" w:hAnsi="Arial"/>
                <w:sz w:val="16"/>
                <w:szCs w:val="16"/>
                <w:color w:val="auto"/>
              </w:rPr>
              <w:t>Common shares outstanding</w:t>
            </w:r>
          </w:p>
        </w:tc>
        <w:tc>
          <w:tcPr>
            <w:tcW w:w="1560" w:type="dxa"/>
            <w:vAlign w:val="bottom"/>
          </w:tcPr>
          <w:p>
            <w:pPr>
              <w:jc w:val="right"/>
              <w:spacing w:after="0"/>
              <w:rPr>
                <w:sz w:val="20"/>
                <w:szCs w:val="20"/>
                <w:color w:val="auto"/>
              </w:rPr>
            </w:pPr>
            <w:r>
              <w:rPr>
                <w:rFonts w:ascii="Arial" w:cs="Arial" w:eastAsia="Arial" w:hAnsi="Arial"/>
                <w:sz w:val="16"/>
                <w:szCs w:val="16"/>
                <w:color w:val="auto"/>
              </w:rPr>
              <w:t>43,134,938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89,206,266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20" w:firstLine="297"/>
        <w:spacing w:after="0" w:line="290" w:lineRule="auto"/>
        <w:rPr>
          <w:sz w:val="20"/>
          <w:szCs w:val="20"/>
          <w:color w:val="auto"/>
        </w:rPr>
      </w:pPr>
      <w:r>
        <w:rPr>
          <w:rFonts w:ascii="Arial" w:cs="Arial" w:eastAsia="Arial" w:hAnsi="Arial"/>
          <w:sz w:val="16"/>
          <w:szCs w:val="16"/>
          <w:color w:val="auto"/>
        </w:rPr>
        <w:t>The following table summarizes the weighted-average outstanding shares, basic and diluted for the years ended December 31, 2020 and 2019 after factoring all retroactive application of capitalization.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Retroactive application of reverse capitalization to Consolidated Statements of Operations and Comprehensive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Date</w:t>
            </w:r>
          </w:p>
        </w:tc>
        <w:tc>
          <w:tcPr>
            <w:tcW w:w="4740" w:type="dxa"/>
            <w:vAlign w:val="bottom"/>
            <w:gridSpan w:val="4"/>
            <w:vMerge w:val="restart"/>
          </w:tcPr>
          <w:p>
            <w:pPr>
              <w:ind w:left="200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3"/>
                <w:szCs w:val="13"/>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89"/>
              </w:rPr>
              <w:t>As previously</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3"/>
              </w:rPr>
              <w:t>1/7/21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84"/>
              <w:spacing w:after="0"/>
              <w:rPr>
                <w:sz w:val="20"/>
                <w:szCs w:val="20"/>
                <w:color w:val="auto"/>
              </w:rPr>
            </w:pPr>
            <w:r>
              <w:rPr>
                <w:rFonts w:ascii="Arial" w:cs="Arial" w:eastAsia="Arial" w:hAnsi="Arial"/>
                <w:sz w:val="13"/>
                <w:szCs w:val="13"/>
                <w:b w:val="1"/>
                <w:bCs w:val="1"/>
                <w:color w:val="auto"/>
                <w:w w:val="91"/>
              </w:rPr>
              <w:t>Reverse capitalized</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47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0"/>
              </w:rPr>
              <w:t>reported</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conversion ratio</w:t>
            </w:r>
          </w:p>
        </w:tc>
        <w:tc>
          <w:tcPr>
            <w:tcW w:w="160" w:type="dxa"/>
            <w:vAlign w:val="bottom"/>
          </w:tcPr>
          <w:p>
            <w:pPr>
              <w:spacing w:after="0"/>
              <w:rPr>
                <w:sz w:val="14"/>
                <w:szCs w:val="14"/>
                <w:color w:val="auto"/>
              </w:rPr>
            </w:pPr>
          </w:p>
        </w:tc>
        <w:tc>
          <w:tcPr>
            <w:tcW w:w="1380" w:type="dxa"/>
            <w:vAlign w:val="bottom"/>
          </w:tcPr>
          <w:p>
            <w:pPr>
              <w:jc w:val="center"/>
              <w:ind w:right="84"/>
              <w:spacing w:after="0"/>
              <w:rPr>
                <w:sz w:val="20"/>
                <w:szCs w:val="20"/>
                <w:color w:val="auto"/>
              </w:rPr>
            </w:pPr>
            <w:r>
              <w:rPr>
                <w:rFonts w:ascii="Arial" w:cs="Arial" w:eastAsia="Arial" w:hAnsi="Arial"/>
                <w:sz w:val="13"/>
                <w:szCs w:val="13"/>
                <w:b w:val="1"/>
                <w:bCs w:val="1"/>
                <w:color w:val="auto"/>
                <w:w w:val="92"/>
              </w:rPr>
              <w:t>amounts</w:t>
            </w:r>
          </w:p>
        </w:tc>
        <w:tc>
          <w:tcPr>
            <w:tcW w:w="0" w:type="dxa"/>
            <w:vAlign w:val="bottom"/>
          </w:tcPr>
          <w:p>
            <w:pPr>
              <w:spacing w:after="0"/>
              <w:rPr>
                <w:sz w:val="1"/>
                <w:szCs w:val="1"/>
                <w:color w:val="auto"/>
              </w:rPr>
            </w:pPr>
          </w:p>
        </w:tc>
      </w:tr>
      <w:tr>
        <w:trPr>
          <w:trHeight w:val="155"/>
        </w:trPr>
        <w:tc>
          <w:tcPr>
            <w:tcW w:w="15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12/31/2019</w:t>
            </w:r>
          </w:p>
        </w:tc>
        <w:tc>
          <w:tcPr>
            <w:tcW w:w="10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auto"/>
            </w:tcBorders>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Net loss per share attributable to common shareholders - basic and</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4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line="161" w:lineRule="exact"/>
              <w:rPr>
                <w:sz w:val="20"/>
                <w:szCs w:val="20"/>
                <w:color w:val="auto"/>
              </w:rPr>
            </w:pPr>
            <w:r>
              <w:rPr>
                <w:rFonts w:ascii="Arial" w:cs="Arial" w:eastAsia="Arial" w:hAnsi="Arial"/>
                <w:sz w:val="16"/>
                <w:szCs w:val="16"/>
                <w:color w:val="auto"/>
              </w:rPr>
              <w:t>12/31/2019</w:t>
            </w:r>
          </w:p>
        </w:tc>
        <w:tc>
          <w:tcPr>
            <w:tcW w:w="100" w:type="dxa"/>
            <w:vAlign w:val="bottom"/>
          </w:tcPr>
          <w:p>
            <w:pPr>
              <w:spacing w:after="0"/>
              <w:rPr>
                <w:sz w:val="13"/>
                <w:szCs w:val="13"/>
                <w:color w:val="auto"/>
              </w:rPr>
            </w:pPr>
          </w:p>
        </w:tc>
        <w:tc>
          <w:tcPr>
            <w:tcW w:w="4740" w:type="dxa"/>
            <w:vAlign w:val="bottom"/>
            <w:gridSpan w:val="4"/>
          </w:tcPr>
          <w:p>
            <w:pPr>
              <w:ind w:left="20"/>
              <w:spacing w:after="0" w:line="161" w:lineRule="exact"/>
              <w:rPr>
                <w:sz w:val="20"/>
                <w:szCs w:val="20"/>
                <w:color w:val="auto"/>
              </w:rPr>
            </w:pPr>
            <w:r>
              <w:rPr>
                <w:rFonts w:ascii="Arial" w:cs="Arial" w:eastAsia="Arial" w:hAnsi="Arial"/>
                <w:sz w:val="16"/>
                <w:szCs w:val="16"/>
                <w:color w:val="auto"/>
                <w:w w:val="98"/>
              </w:rPr>
              <w:t>Basic and diluted weighted average number of common shares and</w:t>
            </w:r>
          </w:p>
        </w:tc>
        <w:tc>
          <w:tcPr>
            <w:tcW w:w="2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42,469,175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2.0681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87,829,419</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ind w:left="160"/>
              <w:spacing w:after="0"/>
              <w:rPr>
                <w:sz w:val="20"/>
                <w:szCs w:val="20"/>
                <w:color w:val="auto"/>
              </w:rPr>
            </w:pPr>
            <w:r>
              <w:rPr>
                <w:rFonts w:ascii="Arial" w:cs="Arial" w:eastAsia="Arial" w:hAnsi="Arial"/>
                <w:sz w:val="16"/>
                <w:szCs w:val="16"/>
                <w:color w:val="auto"/>
              </w:rPr>
              <w:t>common shares equivalents outstanding</w:t>
            </w: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5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12/31/2020</w:t>
            </w:r>
          </w:p>
        </w:tc>
        <w:tc>
          <w:tcPr>
            <w:tcW w:w="100" w:type="dxa"/>
            <w:vAlign w:val="bottom"/>
            <w:shd w:val="clear" w:color="auto" w:fill="CCEEFF"/>
          </w:tcPr>
          <w:p>
            <w:pPr>
              <w:spacing w:after="0"/>
              <w:rPr>
                <w:sz w:val="14"/>
                <w:szCs w:val="14"/>
                <w:color w:val="auto"/>
              </w:rPr>
            </w:pPr>
          </w:p>
        </w:tc>
        <w:tc>
          <w:tcPr>
            <w:tcW w:w="4740" w:type="dxa"/>
            <w:vAlign w:val="bottom"/>
            <w:gridSpan w:val="4"/>
            <w:shd w:val="clear" w:color="auto" w:fill="CCEEFF"/>
          </w:tcPr>
          <w:p>
            <w:pPr>
              <w:ind w:left="20"/>
              <w:spacing w:after="0" w:line="161" w:lineRule="exact"/>
              <w:rPr>
                <w:sz w:val="20"/>
                <w:szCs w:val="20"/>
                <w:color w:val="auto"/>
              </w:rPr>
            </w:pPr>
            <w:r>
              <w:rPr>
                <w:rFonts w:ascii="Arial" w:cs="Arial" w:eastAsia="Arial" w:hAnsi="Arial"/>
                <w:sz w:val="16"/>
                <w:szCs w:val="16"/>
                <w:color w:val="auto"/>
                <w:w w:val="98"/>
              </w:rPr>
              <w:t>Net loss per share attributable to common shareholders - basic and</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4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4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line="161" w:lineRule="exact"/>
              <w:rPr>
                <w:sz w:val="20"/>
                <w:szCs w:val="20"/>
                <w:color w:val="auto"/>
              </w:rPr>
            </w:pPr>
            <w:r>
              <w:rPr>
                <w:rFonts w:ascii="Arial" w:cs="Arial" w:eastAsia="Arial" w:hAnsi="Arial"/>
                <w:sz w:val="16"/>
                <w:szCs w:val="16"/>
                <w:color w:val="auto"/>
              </w:rPr>
              <w:t>12/31/2020</w:t>
            </w:r>
          </w:p>
        </w:tc>
        <w:tc>
          <w:tcPr>
            <w:tcW w:w="100" w:type="dxa"/>
            <w:vAlign w:val="bottom"/>
          </w:tcPr>
          <w:p>
            <w:pPr>
              <w:spacing w:after="0"/>
              <w:rPr>
                <w:sz w:val="13"/>
                <w:szCs w:val="13"/>
                <w:color w:val="auto"/>
              </w:rPr>
            </w:pPr>
          </w:p>
        </w:tc>
        <w:tc>
          <w:tcPr>
            <w:tcW w:w="4740" w:type="dxa"/>
            <w:vAlign w:val="bottom"/>
            <w:gridSpan w:val="4"/>
          </w:tcPr>
          <w:p>
            <w:pPr>
              <w:ind w:left="20"/>
              <w:spacing w:after="0" w:line="161" w:lineRule="exact"/>
              <w:rPr>
                <w:sz w:val="20"/>
                <w:szCs w:val="20"/>
                <w:color w:val="auto"/>
              </w:rPr>
            </w:pPr>
            <w:r>
              <w:rPr>
                <w:rFonts w:ascii="Arial" w:cs="Arial" w:eastAsia="Arial" w:hAnsi="Arial"/>
                <w:sz w:val="16"/>
                <w:szCs w:val="16"/>
                <w:color w:val="auto"/>
                <w:w w:val="98"/>
              </w:rPr>
              <w:t>Basic and diluted weighted average number of common shares and</w:t>
            </w:r>
          </w:p>
        </w:tc>
        <w:tc>
          <w:tcPr>
            <w:tcW w:w="2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42,886,067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2.0681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88,691,582</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ind w:left="160"/>
              <w:spacing w:after="0"/>
              <w:rPr>
                <w:sz w:val="20"/>
                <w:szCs w:val="20"/>
                <w:color w:val="auto"/>
              </w:rPr>
            </w:pPr>
            <w:r>
              <w:rPr>
                <w:rFonts w:ascii="Arial" w:cs="Arial" w:eastAsia="Arial" w:hAnsi="Arial"/>
                <w:sz w:val="16"/>
                <w:szCs w:val="16"/>
                <w:color w:val="auto"/>
              </w:rPr>
              <w:t>common shares equivalents outstanding</w:t>
            </w: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11240" w:type="dxa"/>
            <w:vAlign w:val="bottom"/>
            <w:gridSpan w:val="17"/>
          </w:tcPr>
          <w:p>
            <w:pPr>
              <w:spacing w:after="0"/>
              <w:rPr>
                <w:sz w:val="20"/>
                <w:szCs w:val="20"/>
                <w:color w:val="auto"/>
              </w:rPr>
            </w:pPr>
            <w:r>
              <w:rPr>
                <w:rFonts w:ascii="Arial" w:cs="Arial" w:eastAsia="Arial" w:hAnsi="Arial"/>
                <w:sz w:val="16"/>
                <w:szCs w:val="16"/>
                <w:b w:val="1"/>
                <w:bCs w:val="1"/>
                <w:color w:val="auto"/>
              </w:rPr>
              <w:t>Retroactive application of reverse capitalization to Consolidated Statements of Changes in Convertible Preferred Stock and Stockholders’ Deficit</w:t>
            </w:r>
          </w:p>
        </w:tc>
        <w:tc>
          <w:tcPr>
            <w:tcW w:w="0" w:type="dxa"/>
            <w:vAlign w:val="bottom"/>
          </w:tcPr>
          <w:p>
            <w:pPr>
              <w:spacing w:after="0"/>
              <w:rPr>
                <w:sz w:val="1"/>
                <w:szCs w:val="1"/>
                <w:color w:val="auto"/>
              </w:rPr>
            </w:pPr>
          </w:p>
        </w:tc>
      </w:tr>
      <w:tr>
        <w:trPr>
          <w:trHeight w:val="298"/>
        </w:trPr>
        <w:tc>
          <w:tcPr>
            <w:tcW w:w="164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Date</w:t>
            </w:r>
          </w:p>
        </w:tc>
        <w:tc>
          <w:tcPr>
            <w:tcW w:w="4740" w:type="dxa"/>
            <w:vAlign w:val="bottom"/>
            <w:gridSpan w:val="4"/>
            <w:vMerge w:val="restart"/>
          </w:tcPr>
          <w:p>
            <w:pPr>
              <w:ind w:left="198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24"/>
                <w:szCs w:val="2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9"/>
              </w:rPr>
              <w:t>As previously</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1/7/21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right="104"/>
              <w:spacing w:after="0"/>
              <w:rPr>
                <w:sz w:val="20"/>
                <w:szCs w:val="20"/>
                <w:color w:val="auto"/>
              </w:rPr>
            </w:pPr>
            <w:r>
              <w:rPr>
                <w:rFonts w:ascii="Arial" w:cs="Arial" w:eastAsia="Arial" w:hAnsi="Arial"/>
                <w:sz w:val="13"/>
                <w:szCs w:val="13"/>
                <w:b w:val="1"/>
                <w:bCs w:val="1"/>
                <w:color w:val="auto"/>
                <w:w w:val="89"/>
              </w:rPr>
              <w:t>Reverse capitalized</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47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0"/>
              </w:rPr>
              <w:t>reported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conversion ratio</w:t>
            </w:r>
          </w:p>
        </w:tc>
        <w:tc>
          <w:tcPr>
            <w:tcW w:w="160" w:type="dxa"/>
            <w:vAlign w:val="bottom"/>
          </w:tcPr>
          <w:p>
            <w:pPr>
              <w:spacing w:after="0"/>
              <w:rPr>
                <w:sz w:val="14"/>
                <w:szCs w:val="14"/>
                <w:color w:val="auto"/>
              </w:rPr>
            </w:pPr>
          </w:p>
        </w:tc>
        <w:tc>
          <w:tcPr>
            <w:tcW w:w="1380" w:type="dxa"/>
            <w:vAlign w:val="bottom"/>
          </w:tcPr>
          <w:p>
            <w:pPr>
              <w:jc w:val="center"/>
              <w:ind w:right="104"/>
              <w:spacing w:after="0"/>
              <w:rPr>
                <w:sz w:val="20"/>
                <w:szCs w:val="20"/>
                <w:color w:val="auto"/>
              </w:rPr>
            </w:pPr>
            <w:r>
              <w:rPr>
                <w:rFonts w:ascii="Arial" w:cs="Arial" w:eastAsia="Arial" w:hAnsi="Arial"/>
                <w:sz w:val="13"/>
                <w:szCs w:val="13"/>
                <w:b w:val="1"/>
                <w:bCs w:val="1"/>
                <w:color w:val="auto"/>
                <w:w w:val="88"/>
              </w:rPr>
              <w:t>amounts</w:t>
            </w:r>
          </w:p>
        </w:tc>
        <w:tc>
          <w:tcPr>
            <w:tcW w:w="0" w:type="dxa"/>
            <w:vAlign w:val="bottom"/>
          </w:tcPr>
          <w:p>
            <w:pPr>
              <w:spacing w:after="0"/>
              <w:rPr>
                <w:sz w:val="1"/>
                <w:szCs w:val="1"/>
                <w:color w:val="auto"/>
              </w:rPr>
            </w:pPr>
          </w:p>
        </w:tc>
      </w:tr>
      <w:tr>
        <w:trPr>
          <w:trHeight w:val="204"/>
        </w:trPr>
        <w:tc>
          <w:tcPr>
            <w:tcW w:w="1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12/31/2018</w:t>
            </w:r>
          </w:p>
        </w:tc>
        <w:tc>
          <w:tcPr>
            <w:tcW w:w="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Convertible preferred stock - shares</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67,427,138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139,444,346</w:t>
            </w:r>
          </w:p>
        </w:tc>
        <w:tc>
          <w:tcPr>
            <w:tcW w:w="0" w:type="dxa"/>
            <w:vAlign w:val="bottom"/>
          </w:tcPr>
          <w:p>
            <w:pPr>
              <w:spacing w:after="0"/>
              <w:rPr>
                <w:sz w:val="1"/>
                <w:szCs w:val="1"/>
                <w:color w:val="auto"/>
              </w:rPr>
            </w:pPr>
          </w:p>
        </w:tc>
      </w:tr>
      <w:tr>
        <w:trPr>
          <w:trHeight w:val="210"/>
        </w:trPr>
        <w:tc>
          <w:tcPr>
            <w:tcW w:w="1540" w:type="dxa"/>
            <w:vAlign w:val="bottom"/>
          </w:tcPr>
          <w:p>
            <w:pPr>
              <w:ind w:left="20"/>
              <w:spacing w:after="0"/>
              <w:rPr>
                <w:sz w:val="20"/>
                <w:szCs w:val="20"/>
                <w:color w:val="auto"/>
              </w:rPr>
            </w:pPr>
            <w:r>
              <w:rPr>
                <w:rFonts w:ascii="Arial" w:cs="Arial" w:eastAsia="Arial" w:hAnsi="Arial"/>
                <w:sz w:val="16"/>
                <w:szCs w:val="16"/>
                <w:color w:val="auto"/>
              </w:rPr>
              <w:t>12/31/2018</w:t>
            </w:r>
          </w:p>
        </w:tc>
        <w:tc>
          <w:tcPr>
            <w:tcW w:w="100" w:type="dxa"/>
            <w:vAlign w:val="bottom"/>
          </w:tcPr>
          <w:p>
            <w:pPr>
              <w:spacing w:after="0"/>
              <w:rPr>
                <w:sz w:val="18"/>
                <w:szCs w:val="18"/>
                <w:color w:val="auto"/>
              </w:rPr>
            </w:pPr>
          </w:p>
        </w:tc>
        <w:tc>
          <w:tcPr>
            <w:tcW w:w="4740" w:type="dxa"/>
            <w:vAlign w:val="bottom"/>
            <w:gridSpan w:val="4"/>
          </w:tcPr>
          <w:p>
            <w:pPr>
              <w:ind w:left="20"/>
              <w:spacing w:after="0"/>
              <w:rPr>
                <w:sz w:val="20"/>
                <w:szCs w:val="20"/>
                <w:color w:val="auto"/>
              </w:rPr>
            </w:pPr>
            <w:r>
              <w:rPr>
                <w:rFonts w:ascii="Arial" w:cs="Arial" w:eastAsia="Arial" w:hAnsi="Arial"/>
                <w:sz w:val="16"/>
                <w:szCs w:val="16"/>
                <w:color w:val="auto"/>
              </w:rPr>
              <w:t>Common stock - shares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42,243,445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87,362,592</w:t>
            </w:r>
          </w:p>
        </w:tc>
        <w:tc>
          <w:tcPr>
            <w:tcW w:w="0" w:type="dxa"/>
            <w:vAlign w:val="bottom"/>
          </w:tcPr>
          <w:p>
            <w:pPr>
              <w:spacing w:after="0"/>
              <w:rPr>
                <w:sz w:val="1"/>
                <w:szCs w:val="1"/>
                <w:color w:val="auto"/>
              </w:rPr>
            </w:pPr>
          </w:p>
        </w:tc>
      </w:tr>
      <w:tr>
        <w:trPr>
          <w:trHeight w:val="211"/>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12/31/2018</w:t>
            </w:r>
          </w:p>
        </w:tc>
        <w:tc>
          <w:tcPr>
            <w:tcW w:w="100" w:type="dxa"/>
            <w:vAlign w:val="bottom"/>
            <w:shd w:val="clear" w:color="auto" w:fill="CCEEFF"/>
          </w:tcPr>
          <w:p>
            <w:pPr>
              <w:spacing w:after="0"/>
              <w:rPr>
                <w:sz w:val="18"/>
                <w:szCs w:val="18"/>
                <w:color w:val="auto"/>
              </w:rPr>
            </w:pPr>
          </w:p>
        </w:tc>
        <w:tc>
          <w:tcPr>
            <w:tcW w:w="47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 amount</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 securities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tables present cost or amortized cost and fair values of investments as of December 31, 2020 and 2019,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4"/>
              </w:rPr>
              <w:t>Amortized</w:t>
            </w:r>
          </w:p>
        </w:tc>
        <w:tc>
          <w:tcPr>
            <w:tcW w:w="1040" w:type="dxa"/>
            <w:vAlign w:val="bottom"/>
          </w:tcPr>
          <w:p>
            <w:pPr>
              <w:jc w:val="center"/>
              <w:ind w:left="308"/>
              <w:spacing w:after="0"/>
              <w:rPr>
                <w:sz w:val="20"/>
                <w:szCs w:val="20"/>
                <w:color w:val="auto"/>
              </w:rPr>
            </w:pPr>
            <w:r>
              <w:rPr>
                <w:rFonts w:ascii="Arial" w:cs="Arial" w:eastAsia="Arial" w:hAnsi="Arial"/>
                <w:sz w:val="13"/>
                <w:szCs w:val="13"/>
                <w:b w:val="1"/>
                <w:bCs w:val="1"/>
                <w:color w:val="auto"/>
                <w:w w:val="90"/>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268"/>
              <w:spacing w:after="0"/>
              <w:rPr>
                <w:sz w:val="20"/>
                <w:szCs w:val="20"/>
                <w:color w:val="auto"/>
              </w:rPr>
            </w:pPr>
            <w:r>
              <w:rPr>
                <w:rFonts w:ascii="Arial" w:cs="Arial" w:eastAsia="Arial" w:hAnsi="Arial"/>
                <w:sz w:val="13"/>
                <w:szCs w:val="13"/>
                <w:b w:val="1"/>
                <w:bCs w:val="1"/>
                <w:color w:val="auto"/>
                <w:w w:val="85"/>
              </w:rPr>
              <w:t>Gross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524"/>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4"/>
        </w:trPr>
        <w:tc>
          <w:tcPr>
            <w:tcW w:w="5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40" w:type="dxa"/>
            <w:vAlign w:val="bottom"/>
          </w:tcPr>
          <w:p>
            <w:pPr>
              <w:jc w:val="center"/>
              <w:ind w:left="308"/>
              <w:spacing w:after="0" w:line="124" w:lineRule="exact"/>
              <w:rPr>
                <w:sz w:val="20"/>
                <w:szCs w:val="20"/>
                <w:color w:val="auto"/>
              </w:rPr>
            </w:pPr>
            <w:r>
              <w:rPr>
                <w:rFonts w:ascii="Arial" w:cs="Arial" w:eastAsia="Arial" w:hAnsi="Arial"/>
                <w:sz w:val="13"/>
                <w:szCs w:val="13"/>
                <w:b w:val="1"/>
                <w:bCs w:val="1"/>
                <w:color w:val="auto"/>
                <w:w w:val="90"/>
              </w:rPr>
              <w:t>unrealized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268"/>
              <w:spacing w:after="0" w:line="124" w:lineRule="exact"/>
              <w:rPr>
                <w:sz w:val="20"/>
                <w:szCs w:val="20"/>
                <w:color w:val="auto"/>
              </w:rPr>
            </w:pPr>
            <w:r>
              <w:rPr>
                <w:rFonts w:ascii="Arial" w:cs="Arial" w:eastAsia="Arial" w:hAnsi="Arial"/>
                <w:sz w:val="13"/>
                <w:szCs w:val="13"/>
                <w:b w:val="1"/>
                <w:bCs w:val="1"/>
                <w:color w:val="auto"/>
                <w:w w:val="93"/>
              </w:rPr>
              <w:t>unrealized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cost</w:t>
            </w:r>
          </w:p>
        </w:tc>
        <w:tc>
          <w:tcPr>
            <w:tcW w:w="1040" w:type="dxa"/>
            <w:vAlign w:val="bottom"/>
          </w:tcPr>
          <w:p>
            <w:pPr>
              <w:jc w:val="center"/>
              <w:ind w:left="348"/>
              <w:spacing w:after="0"/>
              <w:rPr>
                <w:sz w:val="20"/>
                <w:szCs w:val="20"/>
                <w:color w:val="auto"/>
              </w:rPr>
            </w:pPr>
            <w:r>
              <w:rPr>
                <w:rFonts w:ascii="Arial" w:cs="Arial" w:eastAsia="Arial" w:hAnsi="Arial"/>
                <w:sz w:val="13"/>
                <w:szCs w:val="13"/>
                <w:b w:val="1"/>
                <w:bCs w:val="1"/>
                <w:color w:val="auto"/>
                <w:w w:val="88"/>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308"/>
              <w:spacing w:after="0"/>
              <w:rPr>
                <w:sz w:val="20"/>
                <w:szCs w:val="20"/>
                <w:color w:val="auto"/>
              </w:rPr>
            </w:pPr>
            <w:r>
              <w:rPr>
                <w:rFonts w:ascii="Arial" w:cs="Arial" w:eastAsia="Arial" w:hAnsi="Arial"/>
                <w:sz w:val="13"/>
                <w:szCs w:val="13"/>
                <w:b w:val="1"/>
                <w:bCs w:val="1"/>
                <w:color w:val="auto"/>
                <w:w w:val="78"/>
              </w:rPr>
              <w:t>losses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5"/>
        </w:trPr>
        <w:tc>
          <w:tcPr>
            <w:tcW w:w="5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jc w:val="right"/>
              <w:ind w:right="628"/>
              <w:spacing w:after="0"/>
              <w:rPr>
                <w:sz w:val="20"/>
                <w:szCs w:val="20"/>
                <w:color w:val="auto"/>
              </w:rPr>
            </w:pPr>
            <w:r>
              <w:rPr>
                <w:rFonts w:ascii="Arial" w:cs="Arial" w:eastAsia="Arial" w:hAnsi="Arial"/>
                <w:sz w:val="13"/>
                <w:szCs w:val="13"/>
                <w:b w:val="1"/>
                <w:bCs w:val="1"/>
                <w:color w:val="auto"/>
                <w:w w:val="93"/>
              </w:rPr>
              <w:t>(in thousands)</w:t>
            </w: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held-to-maturity: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8"/>
                <w:szCs w:val="18"/>
                <w:color w:val="auto"/>
              </w:rPr>
            </w:pPr>
          </w:p>
        </w:tc>
        <w:tc>
          <w:tcPr>
            <w:tcW w:w="1040" w:type="dxa"/>
            <w:vAlign w:val="bottom"/>
          </w:tcPr>
          <w:p>
            <w:pPr>
              <w:jc w:val="right"/>
              <w:ind w:right="868"/>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060" w:type="dxa"/>
            <w:vAlign w:val="bottom"/>
          </w:tcPr>
          <w:p>
            <w:pPr>
              <w:jc w:val="right"/>
              <w:ind w:right="888"/>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available-for-sale: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53,953</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53,963</w:t>
            </w:r>
          </w:p>
        </w:tc>
        <w:tc>
          <w:tcPr>
            <w:tcW w:w="0" w:type="dxa"/>
            <w:vAlign w:val="bottom"/>
          </w:tcPr>
          <w:p>
            <w:pPr>
              <w:spacing w:after="0"/>
              <w:rPr>
                <w:sz w:val="1"/>
                <w:szCs w:val="1"/>
                <w:color w:val="auto"/>
              </w:rPr>
            </w:pPr>
          </w:p>
        </w:tc>
      </w:tr>
      <w:tr>
        <w:trPr>
          <w:trHeight w:val="228"/>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investment securities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54,647</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54,700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4"/>
              </w:rPr>
              <w:t>Amortized</w:t>
            </w:r>
          </w:p>
        </w:tc>
        <w:tc>
          <w:tcPr>
            <w:tcW w:w="1040" w:type="dxa"/>
            <w:vAlign w:val="bottom"/>
          </w:tcPr>
          <w:p>
            <w:pPr>
              <w:jc w:val="center"/>
              <w:ind w:left="308"/>
              <w:spacing w:after="0"/>
              <w:rPr>
                <w:sz w:val="20"/>
                <w:szCs w:val="20"/>
                <w:color w:val="auto"/>
              </w:rPr>
            </w:pPr>
            <w:r>
              <w:rPr>
                <w:rFonts w:ascii="Arial" w:cs="Arial" w:eastAsia="Arial" w:hAnsi="Arial"/>
                <w:sz w:val="13"/>
                <w:szCs w:val="13"/>
                <w:b w:val="1"/>
                <w:bCs w:val="1"/>
                <w:color w:val="auto"/>
                <w:w w:val="90"/>
              </w:rPr>
              <w:t>Gross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228"/>
              <w:spacing w:after="0"/>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524"/>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4"/>
        </w:trPr>
        <w:tc>
          <w:tcPr>
            <w:tcW w:w="5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2019</w:t>
            </w: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40" w:type="dxa"/>
            <w:vAlign w:val="bottom"/>
          </w:tcPr>
          <w:p>
            <w:pPr>
              <w:jc w:val="center"/>
              <w:ind w:left="308"/>
              <w:spacing w:after="0" w:line="124" w:lineRule="exact"/>
              <w:rPr>
                <w:sz w:val="20"/>
                <w:szCs w:val="20"/>
                <w:color w:val="auto"/>
              </w:rPr>
            </w:pPr>
            <w:r>
              <w:rPr>
                <w:rFonts w:ascii="Arial" w:cs="Arial" w:eastAsia="Arial" w:hAnsi="Arial"/>
                <w:sz w:val="13"/>
                <w:szCs w:val="13"/>
                <w:b w:val="1"/>
                <w:bCs w:val="1"/>
                <w:color w:val="auto"/>
                <w:w w:val="90"/>
              </w:rPr>
              <w:t>unrealized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left="228"/>
              <w:spacing w:after="0" w:line="124" w:lineRule="exact"/>
              <w:rPr>
                <w:sz w:val="20"/>
                <w:szCs w:val="20"/>
                <w:color w:val="auto"/>
              </w:rPr>
            </w:pPr>
            <w:r>
              <w:rPr>
                <w:rFonts w:ascii="Arial" w:cs="Arial" w:eastAsia="Arial" w:hAnsi="Arial"/>
                <w:sz w:val="13"/>
                <w:szCs w:val="13"/>
                <w:b w:val="1"/>
                <w:bCs w:val="1"/>
                <w:color w:val="auto"/>
                <w:w w:val="93"/>
              </w:rPr>
              <w:t>unrealized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cost</w:t>
            </w:r>
          </w:p>
        </w:tc>
        <w:tc>
          <w:tcPr>
            <w:tcW w:w="1040" w:type="dxa"/>
            <w:vAlign w:val="bottom"/>
          </w:tcPr>
          <w:p>
            <w:pPr>
              <w:jc w:val="center"/>
              <w:ind w:left="348"/>
              <w:spacing w:after="0"/>
              <w:rPr>
                <w:sz w:val="20"/>
                <w:szCs w:val="20"/>
                <w:color w:val="auto"/>
              </w:rPr>
            </w:pPr>
            <w:r>
              <w:rPr>
                <w:rFonts w:ascii="Arial" w:cs="Arial" w:eastAsia="Arial" w:hAnsi="Arial"/>
                <w:sz w:val="13"/>
                <w:szCs w:val="13"/>
                <w:b w:val="1"/>
                <w:bCs w:val="1"/>
                <w:color w:val="auto"/>
                <w:w w:val="88"/>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268"/>
              <w:spacing w:after="0"/>
              <w:rPr>
                <w:sz w:val="20"/>
                <w:szCs w:val="20"/>
                <w:color w:val="auto"/>
              </w:rPr>
            </w:pPr>
            <w:r>
              <w:rPr>
                <w:rFonts w:ascii="Arial" w:cs="Arial" w:eastAsia="Arial" w:hAnsi="Arial"/>
                <w:sz w:val="13"/>
                <w:szCs w:val="13"/>
                <w:b w:val="1"/>
                <w:bCs w:val="1"/>
                <w:color w:val="auto"/>
                <w:w w:val="78"/>
              </w:rPr>
              <w:t>losses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5"/>
        </w:trPr>
        <w:tc>
          <w:tcPr>
            <w:tcW w:w="5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right"/>
              <w:ind w:right="668"/>
              <w:spacing w:after="0"/>
              <w:rPr>
                <w:sz w:val="20"/>
                <w:szCs w:val="20"/>
                <w:color w:val="auto"/>
              </w:rPr>
            </w:pPr>
            <w:r>
              <w:rPr>
                <w:rFonts w:ascii="Arial" w:cs="Arial" w:eastAsia="Arial" w:hAnsi="Arial"/>
                <w:sz w:val="13"/>
                <w:szCs w:val="13"/>
                <w:b w:val="1"/>
                <w:bCs w:val="1"/>
                <w:color w:val="auto"/>
                <w:w w:val="93"/>
              </w:rPr>
              <w:t>(in thousands)</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held-to-maturity: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663</w:t>
            </w:r>
          </w:p>
        </w:tc>
        <w:tc>
          <w:tcPr>
            <w:tcW w:w="80" w:type="dxa"/>
            <w:vAlign w:val="bottom"/>
          </w:tcPr>
          <w:p>
            <w:pPr>
              <w:spacing w:after="0"/>
              <w:rPr>
                <w:sz w:val="18"/>
                <w:szCs w:val="18"/>
                <w:color w:val="auto"/>
              </w:rPr>
            </w:pPr>
          </w:p>
        </w:tc>
        <w:tc>
          <w:tcPr>
            <w:tcW w:w="1040" w:type="dxa"/>
            <w:vAlign w:val="bottom"/>
          </w:tcPr>
          <w:p>
            <w:pPr>
              <w:jc w:val="right"/>
              <w:ind w:right="868"/>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00" w:type="dxa"/>
            <w:vAlign w:val="bottom"/>
          </w:tcPr>
          <w:p>
            <w:pPr>
              <w:jc w:val="right"/>
              <w:ind w:right="928"/>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available-for-sale: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4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56,382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56,428</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investment securities</w:t>
            </w: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57,045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8"/>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57,113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tables present the amortized cost and fair value of debt securities as of December 31, 2020, by contractual maturity: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10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Held-to-maturity</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5"/>
          </w:tcPr>
          <w:p>
            <w:pPr>
              <w:jc w:val="right"/>
              <w:spacing w:after="0"/>
              <w:rPr>
                <w:sz w:val="20"/>
                <w:szCs w:val="20"/>
                <w:color w:val="auto"/>
              </w:rPr>
            </w:pPr>
            <w:r>
              <w:rPr>
                <w:rFonts w:ascii="Arial" w:cs="Arial" w:eastAsia="Arial" w:hAnsi="Arial"/>
                <w:sz w:val="13"/>
                <w:szCs w:val="13"/>
                <w:b w:val="1"/>
                <w:bCs w:val="1"/>
                <w:color w:val="auto"/>
              </w:rPr>
              <w:t>Available-for-sale</w:t>
            </w:r>
          </w:p>
        </w:tc>
        <w:tc>
          <w:tcPr>
            <w:tcW w:w="940" w:type="dxa"/>
            <w:vAlign w:val="bottom"/>
          </w:tcPr>
          <w:p>
            <w:pPr>
              <w:spacing w:after="0"/>
              <w:rPr>
                <w:sz w:val="15"/>
                <w:szCs w:val="15"/>
                <w:color w:val="auto"/>
              </w:rPr>
            </w:pPr>
          </w:p>
        </w:tc>
      </w:tr>
      <w:tr>
        <w:trPr>
          <w:trHeight w:val="122"/>
        </w:trPr>
        <w:tc>
          <w:tcPr>
            <w:tcW w:w="5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Amortized</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ind w:left="80"/>
              <w:spacing w:after="0" w:line="122"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00"/>
              <w:spacing w:after="0" w:line="122" w:lineRule="exact"/>
              <w:rPr>
                <w:sz w:val="20"/>
                <w:szCs w:val="20"/>
                <w:color w:val="auto"/>
              </w:rPr>
            </w:pPr>
            <w:r>
              <w:rPr>
                <w:rFonts w:ascii="Arial" w:cs="Arial" w:eastAsia="Arial" w:hAnsi="Arial"/>
                <w:sz w:val="13"/>
                <w:szCs w:val="13"/>
                <w:b w:val="1"/>
                <w:bCs w:val="1"/>
                <w:color w:val="auto"/>
                <w:w w:val="97"/>
              </w:rPr>
              <w:t>Amortized</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22"/>
              <w:spacing w:after="0" w:line="122" w:lineRule="exact"/>
              <w:rPr>
                <w:sz w:val="20"/>
                <w:szCs w:val="20"/>
                <w:color w:val="auto"/>
              </w:rPr>
            </w:pPr>
            <w:r>
              <w:rPr>
                <w:rFonts w:ascii="Arial" w:cs="Arial" w:eastAsia="Arial" w:hAnsi="Arial"/>
                <w:sz w:val="13"/>
                <w:szCs w:val="13"/>
                <w:b w:val="1"/>
                <w:bCs w:val="1"/>
                <w:color w:val="auto"/>
              </w:rPr>
              <w:t>Fair</w:t>
            </w: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cost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value</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value</w:t>
            </w:r>
          </w:p>
        </w:tc>
      </w:tr>
      <w:tr>
        <w:trPr>
          <w:trHeight w:val="165"/>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Due after one year through five years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3"/>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43,382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43,431</w:t>
            </w:r>
          </w:p>
        </w:tc>
      </w:tr>
      <w:tr>
        <w:trPr>
          <w:trHeight w:val="21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10,532</w:t>
            </w:r>
          </w:p>
        </w:tc>
      </w:tr>
      <w:tr>
        <w:trPr>
          <w:trHeight w:val="21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Due after ten years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gridSpan w:val="3"/>
            <w:shd w:val="clear" w:color="auto" w:fill="CCEEFF"/>
          </w:tcPr>
          <w:p>
            <w:pPr>
              <w:jc w:val="right"/>
              <w:ind w:right="3"/>
              <w:spacing w:after="0"/>
              <w:rPr>
                <w:sz w:val="20"/>
                <w:szCs w:val="20"/>
                <w:color w:val="auto"/>
              </w:rPr>
            </w:pPr>
            <w:r>
              <w:rPr>
                <w:rFonts w:ascii="Arial" w:cs="Arial" w:eastAsia="Arial" w:hAnsi="Arial"/>
                <w:sz w:val="16"/>
                <w:szCs w:val="16"/>
                <w:color w:val="auto"/>
              </w:rPr>
              <w:t>737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53,953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89"/>
        </w:trPr>
        <w:tc>
          <w:tcPr>
            <w:tcW w:w="9680" w:type="dxa"/>
            <w:vAlign w:val="bottom"/>
            <w:gridSpan w:val="13"/>
          </w:tcPr>
          <w:p>
            <w:pPr>
              <w:ind w:left="300"/>
              <w:spacing w:after="0"/>
              <w:rPr>
                <w:sz w:val="20"/>
                <w:szCs w:val="20"/>
                <w:color w:val="auto"/>
              </w:rPr>
            </w:pPr>
            <w:r>
              <w:rPr>
                <w:rFonts w:ascii="Arial" w:cs="Arial" w:eastAsia="Arial" w:hAnsi="Arial"/>
                <w:sz w:val="16"/>
                <w:szCs w:val="16"/>
                <w:color w:val="auto"/>
              </w:rPr>
              <w:t>For the years ended December 31, 2020 and 2019, respectively, net investment income was derived from the following sources: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2"/>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w w:val="96"/>
              </w:rPr>
              <w:t>2019</w:t>
            </w: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5"/>
          </w:tcPr>
          <w:p>
            <w:pPr>
              <w:jc w:val="right"/>
              <w:ind w:right="178"/>
              <w:spacing w:after="0"/>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4"/>
                <w:szCs w:val="14"/>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Short-term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2,904</w:t>
            </w:r>
          </w:p>
        </w:tc>
      </w:tr>
      <w:tr>
        <w:trPr>
          <w:trHeight w:val="21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02"/>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issues.</w:t>
      </w:r>
    </w:p>
    <w:p>
      <w:pPr>
        <w:spacing w:after="0" w:line="118" w:lineRule="exact"/>
        <w:rPr>
          <w:sz w:val="20"/>
          <w:szCs w:val="20"/>
          <w:color w:val="auto"/>
        </w:rPr>
      </w:pPr>
    </w:p>
    <w:p>
      <w:pPr>
        <w:ind w:right="200" w:firstLine="297"/>
        <w:spacing w:after="0" w:line="290" w:lineRule="auto"/>
        <w:rPr>
          <w:sz w:val="20"/>
          <w:szCs w:val="20"/>
          <w:color w:val="auto"/>
        </w:rPr>
      </w:pPr>
      <w:r>
        <w:rPr>
          <w:rFonts w:ascii="Arial" w:cs="Arial" w:eastAsia="Arial" w:hAnsi="Arial"/>
          <w:sz w:val="16"/>
          <w:szCs w:val="16"/>
          <w:color w:val="auto"/>
        </w:rPr>
        <w:t>There was an immaterial amount of investment securities in an unrealized loss position as of December 31, 2020 and no investment securities in an unrealized loss position as of December 31, 2019.</w:t>
      </w:r>
    </w:p>
    <w:p>
      <w:pPr>
        <w:spacing w:after="0" w:line="99" w:lineRule="exact"/>
        <w:rPr>
          <w:sz w:val="20"/>
          <w:szCs w:val="20"/>
          <w:color w:val="auto"/>
        </w:rPr>
      </w:pPr>
    </w:p>
    <w:p>
      <w:pPr>
        <w:ind w:right="520" w:firstLine="297"/>
        <w:spacing w:after="0" w:line="325" w:lineRule="auto"/>
        <w:rPr>
          <w:sz w:val="20"/>
          <w:szCs w:val="20"/>
          <w:color w:val="auto"/>
        </w:rPr>
      </w:pPr>
      <w:r>
        <w:rPr>
          <w:rFonts w:ascii="Arial" w:cs="Arial" w:eastAsia="Arial" w:hAnsi="Arial"/>
          <w:sz w:val="15"/>
          <w:szCs w:val="15"/>
          <w:color w:val="auto"/>
        </w:rPr>
        <w:t>As of December 31, 2020 and 2019, all securities were investment grade, with credit ratings of AA+ or higher by S&amp;P. Unrealized losses on investment grade securities are principally related to changes in interest rates or changes in issuer or sector related credit spreads since the securities were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auto"/>
        </w:rPr>
        <w:t>Proceeds from sales and maturities of investment securities and related gross realized gains (losses) included within net investment income were as follows for the years ended December 31, 2020 and 2019,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5"/>
                <w:szCs w:val="15"/>
                <w:color w:val="auto"/>
              </w:rPr>
            </w:pPr>
          </w:p>
        </w:tc>
        <w:tc>
          <w:tcPr>
            <w:tcW w:w="1200" w:type="dxa"/>
            <w:vAlign w:val="bottom"/>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0"/>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Proceeds from sales of investment securities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269,205</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Proceeds from maturities of investment securities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55,635</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realized gains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Gross realized losses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realized gains (losses)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2020 and 2019, the Corporation had $7.5 million and $3.7 million, respectively, in deposits with various states and regulatory bodies.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166"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The following table presents a summary of fair value measurements for items that are measured at fair value on a recurring basis as of December 31,2020 and 2019,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5"/>
                <w:szCs w:val="15"/>
                <w:color w:val="auto"/>
              </w:rPr>
            </w:pPr>
          </w:p>
        </w:tc>
        <w:tc>
          <w:tcPr>
            <w:tcW w:w="1320" w:type="dxa"/>
            <w:vAlign w:val="bottom"/>
          </w:tcPr>
          <w:p>
            <w:pPr>
              <w:jc w:val="right"/>
              <w:ind w:right="260"/>
              <w:spacing w:after="0"/>
              <w:rPr>
                <w:sz w:val="20"/>
                <w:szCs w:val="20"/>
                <w:color w:val="auto"/>
              </w:rPr>
            </w:pPr>
            <w:r>
              <w:rPr>
                <w:rFonts w:ascii="Arial" w:cs="Arial" w:eastAsia="Arial" w:hAnsi="Arial"/>
                <w:sz w:val="13"/>
                <w:szCs w:val="13"/>
                <w:b w:val="1"/>
                <w:bCs w:val="1"/>
                <w:color w:val="auto"/>
              </w:rPr>
              <w:t>Total fair value</w:t>
            </w:r>
          </w:p>
        </w:tc>
      </w:tr>
      <w:tr>
        <w:trPr>
          <w:trHeight w:val="169"/>
        </w:trPr>
        <w:tc>
          <w:tcPr>
            <w:tcW w:w="4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38"/>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and government agencies</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53,963</w:t>
            </w:r>
          </w:p>
        </w:tc>
      </w:tr>
      <w:tr>
        <w:trPr>
          <w:trHeight w:val="203"/>
        </w:trPr>
        <w:tc>
          <w:tcPr>
            <w:tcW w:w="4720" w:type="dxa"/>
            <w:vAlign w:val="bottom"/>
            <w:gridSpan w:val="2"/>
          </w:tcPr>
          <w:p>
            <w:pPr>
              <w:ind w:left="32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53,963</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53,963</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44,810</w:t>
            </w:r>
          </w:p>
        </w:tc>
      </w:tr>
      <w:tr>
        <w:trPr>
          <w:trHeight w:val="210"/>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Warrants payable</w:t>
            </w:r>
          </w:p>
        </w:tc>
        <w:tc>
          <w:tcPr>
            <w:tcW w:w="3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97,782</w:t>
            </w:r>
          </w:p>
        </w:tc>
      </w:tr>
      <w:tr>
        <w:trPr>
          <w:trHeight w:val="228"/>
        </w:trPr>
        <w:tc>
          <w:tcPr>
            <w:tcW w:w="4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142,592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47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2019</w:t>
            </w:r>
          </w:p>
        </w:tc>
        <w:tc>
          <w:tcPr>
            <w:tcW w:w="34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24"/>
                <w:szCs w:val="24"/>
                <w:color w:val="auto"/>
              </w:rPr>
            </w:pPr>
          </w:p>
        </w:tc>
        <w:tc>
          <w:tcPr>
            <w:tcW w:w="1320" w:type="dxa"/>
            <w:vAlign w:val="bottom"/>
          </w:tcPr>
          <w:p>
            <w:pPr>
              <w:jc w:val="right"/>
              <w:ind w:right="260"/>
              <w:spacing w:after="0"/>
              <w:rPr>
                <w:sz w:val="20"/>
                <w:szCs w:val="20"/>
                <w:color w:val="auto"/>
              </w:rPr>
            </w:pPr>
            <w:r>
              <w:rPr>
                <w:rFonts w:ascii="Arial" w:cs="Arial" w:eastAsia="Arial" w:hAnsi="Arial"/>
                <w:sz w:val="13"/>
                <w:szCs w:val="13"/>
                <w:b w:val="1"/>
                <w:bCs w:val="1"/>
                <w:color w:val="auto"/>
              </w:rPr>
              <w:t>Total fair value</w:t>
            </w:r>
          </w:p>
        </w:tc>
      </w:tr>
      <w:tr>
        <w:trPr>
          <w:trHeight w:val="169"/>
        </w:trPr>
        <w:tc>
          <w:tcPr>
            <w:tcW w:w="4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38"/>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and government agencies</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56,428</w:t>
            </w:r>
          </w:p>
        </w:tc>
      </w:tr>
      <w:tr>
        <w:trPr>
          <w:trHeight w:val="203"/>
        </w:trPr>
        <w:tc>
          <w:tcPr>
            <w:tcW w:w="4720" w:type="dxa"/>
            <w:vAlign w:val="bottom"/>
            <w:gridSpan w:val="2"/>
          </w:tcPr>
          <w:p>
            <w:pPr>
              <w:ind w:left="32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56,428</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56,428</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138,561</w:t>
            </w:r>
          </w:p>
        </w:tc>
      </w:tr>
      <w:tr>
        <w:trPr>
          <w:trHeight w:val="210"/>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Warrants payable</w:t>
            </w:r>
          </w:p>
        </w:tc>
        <w:tc>
          <w:tcPr>
            <w:tcW w:w="34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17,672</w:t>
            </w:r>
          </w:p>
        </w:tc>
      </w:tr>
      <w:tr>
        <w:trPr>
          <w:trHeight w:val="228"/>
        </w:trPr>
        <w:tc>
          <w:tcPr>
            <w:tcW w:w="4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156,233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Note 13 (Notes and securities payable,) Note 14 (Warrants payable,) and Note 15 (Derivative liabilities) for additional information regarding liabilities.</w:t>
      </w:r>
    </w:p>
    <w:p>
      <w:pPr>
        <w:spacing w:after="0" w:line="16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6"/>
          <w:szCs w:val="16"/>
          <w:color w:val="auto"/>
        </w:rPr>
        <w:t>The fair value of convertible securities is based on level 3 inputs. The estimated fair value of the convertible securities was $949.6 million at December 31, 2020, and $251.9 million at December 31, 2019. The estimated fair value of the convertible securities and derivative liabilities at December 31, 2020, were calculated as the product of (i) the number of conversion shares under the valuation date and (ii) the marketable value per common share at the valuation date. The significant unobservable inputs used in the Black-Scholes model to measure the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derivative liabilities as of December 31, 2019, are as follows (the stock price and strike price are presented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2019</w:t>
            </w:r>
          </w:p>
        </w:tc>
        <w:tc>
          <w:tcPr>
            <w:tcW w:w="2340" w:type="dxa"/>
            <w:vAlign w:val="bottom"/>
            <w:gridSpan w:val="2"/>
          </w:tcPr>
          <w:p>
            <w:pPr>
              <w:ind w:left="520"/>
              <w:spacing w:after="0"/>
              <w:rPr>
                <w:sz w:val="20"/>
                <w:szCs w:val="20"/>
                <w:color w:val="auto"/>
              </w:rPr>
            </w:pPr>
            <w:r>
              <w:rPr>
                <w:rFonts w:ascii="Arial" w:cs="Arial" w:eastAsia="Arial" w:hAnsi="Arial"/>
                <w:sz w:val="13"/>
                <w:szCs w:val="13"/>
                <w:b w:val="1"/>
                <w:bCs w:val="1"/>
                <w:color w:val="auto"/>
              </w:rPr>
              <w:t>Convertible securities</w:t>
            </w:r>
          </w:p>
        </w:tc>
        <w:tc>
          <w:tcPr>
            <w:tcW w:w="2260" w:type="dxa"/>
            <w:vAlign w:val="bottom"/>
          </w:tcPr>
          <w:p>
            <w:pPr>
              <w:jc w:val="right"/>
              <w:ind w:right="480"/>
              <w:spacing w:after="0"/>
              <w:rPr>
                <w:sz w:val="20"/>
                <w:szCs w:val="20"/>
                <w:color w:val="auto"/>
              </w:rPr>
            </w:pPr>
            <w:r>
              <w:rPr>
                <w:rFonts w:ascii="Arial" w:cs="Arial" w:eastAsia="Arial" w:hAnsi="Arial"/>
                <w:sz w:val="13"/>
                <w:szCs w:val="13"/>
                <w:b w:val="1"/>
                <w:bCs w:val="1"/>
                <w:color w:val="auto"/>
              </w:rPr>
              <w:t>Derivative liabilities</w:t>
            </w:r>
          </w:p>
        </w:tc>
      </w:tr>
      <w:tr>
        <w:trPr>
          <w:trHeight w:val="208"/>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Beginning stock price (total value)</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$305,132 - $357,802</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$305,132 - $357,802</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Strike price (total value)</w:t>
            </w:r>
          </w:p>
        </w:tc>
        <w:tc>
          <w:tcPr>
            <w:tcW w:w="2240" w:type="dxa"/>
            <w:vAlign w:val="bottom"/>
          </w:tcPr>
          <w:p>
            <w:pPr>
              <w:jc w:val="right"/>
              <w:spacing w:after="0"/>
              <w:rPr>
                <w:sz w:val="20"/>
                <w:szCs w:val="20"/>
                <w:color w:val="auto"/>
              </w:rPr>
            </w:pPr>
            <w:r>
              <w:rPr>
                <w:rFonts w:ascii="Arial" w:cs="Arial" w:eastAsia="Arial" w:hAnsi="Arial"/>
                <w:sz w:val="16"/>
                <w:szCs w:val="16"/>
                <w:color w:val="auto"/>
              </w:rPr>
              <w:t>$462,012 - $531,315</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$462,012 - $965,184</w:t>
            </w:r>
          </w:p>
        </w:tc>
      </w:tr>
      <w:tr>
        <w:trPr>
          <w:trHeight w:val="211"/>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- 49%</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- 49%</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Expected term</w:t>
            </w:r>
          </w:p>
        </w:tc>
        <w:tc>
          <w:tcPr>
            <w:tcW w:w="2340" w:type="dxa"/>
            <w:vAlign w:val="bottom"/>
            <w:gridSpan w:val="2"/>
          </w:tcPr>
          <w:p>
            <w:pPr>
              <w:ind w:left="1620"/>
              <w:spacing w:after="0"/>
              <w:rPr>
                <w:sz w:val="20"/>
                <w:szCs w:val="20"/>
                <w:color w:val="auto"/>
              </w:rPr>
            </w:pPr>
            <w:r>
              <w:rPr>
                <w:rFonts w:ascii="Arial" w:cs="Arial" w:eastAsia="Arial" w:hAnsi="Arial"/>
                <w:sz w:val="16"/>
                <w:szCs w:val="16"/>
                <w:color w:val="auto"/>
              </w:rPr>
              <w:t>2-3 years</w:t>
            </w:r>
          </w:p>
        </w:tc>
        <w:tc>
          <w:tcPr>
            <w:tcW w:w="226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1"/>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-1.62%</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- 1.62%</w:t>
            </w:r>
          </w:p>
        </w:tc>
      </w:tr>
      <w:tr>
        <w:trPr>
          <w:trHeight w:val="209"/>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Discount factor</w:t>
            </w:r>
          </w:p>
        </w:tc>
        <w:tc>
          <w:tcPr>
            <w:tcW w:w="224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15 %</w:t>
            </w:r>
          </w:p>
        </w:tc>
      </w:tr>
    </w:tbl>
    <w:p>
      <w:pPr>
        <w:spacing w:after="0" w:line="224"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The stock price and strike price were used in multiple scenarios as part of the with and without approach to determine the fair value of convertible securities and the derivative liabilities were calculated on a total value basis. The stock price at December 31, 2019 was calculated as the product of (i) the estimated number of conversion shares under the scenarios and (ii) the value per Series D preferred share at the valuation date. The strike price at December 31, 2019 was equal to the effective value received by the holder upon the conversion of the convertible securities under the scenarios, calculated as the product of (i) principal and accrued interest at the conversion date and (ii) 1 / discount factor.</w:t>
      </w:r>
    </w:p>
    <w:p>
      <w:pPr>
        <w:spacing w:after="0" w:line="118" w:lineRule="exact"/>
        <w:rPr>
          <w:sz w:val="20"/>
          <w:szCs w:val="20"/>
          <w:color w:val="auto"/>
        </w:rPr>
      </w:pPr>
    </w:p>
    <w:p>
      <w:pPr>
        <w:ind w:right="100" w:firstLine="297"/>
        <w:spacing w:after="0" w:line="290" w:lineRule="auto"/>
        <w:rPr>
          <w:sz w:val="20"/>
          <w:szCs w:val="20"/>
          <w:color w:val="auto"/>
        </w:rPr>
      </w:pPr>
      <w:r>
        <w:rPr>
          <w:rFonts w:ascii="Arial" w:cs="Arial" w:eastAsia="Arial" w:hAnsi="Arial"/>
          <w:sz w:val="16"/>
          <w:szCs w:val="16"/>
          <w:color w:val="auto"/>
        </w:rPr>
        <w:t>The significant unobservable inputs used in the Black-Scholes model to measure the warrants payable that are categorized within Level 3 of the fair value hierarchy, as of the years ended December 31, 2020 and 2019, respectively,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Preferred stock purchase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82"/>
              <w:spacing w:after="0"/>
              <w:rPr>
                <w:sz w:val="20"/>
                <w:szCs w:val="20"/>
                <w:color w:val="auto"/>
              </w:rPr>
            </w:pPr>
            <w:r>
              <w:rPr>
                <w:rFonts w:ascii="Arial" w:cs="Arial" w:eastAsia="Arial" w:hAnsi="Arial"/>
                <w:sz w:val="13"/>
                <w:szCs w:val="13"/>
                <w:b w:val="1"/>
                <w:bCs w:val="1"/>
                <w:color w:val="auto"/>
                <w:w w:val="88"/>
              </w:rPr>
              <w:t>Common stock purchase</w:t>
            </w:r>
          </w:p>
        </w:tc>
        <w:tc>
          <w:tcPr>
            <w:tcW w:w="0" w:type="dxa"/>
            <w:vAlign w:val="bottom"/>
          </w:tcPr>
          <w:p>
            <w:pPr>
              <w:spacing w:after="0"/>
              <w:rPr>
                <w:sz w:val="1"/>
                <w:szCs w:val="1"/>
                <w:color w:val="auto"/>
              </w:rPr>
            </w:pPr>
          </w:p>
        </w:tc>
      </w:tr>
      <w:tr>
        <w:trPr>
          <w:trHeight w:val="171"/>
        </w:trPr>
        <w:tc>
          <w:tcPr>
            <w:tcW w:w="7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warrants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82"/>
              <w:spacing w:after="0"/>
              <w:rPr>
                <w:sz w:val="20"/>
                <w:szCs w:val="20"/>
                <w:color w:val="auto"/>
              </w:rPr>
            </w:pPr>
            <w:r>
              <w:rPr>
                <w:rFonts w:ascii="Arial" w:cs="Arial" w:eastAsia="Arial" w:hAnsi="Arial"/>
                <w:sz w:val="13"/>
                <w:szCs w:val="13"/>
                <w:b w:val="1"/>
                <w:bCs w:val="1"/>
                <w:color w:val="auto"/>
                <w:w w:val="92"/>
              </w:rPr>
              <w:t>warrants</w:t>
            </w:r>
          </w:p>
        </w:tc>
        <w:tc>
          <w:tcPr>
            <w:tcW w:w="0" w:type="dxa"/>
            <w:vAlign w:val="bottom"/>
          </w:tcPr>
          <w:p>
            <w:pPr>
              <w:spacing w:after="0"/>
              <w:rPr>
                <w:sz w:val="1"/>
                <w:szCs w:val="1"/>
                <w:color w:val="auto"/>
              </w:rPr>
            </w:pPr>
          </w:p>
        </w:tc>
      </w:tr>
      <w:tr>
        <w:trPr>
          <w:trHeight w:val="204"/>
        </w:trPr>
        <w:tc>
          <w:tcPr>
            <w:tcW w:w="7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Beginning stock price</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0"/>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Strike price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1"/>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0" w:type="dxa"/>
            <w:vAlign w:val="bottom"/>
          </w:tcPr>
          <w:p>
            <w:pPr>
              <w:spacing w:after="0"/>
              <w:rPr>
                <w:sz w:val="1"/>
                <w:szCs w:val="1"/>
                <w:color w:val="auto"/>
              </w:rPr>
            </w:pPr>
          </w:p>
        </w:tc>
      </w:tr>
      <w:tr>
        <w:trPr>
          <w:trHeight w:val="210"/>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Expected term</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0.02 years</w:t>
            </w:r>
          </w:p>
        </w:tc>
        <w:tc>
          <w:tcPr>
            <w:tcW w:w="0" w:type="dxa"/>
            <w:vAlign w:val="bottom"/>
          </w:tcPr>
          <w:p>
            <w:pPr>
              <w:spacing w:after="0"/>
              <w:rPr>
                <w:sz w:val="1"/>
                <w:szCs w:val="1"/>
                <w:color w:val="auto"/>
              </w:rPr>
            </w:pPr>
          </w:p>
        </w:tc>
      </w:tr>
      <w:tr>
        <w:trPr>
          <w:trHeight w:val="211"/>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9"/>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Discount factor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72"/>
        </w:trPr>
        <w:tc>
          <w:tcPr>
            <w:tcW w:w="7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Preferred stock purchase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center"/>
              <w:ind w:right="62"/>
              <w:spacing w:after="0"/>
              <w:rPr>
                <w:sz w:val="20"/>
                <w:szCs w:val="20"/>
                <w:color w:val="auto"/>
              </w:rPr>
            </w:pPr>
            <w:r>
              <w:rPr>
                <w:rFonts w:ascii="Arial" w:cs="Arial" w:eastAsia="Arial" w:hAnsi="Arial"/>
                <w:sz w:val="13"/>
                <w:szCs w:val="13"/>
                <w:b w:val="1"/>
                <w:bCs w:val="1"/>
                <w:color w:val="auto"/>
                <w:w w:val="90"/>
              </w:rPr>
              <w:t>Common stock purchase</w:t>
            </w:r>
          </w:p>
        </w:tc>
        <w:tc>
          <w:tcPr>
            <w:tcW w:w="0" w:type="dxa"/>
            <w:vAlign w:val="bottom"/>
          </w:tcPr>
          <w:p>
            <w:pPr>
              <w:spacing w:after="0"/>
              <w:rPr>
                <w:sz w:val="1"/>
                <w:szCs w:val="1"/>
                <w:color w:val="auto"/>
              </w:rPr>
            </w:pPr>
          </w:p>
        </w:tc>
      </w:tr>
      <w:tr>
        <w:trPr>
          <w:trHeight w:val="171"/>
        </w:trPr>
        <w:tc>
          <w:tcPr>
            <w:tcW w:w="7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warrants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62"/>
              <w:spacing w:after="0"/>
              <w:rPr>
                <w:sz w:val="20"/>
                <w:szCs w:val="20"/>
                <w:color w:val="auto"/>
              </w:rPr>
            </w:pPr>
            <w:r>
              <w:rPr>
                <w:rFonts w:ascii="Arial" w:cs="Arial" w:eastAsia="Arial" w:hAnsi="Arial"/>
                <w:sz w:val="13"/>
                <w:szCs w:val="13"/>
                <w:b w:val="1"/>
                <w:bCs w:val="1"/>
                <w:color w:val="auto"/>
                <w:w w:val="95"/>
              </w:rPr>
              <w:t>warrants</w:t>
            </w:r>
          </w:p>
        </w:tc>
        <w:tc>
          <w:tcPr>
            <w:tcW w:w="0" w:type="dxa"/>
            <w:vAlign w:val="bottom"/>
          </w:tcPr>
          <w:p>
            <w:pPr>
              <w:spacing w:after="0"/>
              <w:rPr>
                <w:sz w:val="1"/>
                <w:szCs w:val="1"/>
                <w:color w:val="auto"/>
              </w:rPr>
            </w:pPr>
          </w:p>
        </w:tc>
      </w:tr>
      <w:tr>
        <w:trPr>
          <w:trHeight w:val="204"/>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Beginning stock price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10.27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10"/>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Strike price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ind w:right="122"/>
              <w:spacing w:after="0"/>
              <w:rPr>
                <w:sz w:val="20"/>
                <w:szCs w:val="20"/>
                <w:color w:val="auto"/>
              </w:rPr>
            </w:pPr>
            <w:r>
              <w:rPr>
                <w:rFonts w:ascii="Arial" w:cs="Arial" w:eastAsia="Arial" w:hAnsi="Arial"/>
                <w:sz w:val="16"/>
                <w:szCs w:val="16"/>
                <w:color w:val="auto"/>
              </w:rPr>
              <w:t>17.27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1"/>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- 49%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 - 84.6%</w:t>
            </w:r>
          </w:p>
        </w:tc>
        <w:tc>
          <w:tcPr>
            <w:tcW w:w="0" w:type="dxa"/>
            <w:vAlign w:val="bottom"/>
          </w:tcPr>
          <w:p>
            <w:pPr>
              <w:spacing w:after="0"/>
              <w:rPr>
                <w:sz w:val="1"/>
                <w:szCs w:val="1"/>
                <w:color w:val="auto"/>
              </w:rPr>
            </w:pPr>
          </w:p>
        </w:tc>
      </w:tr>
      <w:tr>
        <w:trPr>
          <w:trHeight w:val="210"/>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Expected term</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6"/>
                <w:szCs w:val="16"/>
                <w:color w:val="auto"/>
              </w:rPr>
              <w:t>2 -3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11"/>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- 1.62%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- 1.62%</w:t>
            </w:r>
          </w:p>
        </w:tc>
        <w:tc>
          <w:tcPr>
            <w:tcW w:w="0" w:type="dxa"/>
            <w:vAlign w:val="bottom"/>
          </w:tcPr>
          <w:p>
            <w:pPr>
              <w:spacing w:after="0"/>
              <w:rPr>
                <w:sz w:val="1"/>
                <w:szCs w:val="1"/>
                <w:color w:val="auto"/>
              </w:rPr>
            </w:pPr>
          </w:p>
        </w:tc>
      </w:tr>
      <w:tr>
        <w:trPr>
          <w:trHeight w:val="209"/>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Discount factor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changes in balances of Level 3 financial liabilities during 2020 and 2019, respectively,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ind w:left="40"/>
              <w:spacing w:after="0"/>
              <w:rPr>
                <w:sz w:val="20"/>
                <w:szCs w:val="20"/>
                <w:color w:val="auto"/>
              </w:rPr>
            </w:pPr>
            <w:r>
              <w:rPr>
                <w:rFonts w:ascii="Arial" w:cs="Arial" w:eastAsia="Arial" w:hAnsi="Arial"/>
                <w:sz w:val="13"/>
                <w:szCs w:val="13"/>
                <w:b w:val="1"/>
                <w:bCs w:val="1"/>
                <w:color w:val="auto"/>
              </w:rPr>
              <w:t>Convertible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3"/>
                <w:szCs w:val="13"/>
                <w:b w:val="1"/>
                <w:bCs w:val="1"/>
                <w:color w:val="auto"/>
              </w:rPr>
              <w:t>Derivative liabilities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ind w:left="80"/>
              <w:spacing w:after="0"/>
              <w:rPr>
                <w:sz w:val="20"/>
                <w:szCs w:val="20"/>
                <w:color w:val="auto"/>
              </w:rPr>
            </w:pPr>
            <w:r>
              <w:rPr>
                <w:rFonts w:ascii="Arial" w:cs="Arial" w:eastAsia="Arial" w:hAnsi="Arial"/>
                <w:sz w:val="13"/>
                <w:szCs w:val="13"/>
                <w:b w:val="1"/>
                <w:bCs w:val="1"/>
                <w:color w:val="auto"/>
              </w:rPr>
              <w:t>Warrants payable</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0"/>
              <w:spacing w:after="0"/>
              <w:rPr>
                <w:sz w:val="20"/>
                <w:szCs w:val="20"/>
                <w:color w:val="auto"/>
              </w:rPr>
            </w:pPr>
            <w:r>
              <w:rPr>
                <w:rFonts w:ascii="Arial" w:cs="Arial" w:eastAsia="Arial" w:hAnsi="Arial"/>
                <w:sz w:val="13"/>
                <w:szCs w:val="13"/>
                <w:b w:val="1"/>
                <w:bCs w:val="1"/>
                <w:color w:val="auto"/>
              </w:rPr>
              <w:t>Total</w:t>
            </w:r>
          </w:p>
        </w:tc>
      </w:tr>
      <w:tr>
        <w:trPr>
          <w:trHeight w:val="169"/>
        </w:trPr>
        <w:tc>
          <w:tcPr>
            <w:tcW w:w="4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gridSpan w:val="8"/>
          </w:tcPr>
          <w:p>
            <w:pPr>
              <w:ind w:left="106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1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408,118</w:t>
            </w: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Issuances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Transfers 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 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recognized losses (gains)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684,027</w:t>
            </w:r>
          </w:p>
        </w:tc>
      </w:tr>
      <w:tr>
        <w:trPr>
          <w:trHeight w:val="228"/>
        </w:trPr>
        <w:tc>
          <w:tcPr>
            <w:tcW w:w="4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Ending balance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949,553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97,782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1,092,145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3"/>
                <w:szCs w:val="13"/>
                <w:b w:val="1"/>
                <w:bCs w:val="1"/>
                <w:color w:val="auto"/>
              </w:rPr>
              <w:t>Convertible securities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3"/>
                <w:szCs w:val="13"/>
                <w:b w:val="1"/>
                <w:bCs w:val="1"/>
                <w:color w:val="auto"/>
              </w:rPr>
              <w:t>Derivative liabilities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3"/>
                <w:szCs w:val="13"/>
                <w:b w:val="1"/>
                <w:bCs w:val="1"/>
                <w:color w:val="auto"/>
              </w:rPr>
              <w:t>Warrants payable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40"/>
              <w:spacing w:after="0"/>
              <w:rPr>
                <w:sz w:val="20"/>
                <w:szCs w:val="20"/>
                <w:color w:val="auto"/>
              </w:rPr>
            </w:pPr>
            <w:r>
              <w:rPr>
                <w:rFonts w:ascii="Arial" w:cs="Arial" w:eastAsia="Arial" w:hAnsi="Arial"/>
                <w:sz w:val="13"/>
                <w:szCs w:val="13"/>
                <w:b w:val="1"/>
                <w:bCs w:val="1"/>
                <w:color w:val="auto"/>
              </w:rPr>
              <w:t>Total</w:t>
            </w:r>
          </w:p>
        </w:tc>
      </w:tr>
      <w:tr>
        <w:trPr>
          <w:trHeight w:val="169"/>
        </w:trPr>
        <w:tc>
          <w:tcPr>
            <w:tcW w:w="4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gridSpan w:val="8"/>
          </w:tcPr>
          <w:p>
            <w:pPr>
              <w:ind w:left="106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1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14,836</w:t>
            </w: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Issuances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237,362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237,362</w:t>
            </w: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Transfers 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 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recognized losses (gains)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138,561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155,920</w:t>
            </w:r>
          </w:p>
        </w:tc>
      </w:tr>
      <w:tr>
        <w:trPr>
          <w:trHeight w:val="228"/>
        </w:trPr>
        <w:tc>
          <w:tcPr>
            <w:tcW w:w="4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Ending balance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251,885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408,118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160" w:firstLine="297"/>
        <w:spacing w:after="0" w:line="274" w:lineRule="auto"/>
        <w:rPr>
          <w:sz w:val="20"/>
          <w:szCs w:val="20"/>
          <w:color w:val="auto"/>
        </w:rPr>
      </w:pPr>
      <w:r>
        <w:rPr>
          <w:rFonts w:ascii="Arial" w:cs="Arial" w:eastAsia="Arial" w:hAnsi="Arial"/>
          <w:sz w:val="16"/>
          <w:szCs w:val="16"/>
          <w:color w:val="auto"/>
        </w:rPr>
        <w:t>In addition to the Level 3 financial liabilities in the table above, on September 25, 2020, the Corporation issued the 2020 Convertible Note (see Note 13 “Notes and securities payable,” for further details) with the carrying value approximating the fair value of $20.0 million. As of December 31, 2020, the carrying value and the fair value of the 2020 Convertible Note was $20.4 million and was considered a Level 3 financial liability.</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transfers in and out of Level 3 financial assets or liabilities during the years ended December 31, 2020 or 2019.</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Acquisition</w:t>
      </w:r>
    </w:p>
    <w:p>
      <w:pPr>
        <w:spacing w:after="0" w:line="166" w:lineRule="exact"/>
        <w:rPr>
          <w:sz w:val="20"/>
          <w:szCs w:val="20"/>
          <w:color w:val="auto"/>
        </w:rPr>
      </w:pPr>
    </w:p>
    <w:p>
      <w:pPr>
        <w:jc w:val="both"/>
        <w:ind w:right="100" w:firstLine="297"/>
        <w:spacing w:after="0" w:line="300" w:lineRule="auto"/>
        <w:rPr>
          <w:sz w:val="20"/>
          <w:szCs w:val="20"/>
          <w:color w:val="auto"/>
        </w:rPr>
      </w:pPr>
      <w:r>
        <w:rPr>
          <w:rFonts w:ascii="Arial" w:cs="Arial" w:eastAsia="Arial" w:hAnsi="Arial"/>
          <w:sz w:val="15"/>
          <w:szCs w:val="15"/>
          <w:color w:val="auto"/>
        </w:rPr>
        <w:t>On February 28, 2019, the Corporation entered into a securities purchase agreement with Censeo Health, LLC to acquire 100% of the outstanding equity interests of Principium Health, LLC (Principium) and Medical Service Professionals of NJ, LLC, providers of in-home chronic care management services, for a total purchase price of approximately $1.4 million. The goodwill resulting from the transaction that was recorded by the Corporation was approximately $1.2 million.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Healthcare receivables</w:t>
      </w:r>
    </w:p>
    <w:p>
      <w:pPr>
        <w:spacing w:after="0" w:line="166" w:lineRule="exact"/>
        <w:rPr>
          <w:sz w:val="20"/>
          <w:szCs w:val="20"/>
          <w:color w:val="auto"/>
        </w:rPr>
      </w:pPr>
    </w:p>
    <w:p>
      <w:pPr>
        <w:ind w:right="340" w:firstLine="297"/>
        <w:spacing w:after="0" w:line="266" w:lineRule="auto"/>
        <w:rPr>
          <w:sz w:val="20"/>
          <w:szCs w:val="20"/>
          <w:color w:val="auto"/>
        </w:rPr>
      </w:pPr>
      <w:r>
        <w:rPr>
          <w:rFonts w:ascii="Arial" w:cs="Arial" w:eastAsia="Arial" w:hAnsi="Arial"/>
          <w:sz w:val="16"/>
          <w:szCs w:val="16"/>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2020 and 2019, the Corporation recognized rebate receivables of approximately $26.6 million and $17.5 million, respectively. In addition to pharmaceutical rebates, Medicare Part D settlement receivables, member premium receivables and other CMS receivables included in the balance totaled $12.1 million and $8.3 million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left="301" w:right="9200" w:hanging="301"/>
        <w:spacing w:after="0" w:line="519" w:lineRule="auto"/>
        <w:tabs>
          <w:tab w:leader="none" w:pos="169"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Related party transactions </w:t>
      </w:r>
      <w:r>
        <w:rPr>
          <w:rFonts w:ascii="Arial" w:cs="Arial" w:eastAsia="Arial" w:hAnsi="Arial"/>
          <w:sz w:val="14"/>
          <w:szCs w:val="14"/>
          <w:b w:val="1"/>
          <w:bCs w:val="1"/>
          <w:i w:val="1"/>
          <w:iCs w:val="1"/>
          <w:color w:val="auto"/>
        </w:rPr>
        <w:t>Related party agreements</w:t>
      </w:r>
    </w:p>
    <w:p>
      <w:pPr>
        <w:ind w:left="1" w:right="120" w:firstLine="297"/>
        <w:spacing w:after="0" w:line="264" w:lineRule="auto"/>
        <w:rPr>
          <w:sz w:val="20"/>
          <w:szCs w:val="20"/>
          <w:color w:val="auto"/>
        </w:rPr>
      </w:pPr>
      <w:r>
        <w:rPr>
          <w:rFonts w:ascii="Arial" w:cs="Arial" w:eastAsia="Arial" w:hAnsi="Arial"/>
          <w:sz w:val="16"/>
          <w:szCs w:val="16"/>
          <w:color w:val="auto"/>
        </w:rPr>
        <w:t>The Corporation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$11.1 million and $9.7 million for the years ended December 31, 2020 and 2019, respectively.</w:t>
      </w:r>
    </w:p>
    <w:p>
      <w:pPr>
        <w:spacing w:after="0" w:line="121"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Securities payable to related parties</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4"/>
          <w:szCs w:val="14"/>
          <w:color w:val="auto"/>
        </w:rPr>
        <w:t>The Corporation has entered into various securities payable arrangements with certain related parties as further discussed in Note 12 “Notes and securities payable.”</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9. Property and equipment, net</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Property and equipment, net consists of the following:</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As of December 31,</w:t>
            </w:r>
          </w:p>
        </w:tc>
        <w:tc>
          <w:tcPr>
            <w:tcW w:w="360" w:type="dxa"/>
            <w:vAlign w:val="bottom"/>
          </w:tcPr>
          <w:p>
            <w:pPr>
              <w:spacing w:after="0"/>
              <w:rPr>
                <w:sz w:val="15"/>
                <w:szCs w:val="15"/>
                <w:color w:val="auto"/>
              </w:rPr>
            </w:pPr>
          </w:p>
        </w:tc>
        <w:tc>
          <w:tcPr>
            <w:tcW w:w="1200" w:type="dxa"/>
            <w:vAlign w:val="bottom"/>
          </w:tcPr>
          <w:p>
            <w:pPr>
              <w:jc w:val="right"/>
              <w:ind w:right="58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0"/>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3,088</w:t>
            </w:r>
          </w:p>
        </w:tc>
      </w:tr>
      <w:tr>
        <w:trPr>
          <w:trHeight w:val="21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 furniture and fixtures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r>
      <w:tr>
        <w:trPr>
          <w:trHeight w:val="203"/>
        </w:trPr>
        <w:tc>
          <w:tcPr>
            <w:tcW w:w="80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r>
    </w:tbl>
    <w:p>
      <w:pPr>
        <w:spacing w:after="0" w:line="222" w:lineRule="exact"/>
        <w:rPr>
          <w:sz w:val="20"/>
          <w:szCs w:val="20"/>
          <w:color w:val="auto"/>
        </w:rPr>
      </w:pPr>
    </w:p>
    <w:p>
      <w:pPr>
        <w:ind w:left="301"/>
        <w:spacing w:after="0"/>
        <w:rPr>
          <w:sz w:val="20"/>
          <w:szCs w:val="20"/>
          <w:color w:val="auto"/>
        </w:rPr>
      </w:pPr>
      <w:r>
        <w:rPr>
          <w:rFonts w:ascii="Arial" w:cs="Arial" w:eastAsia="Arial" w:hAnsi="Arial"/>
          <w:sz w:val="15"/>
          <w:szCs w:val="15"/>
          <w:color w:val="auto"/>
        </w:rPr>
        <w:t>Depreciation expense recorded by the Corporation was approximately $0.5 million and $0.6 million for the years ended December 31, 2020 and 2019, respectively.</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5"/>
          <w:szCs w:val="15"/>
          <w:color w:val="auto"/>
        </w:rPr>
        <w:t>Amortization expense recorded by the Corporation was approximately $0.1 million and $0 million for the years ended December 31, 2020 and 2019, respectively.</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10. Goodwill and other intangible assets</w:t>
      </w:r>
    </w:p>
    <w:p>
      <w:pPr>
        <w:spacing w:after="0" w:line="166" w:lineRule="exact"/>
        <w:rPr>
          <w:sz w:val="20"/>
          <w:szCs w:val="20"/>
          <w:color w:val="auto"/>
        </w:rPr>
      </w:pPr>
    </w:p>
    <w:p>
      <w:pPr>
        <w:ind w:left="1" w:right="80" w:firstLine="297"/>
        <w:spacing w:after="0" w:line="264" w:lineRule="auto"/>
        <w:rPr>
          <w:sz w:val="20"/>
          <w:szCs w:val="20"/>
          <w:color w:val="auto"/>
        </w:rPr>
      </w:pPr>
      <w:r>
        <w:rPr>
          <w:rFonts w:ascii="Arial" w:cs="Arial" w:eastAsia="Arial" w:hAnsi="Arial"/>
          <w:sz w:val="16"/>
          <w:szCs w:val="16"/>
          <w:color w:val="auto"/>
        </w:rPr>
        <w:t>Other intangible assets were $3.0 million and $3.0 million as of December 31, 2020 and 2019, respectively. The other intangible assets consist of licenses with indefinite useful lives that are related to Certificates of Operating Authority in 45 states and the District of Columbia. Goodwill was $1.2 million and $1.2 million as of December 31, 2020 and 2019, respectively. Intangible assets with indefinite useful lives and goodwill are not amortized but are tested for impairment at least annually, or more frequently if events or changes in circumstances indicate that the assets may be impaired. As of December 31, 2020 and 2019, respectively, there were no circumstances that indicate that the carrying amount of goodwill and intangible assets deemed to have an indefinite useful life may not be recoverable. No impairment was recorded during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Unpaid claims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Activity in the liability for unpaid claims, including claims adjustment expenses,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200" w:type="dxa"/>
            <w:vAlign w:val="bottom"/>
          </w:tcPr>
          <w:p>
            <w:pPr>
              <w:jc w:val="right"/>
              <w:ind w:right="58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9"/>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balance</w:t>
            </w:r>
            <w:r>
              <w:rPr>
                <w:rFonts w:ascii="Arial" w:cs="Arial" w:eastAsia="Arial" w:hAnsi="Arial"/>
                <w:sz w:val="16"/>
                <w:szCs w:val="16"/>
                <w:color w:val="auto"/>
              </w:rPr>
              <w:t>, beginning of year</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54,004</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Less: reinsurance recoverable, beginning of year</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(12,344)</w:t>
            </w:r>
          </w:p>
        </w:tc>
      </w:tr>
      <w:tr>
        <w:trPr>
          <w:trHeight w:val="20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balance</w:t>
            </w:r>
            <w:r>
              <w:rPr>
                <w:rFonts w:ascii="Arial" w:cs="Arial" w:eastAsia="Arial" w:hAnsi="Arial"/>
                <w:sz w:val="16"/>
                <w:szCs w:val="16"/>
                <w:color w:val="auto"/>
              </w:rPr>
              <w:t>, beginning of year</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77,886</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41,660</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Incurred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year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604,183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453,423</w:t>
            </w:r>
          </w:p>
        </w:tc>
      </w:tr>
      <w:tr>
        <w:trPr>
          <w:trHeight w:val="210"/>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Prior years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incurred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590,468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450,645</w:t>
            </w:r>
          </w:p>
        </w:tc>
      </w:tr>
      <w:tr>
        <w:trPr>
          <w:trHeight w:val="19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Paid related to:</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year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376,677</w:t>
            </w:r>
          </w:p>
        </w:tc>
      </w:tr>
      <w:tr>
        <w:trPr>
          <w:trHeight w:val="210"/>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Prior years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37,742</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paid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564,378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414,419</w:t>
            </w:r>
          </w:p>
        </w:tc>
      </w:tr>
      <w:tr>
        <w:trPr>
          <w:trHeight w:val="202"/>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balance</w:t>
            </w:r>
            <w:r>
              <w:rPr>
                <w:rFonts w:ascii="Arial" w:cs="Arial" w:eastAsia="Arial" w:hAnsi="Arial"/>
                <w:sz w:val="16"/>
                <w:szCs w:val="16"/>
                <w:color w:val="auto"/>
              </w:rPr>
              <w:t>, end of year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103,976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77,886</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Plus: reinsurance recoverable, end of year</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 balance</w:t>
            </w:r>
            <w:r>
              <w:rPr>
                <w:rFonts w:ascii="Arial" w:cs="Arial" w:eastAsia="Arial" w:hAnsi="Arial"/>
                <w:sz w:val="16"/>
                <w:szCs w:val="16"/>
                <w:color w:val="auto"/>
              </w:rPr>
              <w:t>, end of year</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103,976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77,886</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40" w:firstLine="297"/>
        <w:spacing w:after="0" w:line="287" w:lineRule="auto"/>
        <w:rPr>
          <w:sz w:val="20"/>
          <w:szCs w:val="20"/>
          <w:color w:val="auto"/>
        </w:rPr>
      </w:pPr>
      <w:r>
        <w:rPr>
          <w:rFonts w:ascii="Arial" w:cs="Arial" w:eastAsia="Arial" w:hAnsi="Arial"/>
          <w:sz w:val="15"/>
          <w:szCs w:val="15"/>
          <w:color w:val="auto"/>
        </w:rPr>
        <w:t>Unpaid claims as of December 31, 2020, were $104.0 million. As of December 31, 2020, $63.0 million has been paid for incurred claims and claims adjustment expenses attributable to insured events of prior years. The favorable development recognized in 2020 resulted from the actual experience developing differently from estimates as of December 31, 2019, partially attributable to the deferral of healthcare services as a result of the stay-at-home orders and closure of certain provider facilities throughout the year due to COVID-19 restrictions. Original estimates are increased or decreased, as additional information becomes known regarding individual claims. The ratio of current year medical claims paid as a percent of current year net medical claims incurred was 83.0% for 2020 and 83.1% for 2019.</w:t>
      </w:r>
    </w:p>
    <w:p>
      <w:pPr>
        <w:spacing w:after="0" w:line="106"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The Corporation did not have any significant changes in methodologies or assumptions used in the calculation of the liability for unpaid claims or claims adjustment expenses.</w:t>
      </w:r>
    </w:p>
    <w:p>
      <w:pPr>
        <w:spacing w:after="0" w:line="99"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auto"/>
        </w:rPr>
        <w:t>The Corporation uses a variety of standard actuarial techniques to establish unpaid claims reserves. Management estimates are supported by the Corporation’s annual actuarial analysis. The Corporation utilized an in-house actuary to review the adequacy of unpaid claim and unpaid claim adjustment expense. Management believes that the reserves are adequate based on the available information. The estimation of claim costs is inherently difficult and requires significant judgement. The estimation has considerable inherent variability can vary significantly depending upon several factors, including medical cost trends and claim payment patterns, general economic conditions, regulatory changes, and known outbreaks of disease, including COVID-19. Only time and the eventual resolution of each claim will determine whether the claim reserves will ultimately prove to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80" w:firstLine="297"/>
        <w:spacing w:after="0" w:line="290" w:lineRule="auto"/>
        <w:rPr>
          <w:sz w:val="20"/>
          <w:szCs w:val="20"/>
          <w:color w:val="auto"/>
        </w:rPr>
      </w:pPr>
      <w:r>
        <w:rPr>
          <w:rFonts w:ascii="Arial" w:cs="Arial" w:eastAsia="Arial" w:hAnsi="Arial"/>
          <w:sz w:val="16"/>
          <w:szCs w:val="16"/>
          <w:color w:val="auto"/>
        </w:rPr>
        <w:t>The following is information about incurred and paid claims development for medical claims, as well as cumulative claim frequency and the total of incurred but not reported liabilities as of December 31, 2020, respectively.</w:t>
      </w:r>
    </w:p>
    <w:p>
      <w:pPr>
        <w:spacing w:after="0" w:line="129"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Cumulative incurred claims for the years ended December 31,</w:t>
      </w:r>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127"/>
        </w:trPr>
        <w:tc>
          <w:tcPr>
            <w:tcW w:w="31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i w:val="1"/>
                <w:iCs w:val="1"/>
                <w:color w:val="auto"/>
              </w:rPr>
              <w:t>Incurred year</w:t>
            </w: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43"/>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vMerge w:val="restart"/>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tcPr>
          <w:p>
            <w:pPr>
              <w:jc w:val="center"/>
              <w:ind w:right="200"/>
              <w:spacing w:after="0" w:line="128" w:lineRule="exact"/>
              <w:rPr>
                <w:sz w:val="20"/>
                <w:szCs w:val="20"/>
                <w:color w:val="auto"/>
              </w:rPr>
            </w:pPr>
            <w:r>
              <w:rPr>
                <w:rFonts w:ascii="Arial" w:cs="Arial" w:eastAsia="Arial" w:hAnsi="Arial"/>
                <w:sz w:val="13"/>
                <w:szCs w:val="13"/>
                <w:b w:val="1"/>
                <w:bCs w:val="1"/>
                <w:color w:val="auto"/>
                <w:w w:val="96"/>
              </w:rPr>
              <w:t>Total</w:t>
            </w:r>
          </w:p>
        </w:tc>
        <w:tc>
          <w:tcPr>
            <w:tcW w:w="15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w w:val="91"/>
              </w:rPr>
              <w:t>Number of reported claims</w:t>
            </w:r>
          </w:p>
        </w:tc>
        <w:tc>
          <w:tcPr>
            <w:tcW w:w="0" w:type="dxa"/>
            <w:vAlign w:val="bottom"/>
          </w:tcPr>
          <w:p>
            <w:pPr>
              <w:spacing w:after="0"/>
              <w:rPr>
                <w:sz w:val="1"/>
                <w:szCs w:val="1"/>
                <w:color w:val="auto"/>
              </w:rPr>
            </w:pPr>
          </w:p>
        </w:tc>
      </w:tr>
      <w:tr>
        <w:trPr>
          <w:trHeight w:val="172"/>
        </w:trPr>
        <w:tc>
          <w:tcPr>
            <w:tcW w:w="3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IBNR</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(in thousands)</w:t>
            </w: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5"/>
          </w:tcPr>
          <w:p>
            <w:pPr>
              <w:jc w:val="right"/>
              <w:ind w:right="39"/>
              <w:spacing w:after="0"/>
              <w:rPr>
                <w:sz w:val="20"/>
                <w:szCs w:val="20"/>
                <w:color w:val="auto"/>
              </w:rPr>
            </w:pPr>
            <w:r>
              <w:rPr>
                <w:rFonts w:ascii="Arial" w:cs="Arial" w:eastAsia="Arial" w:hAnsi="Arial"/>
                <w:sz w:val="13"/>
                <w:szCs w:val="13"/>
                <w:b w:val="1"/>
                <w:bCs w:val="1"/>
                <w:color w:val="auto"/>
                <w:w w:val="90"/>
              </w:rPr>
              <w:t>(in thousands, except for number of reported claims)</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 and prior</w:t>
            </w: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552,456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549,678</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549,649</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1,737,684</w:t>
            </w:r>
          </w:p>
        </w:tc>
        <w:tc>
          <w:tcPr>
            <w:tcW w:w="0" w:type="dxa"/>
            <w:vAlign w:val="bottom"/>
          </w:tcPr>
          <w:p>
            <w:pPr>
              <w:spacing w:after="0"/>
              <w:rPr>
                <w:sz w:val="1"/>
                <w:szCs w:val="1"/>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412,695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399,009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1,188,472</w:t>
            </w: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604,183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1,433,049</w:t>
            </w:r>
          </w:p>
        </w:tc>
        <w:tc>
          <w:tcPr>
            <w:tcW w:w="0" w:type="dxa"/>
            <w:vAlign w:val="bottom"/>
          </w:tcPr>
          <w:p>
            <w:pPr>
              <w:spacing w:after="0"/>
              <w:rPr>
                <w:sz w:val="1"/>
                <w:szCs w:val="1"/>
                <w:color w:val="auto"/>
              </w:rPr>
            </w:pPr>
          </w:p>
        </w:tc>
      </w:tr>
      <w:tr>
        <w:trPr>
          <w:trHeight w:val="203"/>
        </w:trPr>
        <w:tc>
          <w:tcPr>
            <w:tcW w:w="312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552,456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962,373</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1,552,841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4,359,205</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Cumulative net paid claims through December 31,</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120" w:type="dxa"/>
            <w:vAlign w:val="bottom"/>
            <w:tcBorders>
              <w:bottom w:val="single" w:sz="8" w:color="auto"/>
            </w:tcBorders>
            <w:gridSpan w:val="2"/>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Paid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9"/>
              </w:rPr>
              <w:t>2019*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(in thousands)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Incurred year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2018 and prior</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ind w:right="19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511,459</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
              <w:spacing w:after="0"/>
              <w:rPr>
                <w:sz w:val="20"/>
                <w:szCs w:val="20"/>
                <w:color w:val="auto"/>
              </w:rPr>
            </w:pPr>
            <w:r>
              <w:rPr>
                <w:rFonts w:ascii="Arial" w:cs="Arial" w:eastAsia="Arial" w:hAnsi="Arial"/>
                <w:sz w:val="16"/>
                <w:szCs w:val="16"/>
                <w:color w:val="auto"/>
              </w:rPr>
              <w:t>550,974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549,647</w:t>
            </w: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343,903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397,879</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501,339</w:t>
            </w:r>
          </w:p>
        </w:tc>
        <w:tc>
          <w:tcPr>
            <w:tcW w:w="0" w:type="dxa"/>
            <w:vAlign w:val="bottom"/>
          </w:tcPr>
          <w:p>
            <w:pPr>
              <w:spacing w:after="0"/>
              <w:rPr>
                <w:sz w:val="1"/>
                <w:szCs w:val="1"/>
                <w:color w:val="auto"/>
              </w:rPr>
            </w:pPr>
          </w:p>
        </w:tc>
      </w:tr>
      <w:tr>
        <w:trPr>
          <w:trHeight w:val="228"/>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511,459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894,877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1,448,865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281" w:hanging="281"/>
        <w:spacing w:after="0"/>
        <w:tabs>
          <w:tab w:leader="none" w:pos="281" w:val="left"/>
        </w:tabs>
        <w:numPr>
          <w:ilvl w:val="0"/>
          <w:numId w:val="96"/>
        </w:numPr>
        <w:rPr>
          <w:rFonts w:ascii="Arial" w:cs="Arial" w:eastAsia="Arial" w:hAnsi="Arial"/>
          <w:sz w:val="13"/>
          <w:szCs w:val="13"/>
          <w:color w:val="auto"/>
        </w:rPr>
      </w:pPr>
      <w:r>
        <w:rPr>
          <w:rFonts w:ascii="Arial" w:cs="Arial" w:eastAsia="Arial" w:hAnsi="Arial"/>
          <w:sz w:val="13"/>
          <w:szCs w:val="13"/>
          <w:color w:val="auto"/>
        </w:rPr>
        <w:t>Unaudited supplemental information</w:t>
      </w:r>
    </w:p>
    <w:p>
      <w:pPr>
        <w:spacing w:after="0" w:line="141" w:lineRule="exact"/>
        <w:rPr>
          <w:sz w:val="20"/>
          <w:szCs w:val="20"/>
          <w:color w:val="auto"/>
        </w:rPr>
      </w:pPr>
    </w:p>
    <w:p>
      <w:pPr>
        <w:ind w:left="1" w:right="320" w:firstLine="297"/>
        <w:spacing w:after="0" w:line="290" w:lineRule="auto"/>
        <w:rPr>
          <w:sz w:val="20"/>
          <w:szCs w:val="20"/>
          <w:color w:val="auto"/>
        </w:rPr>
      </w:pPr>
      <w:r>
        <w:rPr>
          <w:rFonts w:ascii="Arial" w:cs="Arial" w:eastAsia="Arial" w:hAnsi="Arial"/>
          <w:sz w:val="16"/>
          <w:szCs w:val="16"/>
          <w:color w:val="auto"/>
        </w:rPr>
        <w:t>The reconciliation of net incurred and paid claims development tables to unpaid claims and claims adjustment expenses on the Consolidated Balance Sheets is as follows:</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96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240" w:type="dxa"/>
            <w:vAlign w:val="bottom"/>
          </w:tcPr>
          <w:p>
            <w:pPr>
              <w:spacing w:after="0"/>
              <w:rPr>
                <w:sz w:val="15"/>
                <w:szCs w:val="15"/>
                <w:color w:val="auto"/>
              </w:rPr>
            </w:pPr>
          </w:p>
        </w:tc>
        <w:tc>
          <w:tcPr>
            <w:tcW w:w="1320" w:type="dxa"/>
            <w:vAlign w:val="bottom"/>
          </w:tcPr>
          <w:p>
            <w:pPr>
              <w:jc w:val="right"/>
              <w:ind w:right="302"/>
              <w:spacing w:after="0"/>
              <w:rPr>
                <w:sz w:val="20"/>
                <w:szCs w:val="20"/>
                <w:color w:val="auto"/>
              </w:rPr>
            </w:pPr>
            <w:r>
              <w:rPr>
                <w:rFonts w:ascii="Arial" w:cs="Arial" w:eastAsia="Arial" w:hAnsi="Arial"/>
                <w:sz w:val="13"/>
                <w:szCs w:val="13"/>
                <w:b w:val="1"/>
                <w:bCs w:val="1"/>
                <w:color w:val="auto"/>
              </w:rPr>
              <w:t>(in thousands)</w:t>
            </w:r>
          </w:p>
        </w:tc>
      </w:tr>
      <w:tr>
        <w:trPr>
          <w:trHeight w:val="208"/>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Cumulative incurred claims, net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1,552,841</w:t>
            </w:r>
          </w:p>
        </w:tc>
      </w:tr>
      <w:tr>
        <w:trPr>
          <w:trHeight w:val="21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cumulative paid claims, net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1,448,865</w:t>
            </w:r>
          </w:p>
        </w:tc>
      </w:tr>
      <w:tr>
        <w:trPr>
          <w:trHeight w:val="20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unpaid claims, including claims adjustment expenses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103,976</w:t>
            </w:r>
          </w:p>
        </w:tc>
      </w:tr>
    </w:tbl>
    <w:p>
      <w:pPr>
        <w:spacing w:after="0" w:line="22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time value of money is not taken into account for the purposes of calculating the liability for unpaid claims.</w:t>
      </w:r>
    </w:p>
    <w:p>
      <w:pPr>
        <w:spacing w:after="0" w:line="162" w:lineRule="exact"/>
        <w:rPr>
          <w:sz w:val="20"/>
          <w:szCs w:val="20"/>
          <w:color w:val="auto"/>
        </w:rPr>
      </w:pPr>
    </w:p>
    <w:p>
      <w:pPr>
        <w:ind w:left="1" w:right="220" w:firstLine="297"/>
        <w:spacing w:after="0" w:line="274" w:lineRule="auto"/>
        <w:rPr>
          <w:sz w:val="20"/>
          <w:szCs w:val="20"/>
          <w:color w:val="auto"/>
        </w:rPr>
      </w:pPr>
      <w:r>
        <w:rPr>
          <w:rFonts w:ascii="Arial" w:cs="Arial" w:eastAsia="Arial" w:hAnsi="Arial"/>
          <w:sz w:val="16"/>
          <w:szCs w:val="16"/>
          <w:color w:val="auto"/>
        </w:rPr>
        <w:t>The Corporation counts a claim when either a claim or claim adjustment expense amount has been paid, or at any period end, when the Corporation has recorded a medical unpaid claim reserve. The cumulative number of reported claims for each claim year has been developed using historical data captured by claim systems. As such, the cumulative number of reported claims may not be comparable to similar measures reported by other companies.</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 Reinsurance</w:t>
      </w:r>
    </w:p>
    <w:p>
      <w:pPr>
        <w:spacing w:after="0" w:line="166" w:lineRule="exact"/>
        <w:rPr>
          <w:sz w:val="20"/>
          <w:szCs w:val="20"/>
          <w:color w:val="auto"/>
        </w:rPr>
      </w:pPr>
    </w:p>
    <w:p>
      <w:pPr>
        <w:ind w:left="1" w:right="40" w:firstLine="297"/>
        <w:spacing w:after="0" w:line="290" w:lineRule="auto"/>
        <w:rPr>
          <w:sz w:val="20"/>
          <w:szCs w:val="20"/>
          <w:color w:val="auto"/>
        </w:rPr>
      </w:pPr>
      <w:r>
        <w:rPr>
          <w:rFonts w:ascii="Arial" w:cs="Arial" w:eastAsia="Arial" w:hAnsi="Arial"/>
          <w:sz w:val="16"/>
          <w:szCs w:val="16"/>
          <w:color w:val="auto"/>
        </w:rPr>
        <w:t>Effective January 1, 2018, the Corporation entered into a specific excess loss reinsurance agreement to reinsure liabilities in excess of approximately $0.5 million per covered person per agreement term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firstLine="297"/>
        <w:spacing w:after="0" w:line="290" w:lineRule="auto"/>
        <w:rPr>
          <w:sz w:val="20"/>
          <w:szCs w:val="20"/>
          <w:color w:val="auto"/>
        </w:rPr>
      </w:pPr>
      <w:r>
        <w:rPr>
          <w:rFonts w:ascii="Arial" w:cs="Arial" w:eastAsia="Arial" w:hAnsi="Arial"/>
          <w:sz w:val="16"/>
          <w:szCs w:val="16"/>
          <w:color w:val="auto"/>
        </w:rPr>
        <w:t>The effects of the reinsurance agreements on the accompanying Consolidated Financial Statements for the years ended December 31, 2020 and 2019, respectively,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5"/>
                <w:szCs w:val="15"/>
                <w:color w:val="auto"/>
              </w:rPr>
            </w:pPr>
          </w:p>
        </w:tc>
        <w:tc>
          <w:tcPr>
            <w:tcW w:w="1200" w:type="dxa"/>
            <w:vAlign w:val="bottom"/>
          </w:tcPr>
          <w:p>
            <w:pPr>
              <w:jc w:val="right"/>
              <w:ind w:right="58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Premiums earned, gross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457,758</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Premiums earned, ceded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28"/>
        </w:trPr>
        <w:tc>
          <w:tcPr>
            <w:tcW w:w="8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Net premiums earned</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665,698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456,926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24"/>
                <w:szCs w:val="24"/>
                <w:color w:val="auto"/>
              </w:rPr>
            </w:pPr>
          </w:p>
        </w:tc>
        <w:tc>
          <w:tcPr>
            <w:tcW w:w="1200" w:type="dxa"/>
            <w:vAlign w:val="bottom"/>
          </w:tcPr>
          <w:p>
            <w:pPr>
              <w:jc w:val="right"/>
              <w:ind w:right="58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Claims incurred, gross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590,951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452,261</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Claims incurred, ceded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r>
      <w:tr>
        <w:trPr>
          <w:trHeight w:val="22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claims incurred and claims adjustment expense</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590,468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450,645</w:t>
            </w:r>
          </w:p>
        </w:tc>
      </w:tr>
      <w:tr>
        <w:trPr>
          <w:trHeight w:val="20"/>
        </w:trPr>
        <w:tc>
          <w:tcPr>
            <w:tcW w:w="802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89"/>
        </w:trPr>
        <w:tc>
          <w:tcPr>
            <w:tcW w:w="9680" w:type="dxa"/>
            <w:vAlign w:val="bottom"/>
            <w:gridSpan w:val="5"/>
          </w:tcPr>
          <w:p>
            <w:pPr>
              <w:ind w:left="300"/>
              <w:spacing w:after="0"/>
              <w:rPr>
                <w:sz w:val="20"/>
                <w:szCs w:val="20"/>
                <w:color w:val="auto"/>
              </w:rPr>
            </w:pPr>
            <w:r>
              <w:rPr>
                <w:rFonts w:ascii="Arial" w:cs="Arial" w:eastAsia="Arial" w:hAnsi="Arial"/>
                <w:sz w:val="16"/>
                <w:szCs w:val="16"/>
                <w:color w:val="auto"/>
                <w:w w:val="92"/>
              </w:rPr>
              <w:t>Reinsurance recoverable and reinsurance premium payable as of December 31, 2020 and 2019, respectively, were comprised of the following:</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2"/>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24"/>
                <w:szCs w:val="24"/>
                <w:color w:val="auto"/>
              </w:rPr>
            </w:pPr>
          </w:p>
        </w:tc>
        <w:tc>
          <w:tcPr>
            <w:tcW w:w="1200" w:type="dxa"/>
            <w:vAlign w:val="bottom"/>
          </w:tcPr>
          <w:p>
            <w:pPr>
              <w:jc w:val="right"/>
              <w:ind w:right="58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Reinsurance recoverable on paid claims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Reinsurance recoverable on unpaid claims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Reinsurance premium payable</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gridSpan w:val="2"/>
          </w:tcPr>
          <w:p>
            <w:pPr>
              <w:ind w:left="220"/>
              <w:spacing w:after="0"/>
              <w:rPr>
                <w:sz w:val="20"/>
                <w:szCs w:val="20"/>
                <w:color w:val="auto"/>
              </w:rPr>
            </w:pPr>
            <w:r>
              <w:rPr>
                <w:rFonts w:ascii="Arial" w:cs="Arial" w:eastAsia="Arial" w:hAnsi="Arial"/>
                <w:sz w:val="16"/>
                <w:szCs w:val="16"/>
                <w:color w:val="auto"/>
              </w:rPr>
              <w:t>Reinsurance recoverable, net</w:t>
            </w: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99"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18"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Approximately $5.3 million and $5.2 million of life insurance reserves, as of December 31, 2020 and 2019,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Corporation’s experience and industry data. Interest rate assumptions used in establishing such reserves range from less than 1% to 4.5%. Under the arrangement, SFLIC is required to hold in trust 100% of the outstanding liabilities as of the reporting date.</w:t>
      </w:r>
    </w:p>
    <w:p>
      <w:pPr>
        <w:spacing w:after="0" w:line="118"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Approximately $0.9 million and $0.9 million of annuity reserves as of December 31, 2020 and 2019, respectively, related to annuity contracts originally issued by Ullico, are 100% ceded to Sagicor Life Insurance Company, a Texas domestic company, in full transfer of risk related to these contracts. The annuity reserves are computed principally using assumptions based on the Corporation’s experience and industry data. Interest rate assumptions used in establishing such reserves range from less than 1% to 5.5%. Ceded life insurance and annuity reserves are included in other assets and gross life insurance and annuity reserves are included in other liabilities on the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1" w:name="page212"/>
    <w:bookmarkEnd w:id="211"/>
    <w:p>
      <w:pPr>
        <w:jc w:val="center"/>
        <w:ind w:right="-60"/>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40" w:firstLine="297"/>
        <w:spacing w:after="0" w:line="292" w:lineRule="auto"/>
        <w:rPr>
          <w:sz w:val="20"/>
          <w:szCs w:val="20"/>
          <w:color w:val="auto"/>
        </w:rPr>
      </w:pPr>
      <w:r>
        <w:rPr>
          <w:rFonts w:ascii="Arial" w:cs="Arial" w:eastAsia="Arial" w:hAnsi="Arial"/>
          <w:sz w:val="15"/>
          <w:szCs w:val="15"/>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Corporation of its potential liability to the ultimate insured. However, given the transfer of underwriting risk, such potential liability is limited to the credit exposure which exists should the reinsurer be unable to meet its obligations under these reinsurance agreements. The Corporation evaluates its reinsurers on a regular basis including their ratings and financial conditions.</w:t>
      </w:r>
    </w:p>
    <w:p>
      <w:pPr>
        <w:spacing w:after="0" w:line="96" w:lineRule="exact"/>
        <w:rPr>
          <w:sz w:val="20"/>
          <w:szCs w:val="20"/>
          <w:color w:val="auto"/>
        </w:rPr>
      </w:pPr>
    </w:p>
    <w:p>
      <w:pPr>
        <w:ind w:left="301" w:right="8960" w:hanging="301"/>
        <w:spacing w:after="0" w:line="519" w:lineRule="auto"/>
        <w:tabs>
          <w:tab w:leader="none" w:pos="251"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Notes and securities payable </w:t>
      </w:r>
      <w:r>
        <w:rPr>
          <w:rFonts w:ascii="Arial" w:cs="Arial" w:eastAsia="Arial" w:hAnsi="Arial"/>
          <w:sz w:val="14"/>
          <w:szCs w:val="14"/>
          <w:i w:val="1"/>
          <w:iCs w:val="1"/>
          <w:color w:val="auto"/>
        </w:rPr>
        <w:t>Non-convertible notes</w:t>
      </w:r>
    </w:p>
    <w:p>
      <w:pPr>
        <w:ind w:left="1" w:right="40" w:firstLine="297"/>
        <w:spacing w:after="0" w:line="283" w:lineRule="auto"/>
        <w:rPr>
          <w:sz w:val="20"/>
          <w:szCs w:val="20"/>
          <w:color w:val="auto"/>
        </w:rPr>
      </w:pPr>
      <w:r>
        <w:rPr>
          <w:rFonts w:ascii="Arial" w:cs="Arial" w:eastAsia="Arial" w:hAnsi="Arial"/>
          <w:sz w:val="15"/>
          <w:szCs w:val="15"/>
          <w:color w:val="auto"/>
        </w:rPr>
        <w:t>On March 21, 2017, the Corporation entered into a loan facility (the “Loan Facility”) for an aggregate principal amount of $60.0 million. In March 2017, the Corporation drew down $40.0 million under the Loan Facility. The proceeds were used to pay all obligations under a $30.0 million 2015 senior secured note, and to provide additional working capital for the Corporation’s subsidiaries. The Loan Facility is secured by the assets of the Corporation. The initial obligation has a maturity date of March 1, 2022 and is subject to an interest rate of 11%, payable monthly, with the majority of principal payments commencing 36 months prior to the maturity date. In October 2017, the Corporation drew down the remaining $20.0 million under the Loan Facility. The additional obligation has a maturity date of October 1, 2022, and is subject to an interest rate of 11.25%, payable monthly, with the majority of principal payments commencing 36 months prior to the maturity date. In conjunction with the Loan Facility, the Corporation issued warrants. See Note 14 (Warrants payable) for additional information.</w:t>
      </w:r>
    </w:p>
    <w:p>
      <w:pPr>
        <w:spacing w:after="0" w:line="109" w:lineRule="exact"/>
        <w:rPr>
          <w:sz w:val="20"/>
          <w:szCs w:val="20"/>
          <w:color w:val="auto"/>
        </w:rPr>
      </w:pPr>
    </w:p>
    <w:p>
      <w:pPr>
        <w:ind w:left="1" w:right="440" w:firstLine="297"/>
        <w:spacing w:after="0" w:line="290" w:lineRule="auto"/>
        <w:rPr>
          <w:sz w:val="20"/>
          <w:szCs w:val="20"/>
          <w:color w:val="auto"/>
        </w:rPr>
      </w:pPr>
      <w:r>
        <w:rPr>
          <w:rFonts w:ascii="Arial" w:cs="Arial" w:eastAsia="Arial" w:hAnsi="Arial"/>
          <w:sz w:val="16"/>
          <w:szCs w:val="16"/>
          <w:color w:val="auto"/>
        </w:rPr>
        <w:t>The Corporation capitalized approximately $0.3 million of debt issuance costs associated with the Loan Facility, which are being amortized using the effective interest method over the term of the Loan Facility.</w:t>
      </w:r>
    </w:p>
    <w:p>
      <w:pPr>
        <w:spacing w:after="0" w:line="99" w:lineRule="exact"/>
        <w:rPr>
          <w:sz w:val="20"/>
          <w:szCs w:val="20"/>
          <w:color w:val="auto"/>
        </w:rPr>
      </w:pPr>
    </w:p>
    <w:p>
      <w:pPr>
        <w:ind w:left="1" w:right="140" w:firstLine="297"/>
        <w:spacing w:after="0" w:line="268" w:lineRule="auto"/>
        <w:rPr>
          <w:sz w:val="20"/>
          <w:szCs w:val="20"/>
          <w:color w:val="auto"/>
        </w:rPr>
      </w:pPr>
      <w:r>
        <w:rPr>
          <w:rFonts w:ascii="Arial" w:cs="Arial" w:eastAsia="Arial" w:hAnsi="Arial"/>
          <w:sz w:val="16"/>
          <w:szCs w:val="16"/>
          <w:color w:val="auto"/>
        </w:rPr>
        <w:t>The carrying amount of the Loan Facility was approximately $30.8 million and $49.3 million at December 31, 2020 and 2019, respectively. Amortization of debt discounts associated with the warrants and debt issuance costs was approximately $0.3 million and $0.4 million during the years ended December 31, 2020 and 2019, respectively. Interest expense was approximately $4.4 million and $6.2 million during the years ended December 31, 2020 and 2019, respectively. The effective interest rate was 11.78% and 11.77% during the years ended December 31, 2020 and 2019, respectively.</w:t>
      </w:r>
    </w:p>
    <w:p>
      <w:pPr>
        <w:spacing w:after="0" w:line="118"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Bridge loan</w:t>
      </w:r>
    </w:p>
    <w:p>
      <w:pPr>
        <w:spacing w:after="0" w:line="162" w:lineRule="exact"/>
        <w:rPr>
          <w:sz w:val="20"/>
          <w:szCs w:val="20"/>
          <w:color w:val="auto"/>
        </w:rPr>
      </w:pPr>
    </w:p>
    <w:p>
      <w:pPr>
        <w:ind w:left="1"/>
        <w:spacing w:after="0" w:line="263" w:lineRule="auto"/>
        <w:rPr>
          <w:sz w:val="20"/>
          <w:szCs w:val="20"/>
          <w:color w:val="auto"/>
        </w:rPr>
      </w:pPr>
      <w:r>
        <w:rPr>
          <w:rFonts w:ascii="Arial" w:cs="Arial" w:eastAsia="Arial" w:hAnsi="Arial"/>
          <w:sz w:val="16"/>
          <w:szCs w:val="16"/>
          <w:color w:val="auto"/>
        </w:rPr>
        <w:t>In connection with the Convertible Securities Purchase Agreement (the “Convertible Agreement”) effective December 27, 2018, discussed in the “Convertible securities” section below, the Corporation entered into a series of non-convertible promissory notes agreements (Bridge Loan) with qualified institutional buyers for an aggregate principal amount of $30.0 million for the purpose of providing additional working capital for the Corporation’s subsidiaries. The Bridge Loan was issued to the Corporation on a bridge basis upon execution of the Convertible Agreement and accrued interest at a rate of 10%. The outstanding Bridge Loan balance at February 21, 2019, of approximately $30.4 million, inclusive of accrued interest, was settled through the issuance of convertible securities under the first tranche of the Convertible Agreement. There was no interest expense for the year ended December 31, 2020, and interest expense of approximately $0.4 million for the year ended December 31, 2019.</w:t>
      </w:r>
    </w:p>
    <w:p>
      <w:pPr>
        <w:spacing w:after="0" w:line="12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Convertible securities</w:t>
      </w:r>
    </w:p>
    <w:p>
      <w:pPr>
        <w:spacing w:after="0" w:line="162" w:lineRule="exact"/>
        <w:rPr>
          <w:sz w:val="20"/>
          <w:szCs w:val="20"/>
          <w:color w:val="auto"/>
        </w:rPr>
      </w:pPr>
    </w:p>
    <w:p>
      <w:pPr>
        <w:ind w:left="1" w:right="100" w:firstLine="297"/>
        <w:spacing w:after="0" w:line="287" w:lineRule="auto"/>
        <w:rPr>
          <w:sz w:val="20"/>
          <w:szCs w:val="20"/>
          <w:color w:val="auto"/>
        </w:rPr>
      </w:pPr>
      <w:r>
        <w:rPr>
          <w:rFonts w:ascii="Arial" w:cs="Arial" w:eastAsia="Arial" w:hAnsi="Arial"/>
          <w:sz w:val="15"/>
          <w:szCs w:val="15"/>
          <w:color w:val="auto"/>
        </w:rPr>
        <w:t>On December 27, 2018, the Corporation entered into a Convertible Agreement with qualified institutional buyers, including entities affiliated with the Corporation, for an aggregate principal amount of up to $500.0 million to support the Corporation’s growth in the MA market. The convertible securities were issued during 2019 in multiple tranches and at December 31, 2019, the Corporation’s principal balance of borrowings under the Convertible Agreement was approximately $373.8 million, consisting of $343.4 million proceeds and $30.4 million related to the settlement of the Bridge Loan. The convertible securities bear a yield (“interest”) at the increasing rates noted below which compound semi-annually, and mature April 1, 2023 (End Date), unless earlier converted, repurchased, or extended,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1"/>
          </w:cols>
          <w:pgMar w:left="319" w:top="127" w:right="37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 for the first twelve-month period through the first anniversary of the security issue date, decreasing ratably on a semi-annual basis, to 55% at the forty-two month anniversary of the security issue date until the convertible securities cease to be outstanding.</w:t>
      </w:r>
    </w:p>
    <w:p>
      <w:pPr>
        <w:spacing w:after="0" w:line="118"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The securities issued as part of the Convertible Agreement contain the following embedded features, some of which contain components of both conversion and redemption features: mandatory conversion in a qualified public offering (QPO), financing conversion (security holder election), extraordinary event conversion (security holder election), End Date conversion (security holder election), redemption upon default, Corporation repurchase (Corporation election), and extended End Date conversion (Corporation election).</w:t>
      </w:r>
    </w:p>
    <w:p>
      <w:pPr>
        <w:spacing w:after="0" w:line="118" w:lineRule="exact"/>
        <w:rPr>
          <w:sz w:val="20"/>
          <w:szCs w:val="20"/>
          <w:color w:val="auto"/>
        </w:rPr>
      </w:pPr>
    </w:p>
    <w:p>
      <w:pPr>
        <w:ind w:right="100" w:firstLine="297"/>
        <w:spacing w:after="0" w:line="266" w:lineRule="auto"/>
        <w:rPr>
          <w:sz w:val="20"/>
          <w:szCs w:val="20"/>
          <w:color w:val="auto"/>
        </w:rPr>
      </w:pPr>
      <w:r>
        <w:rPr>
          <w:rFonts w:ascii="Arial" w:cs="Arial" w:eastAsia="Arial" w:hAnsi="Arial"/>
          <w:sz w:val="16"/>
          <w:szCs w:val="16"/>
          <w:color w:val="auto"/>
        </w:rPr>
        <w:t>In the mandatory conversion in a QPO, financing conversion, and extraordinary event conversion, the outstanding principal and accrued interest will convert into capital or preferred stock, pursuant to the terms of the Convertible Agreement based on a conversion price calculated as the lesser of (i) the price per share at which the Corporation’s equity securities are issued to the public in the applicable transaction multiplied by the discount factor in effect and (ii) a price per share equal to (x) $2.5 billion, divided by (y) the number of shares of common stock outstanding as of the closing of the applicable transaction on an as-converted, as-exercised basis as defined in the Convertible Agreement.</w:t>
      </w:r>
    </w:p>
    <w:p>
      <w:pPr>
        <w:spacing w:after="0" w:line="118"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In the End Date conversion, the outstanding principal and accrued interest will convert into shares of senior preferred stock or most recent preferred stock. Shares are calculated as principal and accrued interest divided by the applicable conversion price. Conversion price is the lowest of (i) the product obtained by multiplying (x) the lowest price per share at which the Corporation issued applicable preferred stock, by (y) the discount factor, and (ii) the lowest price per share at which the Corporation issued its most recently authorized series of preferred stock and (iii) a price per share equal to (x) $2.5 billion, divided by (y) the number of shares of common stock outstanding as of the conversion on an as-converted, as-exercised basis as defined in the Convertible Agreement.</w:t>
      </w:r>
    </w:p>
    <w:p>
      <w:pPr>
        <w:spacing w:after="0" w:line="118" w:lineRule="exact"/>
        <w:rPr>
          <w:sz w:val="20"/>
          <w:szCs w:val="20"/>
          <w:color w:val="auto"/>
        </w:rPr>
      </w:pPr>
    </w:p>
    <w:p>
      <w:pPr>
        <w:ind w:right="40" w:firstLine="297"/>
        <w:spacing w:after="0" w:line="285" w:lineRule="auto"/>
        <w:rPr>
          <w:sz w:val="20"/>
          <w:szCs w:val="20"/>
          <w:color w:val="auto"/>
        </w:rPr>
      </w:pPr>
      <w:r>
        <w:rPr>
          <w:rFonts w:ascii="Arial" w:cs="Arial" w:eastAsia="Arial" w:hAnsi="Arial"/>
          <w:sz w:val="15"/>
          <w:szCs w:val="15"/>
          <w:color w:val="auto"/>
        </w:rPr>
        <w:t>Upon the occurrence of any event of default, all accrued but unpaid expenses, and the principal and accrued interest will be immediately due and payable in full. In the event of Corporation repurchase, the Corporation would pay the security holders an amount equal to the portion being repurchased, divided by the discount factor and issuing to the security holders a warrant for a number of repurchase warrant shares equal to the repurchase amount divided by the repurchase warrant share price, with the warrant having an exercise price equal to the repurchase warrant share price. Repurchase warrant share price is calculated as the lower of (a) lowest price at which the repurchase warrant shares were originally issued and (b) the quotient obtained by dividing (x) $2.5 billion, divided by (y) the number of shares of common stock outstanding as of the date of issuance of the applicable repurchase warrant on an as-converted, as-exercised basis as defined in the Convertible Agreement.</w:t>
      </w:r>
    </w:p>
    <w:p>
      <w:pPr>
        <w:spacing w:after="0" w:line="106" w:lineRule="exact"/>
        <w:rPr>
          <w:sz w:val="20"/>
          <w:szCs w:val="20"/>
          <w:color w:val="auto"/>
        </w:rPr>
      </w:pPr>
    </w:p>
    <w:p>
      <w:pPr>
        <w:jc w:val="both"/>
        <w:ind w:right="120" w:firstLine="297"/>
        <w:spacing w:after="0" w:line="274" w:lineRule="auto"/>
        <w:rPr>
          <w:sz w:val="20"/>
          <w:szCs w:val="20"/>
          <w:color w:val="auto"/>
        </w:rPr>
      </w:pPr>
      <w:r>
        <w:rPr>
          <w:rFonts w:ascii="Arial" w:cs="Arial" w:eastAsia="Arial" w:hAnsi="Arial"/>
          <w:sz w:val="16"/>
          <w:szCs w:val="16"/>
          <w:color w:val="auto"/>
        </w:rPr>
        <w:t>The Corporation may elect to extend the End Date until the earlier of (i) a deemed liquidation event and (ii) the end of a period designated by the Corporation of not less than 15 days and not more than 180 days (if the security holder is an original security holder or an affiliate of the original security holder), or otherwise 365 days (if the security holder is not an original security holder or an affiliate of such security holder), following the original End Date.</w:t>
      </w:r>
    </w:p>
    <w:p>
      <w:pPr>
        <w:spacing w:after="0" w:line="112"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On October 5, 2020, the Corporation entered into the Merger Agreement with SCH and simultaneously amended the Convertible Agreement whereby, the convertible securities convert into Class Z common stock upon the merger event with SCH. See Note 26 (Subsequent events) for additional information on the merger event. Additionally, the conversion will incur a 9.35% charge to account for dilution after the merger event to convert the securities as if they had been converted under the mandatory QPO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3" w:name="page214"/>
    <w:bookmarkEnd w:id="213"/>
    <w:p>
      <w:pPr>
        <w:jc w:val="center"/>
        <w:ind w:right="-20"/>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360" w:firstLine="297"/>
        <w:spacing w:after="0" w:line="290" w:lineRule="auto"/>
        <w:rPr>
          <w:sz w:val="20"/>
          <w:szCs w:val="20"/>
          <w:color w:val="auto"/>
        </w:rPr>
      </w:pPr>
      <w:r>
        <w:rPr>
          <w:rFonts w:ascii="Arial" w:cs="Arial" w:eastAsia="Arial" w:hAnsi="Arial"/>
          <w:sz w:val="16"/>
          <w:szCs w:val="16"/>
          <w:color w:val="auto"/>
        </w:rPr>
        <w:t>Certain conversion features were determined to be share-settled redemption features. The Corporation analyzed the embedded features for derivative accounting consideration and determined the following:</w:t>
      </w:r>
    </w:p>
    <w:p>
      <w:pPr>
        <w:spacing w:after="0" w:line="99" w:lineRule="exact"/>
        <w:rPr>
          <w:sz w:val="20"/>
          <w:szCs w:val="20"/>
          <w:color w:val="auto"/>
        </w:rPr>
      </w:pPr>
    </w:p>
    <w:p>
      <w:pPr>
        <w:ind w:left="601" w:right="240" w:hanging="304"/>
        <w:spacing w:after="0" w:line="274" w:lineRule="auto"/>
        <w:tabs>
          <w:tab w:leader="none" w:pos="59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redemption feature in the mandatory conversion in a QPO, financing conversion and extraordinary event conversion features meet the requirements to be accounted for separately from the debt host as a derivative because the feature is not clearly and closely related to the debt host, the debt host. See Note 15 (Derivative liabilities) for additional information.</w:t>
      </w:r>
    </w:p>
    <w:p>
      <w:pPr>
        <w:spacing w:after="0" w:line="111" w:lineRule="exact"/>
        <w:rPr>
          <w:rFonts w:ascii="Arial" w:cs="Arial" w:eastAsia="Arial" w:hAnsi="Arial"/>
          <w:sz w:val="16"/>
          <w:szCs w:val="16"/>
          <w:color w:val="auto"/>
        </w:rPr>
      </w:pPr>
    </w:p>
    <w:p>
      <w:pPr>
        <w:ind w:left="581" w:hanging="284"/>
        <w:spacing w:after="0"/>
        <w:tabs>
          <w:tab w:leader="none" w:pos="58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extended End Date feature requires separate accounting as a derivative. See Note 15 (Derivative liabilities) for additional information.</w:t>
      </w:r>
    </w:p>
    <w:p>
      <w:pPr>
        <w:spacing w:after="0" w:line="162" w:lineRule="exact"/>
        <w:rPr>
          <w:rFonts w:ascii="Arial" w:cs="Arial" w:eastAsia="Arial" w:hAnsi="Arial"/>
          <w:sz w:val="16"/>
          <w:szCs w:val="16"/>
          <w:color w:val="auto"/>
        </w:rPr>
      </w:pPr>
    </w:p>
    <w:p>
      <w:pPr>
        <w:ind w:left="601" w:right="160" w:hanging="304"/>
        <w:spacing w:after="0" w:line="287" w:lineRule="auto"/>
        <w:tabs>
          <w:tab w:leader="none" w:pos="597"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End Date conversion feature represents a BCF with an intrinsic value that exceeded the approximately $373.8 million principal balance of the convertible securities. The BCF was recorded within equity in additional-paid-in-capital and as a discount to the convertible securities in an amount equal to the full principal amount of the securities, thus reducing the carrying value of the convertible securities to zero. The discount of $373.8 million is being accreted to the principal amount over the term of the securities, assuming a maturity of April 1, 2023, using the effective interest method. The accretion is recognized in amortization of notes and securities discounts on the Consolidated Statements of Operations and Comprehensive Loss.</w:t>
      </w:r>
    </w:p>
    <w:p>
      <w:pPr>
        <w:spacing w:after="0" w:line="106" w:lineRule="exact"/>
        <w:rPr>
          <w:rFonts w:ascii="Arial" w:cs="Arial" w:eastAsia="Arial" w:hAnsi="Arial"/>
          <w:sz w:val="15"/>
          <w:szCs w:val="15"/>
          <w:color w:val="auto"/>
        </w:rPr>
      </w:pPr>
    </w:p>
    <w:p>
      <w:pPr>
        <w:ind w:left="581" w:hanging="284"/>
        <w:spacing w:after="0"/>
        <w:tabs>
          <w:tab w:leader="none" w:pos="58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other embedded features are clearly and closely related to the debt host and do not require separate accounting as a derivative.</w:t>
      </w:r>
    </w:p>
    <w:p>
      <w:pPr>
        <w:spacing w:after="0" w:line="162" w:lineRule="exact"/>
        <w:rPr>
          <w:sz w:val="20"/>
          <w:szCs w:val="20"/>
          <w:color w:val="auto"/>
        </w:rPr>
      </w:pPr>
    </w:p>
    <w:p>
      <w:pPr>
        <w:ind w:left="1" w:right="80" w:firstLine="297"/>
        <w:spacing w:after="0" w:line="285" w:lineRule="auto"/>
        <w:rPr>
          <w:sz w:val="20"/>
          <w:szCs w:val="20"/>
          <w:color w:val="auto"/>
        </w:rPr>
      </w:pPr>
      <w:r>
        <w:rPr>
          <w:rFonts w:ascii="Arial" w:cs="Arial" w:eastAsia="Arial" w:hAnsi="Arial"/>
          <w:sz w:val="15"/>
          <w:szCs w:val="15"/>
          <w:color w:val="auto"/>
        </w:rPr>
        <w:t>Since the carrying amount of the convertible securities was initially recognized as $0, debt issuance costs incurred in the amount of approximately $0.4 million were expensed on the Consolidated Statements of Operations and Comprehensive Loss during the year ended December 31, 2019. The carrying amount of the convertible securities and unamortized discount were approximately $76.5 million and $337.3 million, respectively, at December 31, 2020. Amortization of the debt discount and interest expense on the convertible securities were approximately $21.1 million and $31.1 million, respectively, during the year ended December 31, 2020. The effective interest rate, inclusive of amortization of the discount and the contractual rate, was in excess of 100% during the year ended December 31, 2019, as a result of the beginning convertible securities carrying value of $0. The End Date conversion feature represents a BCF with an intrinsic value of $2.3 billion.</w:t>
      </w:r>
    </w:p>
    <w:p>
      <w:pPr>
        <w:spacing w:after="0" w:line="106"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2020 Convertible Note</w:t>
      </w:r>
    </w:p>
    <w:p>
      <w:pPr>
        <w:spacing w:after="0" w:line="162" w:lineRule="exact"/>
        <w:rPr>
          <w:sz w:val="20"/>
          <w:szCs w:val="20"/>
          <w:color w:val="auto"/>
        </w:rPr>
      </w:pPr>
    </w:p>
    <w:p>
      <w:pPr>
        <w:ind w:left="1" w:right="160" w:firstLine="297"/>
        <w:spacing w:after="0" w:line="268" w:lineRule="auto"/>
        <w:rPr>
          <w:sz w:val="20"/>
          <w:szCs w:val="20"/>
          <w:color w:val="auto"/>
        </w:rPr>
      </w:pPr>
      <w:r>
        <w:rPr>
          <w:rFonts w:ascii="Arial" w:cs="Arial" w:eastAsia="Arial" w:hAnsi="Arial"/>
          <w:sz w:val="16"/>
          <w:szCs w:val="16"/>
          <w:color w:val="auto"/>
        </w:rPr>
        <w:t>On September 25, 2020, Seek Insurance Services, Inc. (Seek), the Corporation’s wholly-owned subsidiary, entered into a note purchase agreement (the “Seek Convertible Note Agreement”) with a third party investor, and issued a note in a principal amount of $20.0 million. The outstanding principal as of December 31, 2020, was $20.0 million. The note bears simple interest at an annual rate of 8% and matures on September 25, 2023, unless earlier accelerated, converted, or paid in full, as discussed below.</w:t>
      </w:r>
    </w:p>
    <w:p>
      <w:pPr>
        <w:spacing w:after="0" w:line="118" w:lineRule="exact"/>
        <w:rPr>
          <w:sz w:val="20"/>
          <w:szCs w:val="20"/>
          <w:color w:val="auto"/>
        </w:rPr>
      </w:pPr>
    </w:p>
    <w:p>
      <w:pPr>
        <w:ind w:left="1" w:right="20" w:firstLine="297"/>
        <w:spacing w:after="0" w:line="290" w:lineRule="auto"/>
        <w:rPr>
          <w:sz w:val="20"/>
          <w:szCs w:val="20"/>
          <w:color w:val="auto"/>
        </w:rPr>
      </w:pPr>
      <w:r>
        <w:rPr>
          <w:rFonts w:ascii="Arial" w:cs="Arial" w:eastAsia="Arial" w:hAnsi="Arial"/>
          <w:sz w:val="16"/>
          <w:szCs w:val="16"/>
          <w:color w:val="auto"/>
        </w:rPr>
        <w:t>The outstanding principal and any accrued but unpaid interest will become immediately due and payable at the election of the note holder upon the occurrence of any Event of Default as defined in the note.</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5"/>
          <w:szCs w:val="15"/>
          <w:color w:val="auto"/>
        </w:rPr>
        <w:t>The outstanding principal and accrued but unpaid interest will convert into a minority equity interest in Seek if prior to maturity, repayment or conversion of the note:</w:t>
      </w:r>
    </w:p>
    <w:p>
      <w:pPr>
        <w:spacing w:after="0" w:line="36" w:lineRule="exact"/>
        <w:rPr>
          <w:sz w:val="20"/>
          <w:szCs w:val="20"/>
          <w:color w:val="auto"/>
        </w:rPr>
      </w:pPr>
    </w:p>
    <w:p>
      <w:pPr>
        <w:ind w:left="1" w:right="500" w:hanging="1"/>
        <w:spacing w:after="0" w:line="276" w:lineRule="auto"/>
        <w:tabs>
          <w:tab w:leader="none" w:pos="234"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note holder elects to convert the note, (2) upon the closing of Seek’s next equity financing; or (3) upon consummation of an initial public offering of Seek’s common stock or a SPAC or reverse merger transaction with Seek.</w:t>
      </w:r>
    </w:p>
    <w:p>
      <w:pPr>
        <w:spacing w:after="0" w:line="110" w:lineRule="exact"/>
        <w:rPr>
          <w:sz w:val="20"/>
          <w:szCs w:val="20"/>
          <w:color w:val="auto"/>
        </w:rPr>
      </w:pPr>
    </w:p>
    <w:p>
      <w:pPr>
        <w:ind w:left="1" w:right="160" w:firstLine="297"/>
        <w:spacing w:after="0" w:line="290" w:lineRule="auto"/>
        <w:rPr>
          <w:sz w:val="20"/>
          <w:szCs w:val="20"/>
          <w:color w:val="auto"/>
        </w:rPr>
      </w:pPr>
      <w:r>
        <w:rPr>
          <w:rFonts w:ascii="Arial" w:cs="Arial" w:eastAsia="Arial" w:hAnsi="Arial"/>
          <w:sz w:val="16"/>
          <w:szCs w:val="16"/>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99" w:lineRule="exact"/>
        <w:rPr>
          <w:sz w:val="20"/>
          <w:szCs w:val="20"/>
          <w:color w:val="auto"/>
        </w:rPr>
      </w:pPr>
    </w:p>
    <w:p>
      <w:pPr>
        <w:ind w:left="1" w:firstLine="297"/>
        <w:spacing w:after="0" w:line="325" w:lineRule="auto"/>
        <w:rPr>
          <w:sz w:val="20"/>
          <w:szCs w:val="20"/>
          <w:color w:val="auto"/>
        </w:rPr>
      </w:pPr>
      <w:r>
        <w:rPr>
          <w:rFonts w:ascii="Arial" w:cs="Arial" w:eastAsia="Arial" w:hAnsi="Arial"/>
          <w:sz w:val="15"/>
          <w:szCs w:val="15"/>
          <w:color w:val="auto"/>
        </w:rPr>
        <w:t>The carrying amount of the note was $19.9 million and $0 million at December 31, 2020 and 2019, respectively. The Corporation capitalized $0.1 million of issuance costs which are being amortized using the effective interest method over the term of the note. Unamortized debt issue costs were $0.1 million and $0 million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1"/>
          </w:cols>
          <w:pgMar w:left="319" w:top="127" w:right="35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December 31, 2020 and 2019, respectively. Amortization of the debt issue costs and interest expense on the note were immaterial and $0 million during the years ended December 31, 2020 and 2019, respectively.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below table summarizes maturities of the Corporation’s securities payable over the next five years as of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Year ended December 31,</w:t>
            </w:r>
          </w:p>
        </w:tc>
      </w:tr>
      <w:tr>
        <w:trPr>
          <w:trHeight w:val="169"/>
        </w:trPr>
        <w:tc>
          <w:tcPr>
            <w:tcW w:w="9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300"/>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20,939</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9,986</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393,827</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968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424,752</w:t>
            </w:r>
          </w:p>
        </w:tc>
      </w:tr>
    </w:tbl>
    <w:p>
      <w:pPr>
        <w:spacing w:after="0" w:line="222" w:lineRule="exact"/>
        <w:rPr>
          <w:sz w:val="20"/>
          <w:szCs w:val="20"/>
          <w:color w:val="auto"/>
        </w:rPr>
      </w:pPr>
    </w:p>
    <w:p>
      <w:pPr>
        <w:ind w:right="40" w:firstLine="297"/>
        <w:spacing w:after="0" w:line="290" w:lineRule="auto"/>
        <w:rPr>
          <w:sz w:val="20"/>
          <w:szCs w:val="20"/>
          <w:color w:val="auto"/>
        </w:rPr>
      </w:pPr>
      <w:r>
        <w:rPr>
          <w:rFonts w:ascii="Arial" w:cs="Arial" w:eastAsia="Arial" w:hAnsi="Arial"/>
          <w:sz w:val="16"/>
          <w:szCs w:val="16"/>
          <w:color w:val="auto"/>
        </w:rPr>
        <w:t>The Corporation was in compliance with all applicable financial and non-financial covenants under its financing arrangements for the year ended December 31, 2020 and 2019,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Warrants payable</w:t>
      </w:r>
    </w:p>
    <w:p>
      <w:pPr>
        <w:spacing w:after="0" w:line="166"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In conjunction with the Loan Facility effective March 21, 2017, the Corporation issued warrants to purchase 2,618,770 shares of the Corporation’s Series D preferred stock at an exercise price of $4.5346 per share, which expire on September 30, 2027. The warrants are exercisable at any time and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exercisable in common stock based on the merger event with SCH. See Note 26 (Subsequent events) for additional information on the merger event. Additionally, the original strike price of the warrants changed from $4.5346 per share to $0.</w:t>
      </w:r>
    </w:p>
    <w:p>
      <w:pPr>
        <w:spacing w:after="0" w:line="121"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is being amortized using the effective interest method over the term of the Loan Facility. The warrants were recorded as liabilities and are being marked to market at each reporting period.</w:t>
      </w:r>
    </w:p>
    <w:p>
      <w:pPr>
        <w:spacing w:after="0" w:line="112" w:lineRule="exact"/>
        <w:rPr>
          <w:sz w:val="20"/>
          <w:szCs w:val="20"/>
          <w:color w:val="auto"/>
        </w:rPr>
      </w:pPr>
    </w:p>
    <w:p>
      <w:pPr>
        <w:ind w:right="40" w:firstLine="297"/>
        <w:spacing w:after="0" w:line="287" w:lineRule="auto"/>
        <w:rPr>
          <w:sz w:val="20"/>
          <w:szCs w:val="20"/>
          <w:color w:val="auto"/>
        </w:rPr>
      </w:pPr>
      <w:r>
        <w:rPr>
          <w:rFonts w:ascii="Arial" w:cs="Arial" w:eastAsia="Arial" w:hAnsi="Arial"/>
          <w:sz w:val="15"/>
          <w:szCs w:val="15"/>
          <w:color w:val="auto"/>
        </w:rPr>
        <w:t>In September 2015, the Corporation issued warrants to purchase 4,342,956 shares of the Corporation’s common stock at an exercise price of $0.5039 per share which expire on September 2, 2022. The warrants are exercisable at any time up to the expiration date. The warrants are also contingently exercisable for an additional 4,342,956 shares based proportionally on the aggregate principal amounts of additional notes borrowed by the Corporation. As a result of the Merger Agreement, the warrants automatically convert into common stock based on the merger event with SCH. The warrants are being recorded at fair value and are reflected as liabilities on the Corporation’s Consolidated Balance Sheets at each reporting period. See Note 5 (Fair value measurements)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Derivative liabilities</w:t>
      </w:r>
    </w:p>
    <w:p>
      <w:pPr>
        <w:spacing w:after="0" w:line="166"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In connection with the $373.8 million convertible securities issued in 2019, the Corporation determined that certain of the conversion and redemption features were embedded derivatives which have been bifurcated from the host instrument and accounted for as embedded derivative instruments. The Corporation recognized a $93.8 million gain during the year ended December 31, 2020 and a $138.6 million loss related to derivative liabilities during the year ended December 31, 2019. The aggregate loss was recognized in (gain) loss on derivative in the Consolidated Statements of Operations and Comprehensive Loss. The fair value of embedded derivatives was $44.8 million at December 31, 2020, and $138.6 million at December 31, 2019, and is included as derivative liabilities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spacing w:after="0"/>
        <w:rPr>
          <w:sz w:val="20"/>
          <w:szCs w:val="20"/>
          <w:color w:val="auto"/>
        </w:rPr>
      </w:pPr>
      <w:r>
        <w:rPr>
          <w:rFonts w:ascii="Arial" w:cs="Arial" w:eastAsia="Arial" w:hAnsi="Arial"/>
          <w:sz w:val="16"/>
          <w:szCs w:val="16"/>
          <w:color w:val="auto"/>
        </w:rPr>
        <w:t>Corporation’s Consolidated Balance Sheets. See Note 5 (Fair value measurements) and Note 13 (Notes and securities payable) for additional information.</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16. Letter of credit</w:t>
      </w:r>
    </w:p>
    <w:p>
      <w:pPr>
        <w:spacing w:after="0" w:line="166" w:lineRule="exact"/>
        <w:rPr>
          <w:sz w:val="20"/>
          <w:szCs w:val="20"/>
          <w:color w:val="auto"/>
        </w:rPr>
      </w:pPr>
    </w:p>
    <w:p>
      <w:pPr>
        <w:ind w:left="1" w:right="620" w:firstLine="297"/>
        <w:spacing w:after="0" w:line="274" w:lineRule="auto"/>
        <w:rPr>
          <w:sz w:val="20"/>
          <w:szCs w:val="20"/>
          <w:color w:val="auto"/>
        </w:rPr>
      </w:pPr>
      <w:r>
        <w:rPr>
          <w:rFonts w:ascii="Arial" w:cs="Arial" w:eastAsia="Arial" w:hAnsi="Arial"/>
          <w:sz w:val="16"/>
          <w:szCs w:val="16"/>
          <w:color w:val="auto"/>
        </w:rPr>
        <w:t>On April 19, 2018, the Corporation entered into a secured letter of credit agreement (the “Letter”) for an amount up to an aggregate of $2.5 million with a commercial lender that renews on an annual basis. The Letter bears an interest rate of 0.75%. There was an unused balance of $2.5 million and $2.5 million as of December 31, 2020 and 2019, respectively.</w:t>
      </w:r>
    </w:p>
    <w:p>
      <w:pPr>
        <w:spacing w:after="0" w:line="108" w:lineRule="exact"/>
        <w:rPr>
          <w:sz w:val="20"/>
          <w:szCs w:val="20"/>
          <w:color w:val="auto"/>
        </w:rPr>
      </w:pPr>
    </w:p>
    <w:p>
      <w:pPr>
        <w:ind w:left="301" w:right="9820" w:hanging="301"/>
        <w:spacing w:after="0" w:line="558" w:lineRule="auto"/>
        <w:tabs>
          <w:tab w:leader="none" w:pos="251"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Leases </w:t>
      </w:r>
      <w:r>
        <w:rPr>
          <w:rFonts w:ascii="Arial" w:cs="Arial" w:eastAsia="Arial" w:hAnsi="Arial"/>
          <w:sz w:val="13"/>
          <w:szCs w:val="13"/>
          <w:b w:val="1"/>
          <w:bCs w:val="1"/>
          <w:i w:val="1"/>
          <w:iCs w:val="1"/>
          <w:color w:val="auto"/>
        </w:rPr>
        <w:t>Operating leases</w:t>
      </w:r>
    </w:p>
    <w:p>
      <w:pPr>
        <w:spacing w:after="0" w:line="1" w:lineRule="exact"/>
        <w:rPr>
          <w:sz w:val="20"/>
          <w:szCs w:val="20"/>
          <w:color w:val="auto"/>
        </w:rPr>
      </w:pPr>
    </w:p>
    <w:p>
      <w:pPr>
        <w:ind w:left="1" w:right="60" w:firstLine="297"/>
        <w:spacing w:after="0" w:line="263" w:lineRule="auto"/>
        <w:rPr>
          <w:sz w:val="20"/>
          <w:szCs w:val="20"/>
          <w:color w:val="auto"/>
        </w:rPr>
      </w:pPr>
      <w:r>
        <w:rPr>
          <w:rFonts w:ascii="Arial" w:cs="Arial" w:eastAsia="Arial" w:hAnsi="Arial"/>
          <w:sz w:val="16"/>
          <w:szCs w:val="16"/>
          <w:color w:val="auto"/>
        </w:rPr>
        <w:t>The Corporation leases office space in New Jersey, Minnesota, Tennessee, and San Francisco under non-cancelable operating leases, further described below. For each lease the Corporation recorded a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22" w:lineRule="exact"/>
        <w:rPr>
          <w:sz w:val="20"/>
          <w:szCs w:val="20"/>
          <w:color w:val="auto"/>
        </w:rPr>
      </w:pPr>
    </w:p>
    <w:p>
      <w:pPr>
        <w:ind w:left="1" w:right="480" w:firstLine="297"/>
        <w:spacing w:after="0" w:line="290" w:lineRule="auto"/>
        <w:rPr>
          <w:sz w:val="20"/>
          <w:szCs w:val="20"/>
          <w:color w:val="auto"/>
        </w:rPr>
      </w:pPr>
      <w:r>
        <w:rPr>
          <w:rFonts w:ascii="Arial" w:cs="Arial" w:eastAsia="Arial" w:hAnsi="Arial"/>
          <w:sz w:val="16"/>
          <w:szCs w:val="16"/>
          <w:color w:val="auto"/>
        </w:rPr>
        <w:t>The Corporation subleases certain of its leases to third parties for which it receives rental income to manage occupancy costs. These subleases are classified as operating and are further described below.</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Tennessee lease (principal executive office):</w:t>
      </w:r>
    </w:p>
    <w:p>
      <w:pPr>
        <w:spacing w:after="0" w:line="162" w:lineRule="exact"/>
        <w:rPr>
          <w:sz w:val="20"/>
          <w:szCs w:val="20"/>
          <w:color w:val="auto"/>
        </w:rPr>
      </w:pPr>
    </w:p>
    <w:p>
      <w:pPr>
        <w:ind w:left="1" w:firstLine="297"/>
        <w:spacing w:after="0" w:line="290" w:lineRule="auto"/>
        <w:rPr>
          <w:sz w:val="20"/>
          <w:szCs w:val="20"/>
          <w:color w:val="auto"/>
        </w:rPr>
      </w:pPr>
      <w:r>
        <w:rPr>
          <w:rFonts w:ascii="Arial" w:cs="Arial" w:eastAsia="Arial" w:hAnsi="Arial"/>
          <w:sz w:val="16"/>
          <w:szCs w:val="16"/>
          <w:color w:val="auto"/>
        </w:rPr>
        <w:t>On May 7, 2019, the Corporation entered into an agreement to lease office space for its corporate headquarters in Franklin, Tennessee. The initial lease term ended on August 31, 2020 and became a month-to-month lease that commenced on September 1, 2020 and is treated as a short-term lease.</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Montgomery leases:</w:t>
      </w:r>
    </w:p>
    <w:p>
      <w:pPr>
        <w:spacing w:after="0" w:line="162" w:lineRule="exact"/>
        <w:rPr>
          <w:sz w:val="20"/>
          <w:szCs w:val="20"/>
          <w:color w:val="auto"/>
        </w:rPr>
      </w:pPr>
    </w:p>
    <w:p>
      <w:pPr>
        <w:ind w:left="1" w:right="60" w:firstLine="297"/>
        <w:spacing w:after="0" w:line="268" w:lineRule="auto"/>
        <w:rPr>
          <w:sz w:val="20"/>
          <w:szCs w:val="20"/>
          <w:color w:val="auto"/>
        </w:rPr>
      </w:pPr>
      <w:r>
        <w:rPr>
          <w:rFonts w:ascii="Arial" w:cs="Arial" w:eastAsia="Arial" w:hAnsi="Arial"/>
          <w:sz w:val="16"/>
          <w:szCs w:val="16"/>
          <w:color w:val="auto"/>
        </w:rPr>
        <w:t>On September 28, 2016, the Corporation entered into an agreement to lease office space in Jersey City, New Jersey (the “Montgomery Lease”). The lease expires March 31, 2028 with one option to renew for five years. There was an amendment that expires August 31, 2023 with one option to renew for five years. The Corporation entered into an agreement to sublease (the “Montgomery Sublease”), which commenced October 4, 2019. The Corporation receives rental income for this sublease which has a lease term through March 31, 2021.</w:t>
      </w:r>
    </w:p>
    <w:p>
      <w:pPr>
        <w:spacing w:after="0" w:line="118" w:lineRule="exact"/>
        <w:rPr>
          <w:sz w:val="20"/>
          <w:szCs w:val="20"/>
          <w:color w:val="auto"/>
        </w:rPr>
      </w:pPr>
    </w:p>
    <w:p>
      <w:pPr>
        <w:ind w:left="1" w:firstLine="297"/>
        <w:spacing w:after="0" w:line="306" w:lineRule="auto"/>
        <w:rPr>
          <w:sz w:val="20"/>
          <w:szCs w:val="20"/>
          <w:color w:val="auto"/>
        </w:rPr>
      </w:pPr>
      <w:r>
        <w:rPr>
          <w:rFonts w:ascii="Arial" w:cs="Arial" w:eastAsia="Arial" w:hAnsi="Arial"/>
          <w:sz w:val="14"/>
          <w:szCs w:val="14"/>
          <w:color w:val="auto"/>
        </w:rPr>
        <w:t>The Corporation uses the long-lived assets impairment to determine when to test ROU assets (or asset groups that contain one or more ROU assets) for impairment, assess whether ROU assets are impaired, and if so, the amount of the impairment loss to recognize. The sublease income expected to be received under the Montgomery Sublease is less than the amount to be paid under the Montgomery Lease for the sublease term, which indicated that the Montgomery Lease may not be recoverable. Upon execution of the sublease agreement, the Corporation reassessed the asset group and determined that the lowest level of identifiable cash flows pertaining to the Montgomery Sublease was at the individual lease level. The asset group, comprised of both the ROU asset and corresponding leasehold improvements related to the 14th floor of the Montgomery Lease, were determined to not be recoverable and were written down to their respective fair values with an impairment charge of $1.6 million recorded to general and administrative expenses in the Consolidated Statements of Operations and Comprehensive Loss for the year ended December 31, 2019.</w:t>
      </w:r>
    </w:p>
    <w:p>
      <w:pPr>
        <w:spacing w:after="0" w:line="96" w:lineRule="exact"/>
        <w:rPr>
          <w:sz w:val="20"/>
          <w:szCs w:val="20"/>
          <w:color w:val="auto"/>
        </w:rPr>
      </w:pPr>
    </w:p>
    <w:p>
      <w:pPr>
        <w:ind w:left="1" w:right="140" w:firstLine="297"/>
        <w:spacing w:after="0" w:line="274" w:lineRule="auto"/>
        <w:rPr>
          <w:sz w:val="20"/>
          <w:szCs w:val="20"/>
          <w:color w:val="auto"/>
        </w:rPr>
      </w:pPr>
      <w:r>
        <w:rPr>
          <w:rFonts w:ascii="Arial" w:cs="Arial" w:eastAsia="Arial" w:hAnsi="Arial"/>
          <w:sz w:val="16"/>
          <w:szCs w:val="16"/>
          <w:color w:val="auto"/>
        </w:rPr>
        <w:t>The Corporation is currently in default with respect to the Montgomery Lease for not paying rent owed to the lessor. The Corporation has accrued for all interest owed and is reducing its security deposit asset in lieu of recording rental payments. The Corporation is currently in discussions with the lessor to resolve this default and related lease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San Francisco leases:</w:t>
      </w:r>
    </w:p>
    <w:p>
      <w:pPr>
        <w:spacing w:after="0" w:line="162" w:lineRule="exact"/>
        <w:rPr>
          <w:sz w:val="20"/>
          <w:szCs w:val="20"/>
          <w:color w:val="auto"/>
        </w:rPr>
      </w:pPr>
    </w:p>
    <w:p>
      <w:pPr>
        <w:ind w:right="140" w:firstLine="297"/>
        <w:spacing w:after="0" w:line="290" w:lineRule="auto"/>
        <w:rPr>
          <w:sz w:val="20"/>
          <w:szCs w:val="20"/>
          <w:color w:val="auto"/>
        </w:rPr>
      </w:pPr>
      <w:r>
        <w:rPr>
          <w:rFonts w:ascii="Arial" w:cs="Arial" w:eastAsia="Arial" w:hAnsi="Arial"/>
          <w:sz w:val="16"/>
          <w:szCs w:val="16"/>
          <w:color w:val="auto"/>
        </w:rPr>
        <w:t>During 2015 and 2016, the Corporation entered into agreements to lease two floors of office space in San Francisco, California through April 30, 2022. In 2019, the Corporation subleased the two floors beginning in June and October 2019, respectively. The sublease terms also expire on April 30, 2022.</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Lyndhurst lease:</w:t>
      </w:r>
    </w:p>
    <w:p>
      <w:pPr>
        <w:spacing w:after="0" w:line="162" w:lineRule="exact"/>
        <w:rPr>
          <w:sz w:val="20"/>
          <w:szCs w:val="20"/>
          <w:color w:val="auto"/>
        </w:rPr>
      </w:pPr>
    </w:p>
    <w:p>
      <w:pPr>
        <w:ind w:right="320" w:firstLine="297"/>
        <w:spacing w:after="0" w:line="290" w:lineRule="auto"/>
        <w:rPr>
          <w:sz w:val="20"/>
          <w:szCs w:val="20"/>
          <w:color w:val="auto"/>
        </w:rPr>
      </w:pPr>
      <w:r>
        <w:rPr>
          <w:rFonts w:ascii="Arial" w:cs="Arial" w:eastAsia="Arial" w:hAnsi="Arial"/>
          <w:sz w:val="16"/>
          <w:szCs w:val="16"/>
          <w:color w:val="auto"/>
        </w:rPr>
        <w:t>On February 28, 2019, the Corporation completed its acquisition of Principium and assumed its office lease in Lyndhurst, New Jersey. The lease expires May 31, 2022 and has one option to renew for 5 years. The renewal option is not included in the measurement of the lease.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Minnesota lease:</w:t>
      </w:r>
    </w:p>
    <w:p>
      <w:pPr>
        <w:spacing w:after="0" w:line="162" w:lineRule="exact"/>
        <w:rPr>
          <w:sz w:val="20"/>
          <w:szCs w:val="20"/>
          <w:color w:val="auto"/>
        </w:rPr>
      </w:pPr>
    </w:p>
    <w:p>
      <w:pPr>
        <w:ind w:right="320" w:firstLine="297"/>
        <w:spacing w:after="0" w:line="290" w:lineRule="auto"/>
        <w:rPr>
          <w:sz w:val="20"/>
          <w:szCs w:val="20"/>
          <w:color w:val="auto"/>
        </w:rPr>
      </w:pPr>
      <w:r>
        <w:rPr>
          <w:rFonts w:ascii="Arial" w:cs="Arial" w:eastAsia="Arial" w:hAnsi="Arial"/>
          <w:sz w:val="16"/>
          <w:szCs w:val="16"/>
          <w:color w:val="auto"/>
        </w:rPr>
        <w:t>On October 8, 2020, the Corporation entered into an agreement to lease office space for its Seek subsidiary in Edina, Minnesota, which expires on September 30, 2022.</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Summary of lease costs recognized under ASC 842:</w:t>
      </w:r>
    </w:p>
    <w:p>
      <w:pPr>
        <w:spacing w:after="0" w:line="162"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The following table contains a summary of the lease costs recognized under ASC 842 and other information pertaining to the Corporation’s operating leases for the years ended December 31, 2020 and 2019:</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lease cost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750" cy="156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lease cost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information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43750" cy="133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Weighted-average remaining lease term (in years)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lease cost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750" cy="156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lease cost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information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43750" cy="133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Weighted-average remaining lease term (in years)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Year ended December 31,</w:t>
      </w:r>
    </w:p>
    <w:p>
      <w:pPr>
        <w:jc w:val="center"/>
        <w:ind w:right="-7"/>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107569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 w:lineRule="exact"/>
        <w:rPr>
          <w:sz w:val="20"/>
          <w:szCs w:val="20"/>
          <w:color w:val="auto"/>
        </w:rPr>
      </w:pPr>
    </w:p>
    <w:p>
      <w:pPr>
        <w:ind w:left="428"/>
        <w:spacing w:after="0"/>
        <w:rPr>
          <w:sz w:val="20"/>
          <w:szCs w:val="20"/>
          <w:color w:val="auto"/>
        </w:rPr>
      </w:pPr>
      <w:r>
        <w:rPr>
          <w:rFonts w:ascii="Arial" w:cs="Arial" w:eastAsia="Arial" w:hAnsi="Arial"/>
          <w:sz w:val="13"/>
          <w:szCs w:val="13"/>
          <w:b w:val="1"/>
          <w:bCs w:val="1"/>
          <w:color w:val="auto"/>
        </w:rPr>
        <w:t>(in thousands)</w:t>
      </w:r>
    </w:p>
    <w:p>
      <w:pPr>
        <w:spacing w:after="0" w:line="31" w:lineRule="exact"/>
        <w:rPr>
          <w:sz w:val="20"/>
          <w:szCs w:val="20"/>
          <w:color w:val="auto"/>
        </w:rPr>
      </w:pPr>
    </w:p>
    <w:p>
      <w:pPr>
        <w:ind w:left="1108" w:hanging="1108"/>
        <w:spacing w:after="0"/>
        <w:tabs>
          <w:tab w:leader="none" w:pos="110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4,533</w:t>
      </w:r>
    </w:p>
    <w:p>
      <w:pPr>
        <w:spacing w:after="0" w:line="26" w:lineRule="exact"/>
        <w:rPr>
          <w:rFonts w:ascii="Arial" w:cs="Arial" w:eastAsia="Arial" w:hAnsi="Arial"/>
          <w:sz w:val="16"/>
          <w:szCs w:val="16"/>
          <w:color w:val="auto"/>
        </w:rPr>
      </w:pPr>
    </w:p>
    <w:p>
      <w:pPr>
        <w:ind w:left="1228"/>
        <w:spacing w:after="0"/>
        <w:rPr>
          <w:rFonts w:ascii="Arial" w:cs="Arial" w:eastAsia="Arial" w:hAnsi="Arial"/>
          <w:sz w:val="16"/>
          <w:szCs w:val="16"/>
          <w:color w:val="auto"/>
        </w:rPr>
      </w:pPr>
      <w:r>
        <w:rPr>
          <w:rFonts w:ascii="Arial" w:cs="Arial" w:eastAsia="Arial" w:hAnsi="Arial"/>
          <w:sz w:val="16"/>
          <w:szCs w:val="16"/>
          <w:color w:val="auto"/>
        </w:rPr>
        <w:t>632</w:t>
      </w:r>
    </w:p>
    <w:p>
      <w:pPr>
        <w:spacing w:after="0" w:line="26" w:lineRule="exact"/>
        <w:rPr>
          <w:rFonts w:ascii="Arial" w:cs="Arial" w:eastAsia="Arial" w:hAnsi="Arial"/>
          <w:sz w:val="16"/>
          <w:szCs w:val="16"/>
          <w:color w:val="auto"/>
        </w:rPr>
      </w:pPr>
    </w:p>
    <w:p>
      <w:pPr>
        <w:ind w:left="1308"/>
        <w:spacing w:after="0"/>
        <w:rPr>
          <w:rFonts w:ascii="Arial" w:cs="Arial" w:eastAsia="Arial" w:hAnsi="Arial"/>
          <w:sz w:val="16"/>
          <w:szCs w:val="16"/>
          <w:color w:val="auto"/>
        </w:rPr>
      </w:pPr>
      <w:r>
        <w:rPr>
          <w:rFonts w:ascii="Arial" w:cs="Arial" w:eastAsia="Arial" w:hAnsi="Arial"/>
          <w:sz w:val="16"/>
          <w:szCs w:val="16"/>
          <w:color w:val="auto"/>
        </w:rPr>
        <w:t>20</w:t>
      </w:r>
    </w:p>
    <w:p>
      <w:pPr>
        <w:spacing w:after="0" w:line="26" w:lineRule="exact"/>
        <w:rPr>
          <w:sz w:val="20"/>
          <w:szCs w:val="20"/>
          <w:color w:val="auto"/>
        </w:rPr>
      </w:pPr>
    </w:p>
    <w:p>
      <w:pPr>
        <w:ind w:left="1028"/>
        <w:spacing w:after="0"/>
        <w:rPr>
          <w:sz w:val="20"/>
          <w:szCs w:val="20"/>
          <w:color w:val="auto"/>
        </w:rPr>
      </w:pPr>
      <w:r>
        <w:rPr>
          <w:rFonts w:ascii="Arial" w:cs="Arial" w:eastAsia="Arial" w:hAnsi="Arial"/>
          <w:sz w:val="16"/>
          <w:szCs w:val="16"/>
          <w:color w:val="auto"/>
        </w:rPr>
        <w:t>(3,098)</w:t>
      </w:r>
    </w:p>
    <w:p>
      <w:pPr>
        <w:spacing w:after="0" w:line="39" w:lineRule="exact"/>
        <w:rPr>
          <w:sz w:val="20"/>
          <w:szCs w:val="20"/>
          <w:color w:val="auto"/>
        </w:rPr>
      </w:pPr>
    </w:p>
    <w:p>
      <w:pPr>
        <w:ind w:left="1108" w:hanging="1108"/>
        <w:spacing w:after="0"/>
        <w:tabs>
          <w:tab w:leader="none" w:pos="110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2,087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107569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41" w:lineRule="exact"/>
        <w:rPr>
          <w:sz w:val="20"/>
          <w:szCs w:val="20"/>
          <w:color w:val="auto"/>
        </w:rPr>
      </w:pPr>
    </w:p>
    <w:p>
      <w:pPr>
        <w:ind w:left="1108" w:hanging="1108"/>
        <w:spacing w:after="0"/>
        <w:tabs>
          <w:tab w:leader="none" w:pos="11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4,979</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10.17 %</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Year ended December 31,</w:t>
      </w:r>
    </w:p>
    <w:p>
      <w:pPr>
        <w:jc w:val="center"/>
        <w:ind w:right="-7"/>
        <w:spacing w:after="0"/>
        <w:rPr>
          <w:sz w:val="20"/>
          <w:szCs w:val="20"/>
          <w:color w:val="auto"/>
        </w:rPr>
      </w:pP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107569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 w:lineRule="exact"/>
        <w:rPr>
          <w:sz w:val="20"/>
          <w:szCs w:val="20"/>
          <w:color w:val="auto"/>
        </w:rPr>
      </w:pPr>
    </w:p>
    <w:p>
      <w:pPr>
        <w:ind w:left="428"/>
        <w:spacing w:after="0"/>
        <w:rPr>
          <w:sz w:val="20"/>
          <w:szCs w:val="20"/>
          <w:color w:val="auto"/>
        </w:rPr>
      </w:pPr>
      <w:r>
        <w:rPr>
          <w:rFonts w:ascii="Arial" w:cs="Arial" w:eastAsia="Arial" w:hAnsi="Arial"/>
          <w:sz w:val="13"/>
          <w:szCs w:val="13"/>
          <w:b w:val="1"/>
          <w:bCs w:val="1"/>
          <w:color w:val="auto"/>
        </w:rPr>
        <w:t>(in thousands)</w:t>
      </w:r>
    </w:p>
    <w:p>
      <w:pPr>
        <w:spacing w:after="0" w:line="31" w:lineRule="exact"/>
        <w:rPr>
          <w:sz w:val="20"/>
          <w:szCs w:val="20"/>
          <w:color w:val="auto"/>
        </w:rPr>
      </w:pPr>
    </w:p>
    <w:p>
      <w:pPr>
        <w:ind w:left="1108" w:hanging="1108"/>
        <w:spacing w:after="0"/>
        <w:tabs>
          <w:tab w:leader="none" w:pos="11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4,552</w:t>
      </w:r>
    </w:p>
    <w:p>
      <w:pPr>
        <w:spacing w:after="0" w:line="26" w:lineRule="exact"/>
        <w:rPr>
          <w:rFonts w:ascii="Arial" w:cs="Arial" w:eastAsia="Arial" w:hAnsi="Arial"/>
          <w:sz w:val="16"/>
          <w:szCs w:val="16"/>
          <w:color w:val="auto"/>
        </w:rPr>
      </w:pPr>
    </w:p>
    <w:p>
      <w:pPr>
        <w:ind w:left="1228"/>
        <w:spacing w:after="0"/>
        <w:rPr>
          <w:rFonts w:ascii="Arial" w:cs="Arial" w:eastAsia="Arial" w:hAnsi="Arial"/>
          <w:sz w:val="16"/>
          <w:szCs w:val="16"/>
          <w:color w:val="auto"/>
        </w:rPr>
      </w:pPr>
      <w:r>
        <w:rPr>
          <w:rFonts w:ascii="Arial" w:cs="Arial" w:eastAsia="Arial" w:hAnsi="Arial"/>
          <w:sz w:val="16"/>
          <w:szCs w:val="16"/>
          <w:color w:val="auto"/>
        </w:rPr>
        <w:t>654</w:t>
      </w:r>
    </w:p>
    <w:p>
      <w:pPr>
        <w:spacing w:after="0" w:line="26" w:lineRule="exact"/>
        <w:rPr>
          <w:rFonts w:ascii="Arial" w:cs="Arial" w:eastAsia="Arial" w:hAnsi="Arial"/>
          <w:sz w:val="16"/>
          <w:szCs w:val="16"/>
          <w:color w:val="auto"/>
        </w:rPr>
      </w:pPr>
    </w:p>
    <w:p>
      <w:pPr>
        <w:ind w:left="1308"/>
        <w:spacing w:after="0"/>
        <w:rPr>
          <w:rFonts w:ascii="Arial" w:cs="Arial" w:eastAsia="Arial" w:hAnsi="Arial"/>
          <w:sz w:val="16"/>
          <w:szCs w:val="16"/>
          <w:color w:val="auto"/>
        </w:rPr>
      </w:pPr>
      <w:r>
        <w:rPr>
          <w:rFonts w:ascii="Arial" w:cs="Arial" w:eastAsia="Arial" w:hAnsi="Arial"/>
          <w:sz w:val="16"/>
          <w:szCs w:val="16"/>
          <w:color w:val="auto"/>
        </w:rPr>
        <w:t>58</w:t>
      </w:r>
    </w:p>
    <w:p>
      <w:pPr>
        <w:spacing w:after="0" w:line="26" w:lineRule="exact"/>
        <w:rPr>
          <w:sz w:val="20"/>
          <w:szCs w:val="20"/>
          <w:color w:val="auto"/>
        </w:rPr>
      </w:pPr>
    </w:p>
    <w:p>
      <w:pPr>
        <w:ind w:left="1168"/>
        <w:spacing w:after="0"/>
        <w:rPr>
          <w:sz w:val="20"/>
          <w:szCs w:val="20"/>
          <w:color w:val="auto"/>
        </w:rPr>
      </w:pPr>
      <w:r>
        <w:rPr>
          <w:rFonts w:ascii="Arial" w:cs="Arial" w:eastAsia="Arial" w:hAnsi="Arial"/>
          <w:sz w:val="16"/>
          <w:szCs w:val="16"/>
          <w:color w:val="auto"/>
        </w:rPr>
        <w:t>(989)</w:t>
      </w:r>
    </w:p>
    <w:p>
      <w:pPr>
        <w:spacing w:after="0" w:line="39" w:lineRule="exact"/>
        <w:rPr>
          <w:sz w:val="20"/>
          <w:szCs w:val="20"/>
          <w:color w:val="auto"/>
        </w:rPr>
      </w:pPr>
    </w:p>
    <w:p>
      <w:pPr>
        <w:ind w:left="1108" w:hanging="1108"/>
        <w:spacing w:after="0"/>
        <w:tabs>
          <w:tab w:leader="none" w:pos="110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4,275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107569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41" w:lineRule="exact"/>
        <w:rPr>
          <w:sz w:val="20"/>
          <w:szCs w:val="20"/>
          <w:color w:val="auto"/>
        </w:rPr>
      </w:pPr>
    </w:p>
    <w:p>
      <w:pPr>
        <w:ind w:left="1108" w:hanging="1108"/>
        <w:spacing w:after="0"/>
        <w:tabs>
          <w:tab w:leader="none" w:pos="11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4,804</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10.05 %</w:t>
      </w:r>
    </w:p>
    <w:p>
      <w:pPr>
        <w:spacing w:after="0" w:line="200" w:lineRule="exact"/>
        <w:rPr>
          <w:sz w:val="20"/>
          <w:szCs w:val="20"/>
          <w:color w:val="auto"/>
        </w:rPr>
      </w:pPr>
    </w:p>
    <w:p>
      <w:pPr>
        <w:sectPr>
          <w:pgSz w:w="11900" w:h="16838" w:orient="portrait"/>
          <w:cols w:equalWidth="0" w:num="2">
            <w:col w:w="8852" w:space="720"/>
            <w:col w:w="1668"/>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168275</wp:posOffset>
            </wp:positionV>
            <wp:extent cx="7169150"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560" w:firstLine="297"/>
        <w:spacing w:after="0" w:line="290" w:lineRule="auto"/>
        <w:rPr>
          <w:sz w:val="20"/>
          <w:szCs w:val="20"/>
          <w:color w:val="auto"/>
        </w:rPr>
      </w:pPr>
      <w:r>
        <w:rPr>
          <w:rFonts w:ascii="Arial" w:cs="Arial" w:eastAsia="Arial" w:hAnsi="Arial"/>
          <w:sz w:val="16"/>
          <w:szCs w:val="16"/>
          <w:color w:val="auto"/>
        </w:rPr>
        <w:t>Pursuant to the terms of the Corporation’s non-cancelable lease agreements in effect at December 31, 2020, the following table summarizes the Corporation’s maturities of lease liabilities as of December 31, 2020:</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968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r>
      <w:tr>
        <w:trPr>
          <w:trHeight w:val="171"/>
        </w:trPr>
        <w:tc>
          <w:tcPr>
            <w:tcW w:w="9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89"/>
              </w:rPr>
              <w:t>2020</w:t>
            </w:r>
          </w:p>
        </w:tc>
      </w:tr>
      <w:tr>
        <w:trPr>
          <w:trHeight w:val="165"/>
        </w:trPr>
        <w:tc>
          <w:tcPr>
            <w:tcW w:w="9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61"/>
              <w:spacing w:after="0"/>
              <w:rPr>
                <w:sz w:val="20"/>
                <w:szCs w:val="20"/>
                <w:color w:val="auto"/>
              </w:rPr>
            </w:pPr>
            <w:r>
              <w:rPr>
                <w:rFonts w:ascii="Arial" w:cs="Arial" w:eastAsia="Arial" w:hAnsi="Arial"/>
                <w:sz w:val="13"/>
                <w:szCs w:val="13"/>
                <w:b w:val="1"/>
                <w:bCs w:val="1"/>
                <w:color w:val="auto"/>
                <w:w w:val="89"/>
              </w:rPr>
              <w:t>(in thousands)</w:t>
            </w:r>
          </w:p>
        </w:tc>
      </w:tr>
      <w:tr>
        <w:trPr>
          <w:trHeight w:val="212"/>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2,747</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14,031</w:t>
            </w:r>
          </w:p>
        </w:tc>
      </w:tr>
      <w:tr>
        <w:trPr>
          <w:trHeight w:val="21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w:t>
            </w:r>
          </w:p>
        </w:tc>
      </w:tr>
      <w:tr>
        <w:trPr>
          <w:trHeight w:val="22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18. Preferred stock</w:t>
      </w:r>
    </w:p>
    <w:p>
      <w:pPr>
        <w:spacing w:after="0" w:line="166" w:lineRule="exact"/>
        <w:rPr>
          <w:sz w:val="20"/>
          <w:szCs w:val="20"/>
          <w:color w:val="auto"/>
        </w:rPr>
      </w:pPr>
    </w:p>
    <w:p>
      <w:pPr>
        <w:ind w:left="1" w:firstLine="297"/>
        <w:spacing w:after="0" w:line="274" w:lineRule="auto"/>
        <w:rPr>
          <w:sz w:val="20"/>
          <w:szCs w:val="20"/>
          <w:color w:val="auto"/>
        </w:rPr>
      </w:pPr>
      <w:r>
        <w:rPr>
          <w:rFonts w:ascii="Arial" w:cs="Arial" w:eastAsia="Arial" w:hAnsi="Arial"/>
          <w:sz w:val="16"/>
          <w:szCs w:val="16"/>
          <w:color w:val="auto"/>
        </w:rPr>
        <w:t>During 2015, the Corporation issued 10,907,993 shares of Series A and 14,888,608 shares of Series A-1 preferred stock at $0.50394 per share for total proceeds of approximately $13.0 million. During 2015, the Corporation issued 21,381,446 shares of Series B preferred stock at $1.63693 per share for total proceeds of approximately $35.0 million.</w:t>
      </w:r>
    </w:p>
    <w:p>
      <w:pPr>
        <w:spacing w:after="0" w:line="112" w:lineRule="exact"/>
        <w:rPr>
          <w:sz w:val="20"/>
          <w:szCs w:val="20"/>
          <w:color w:val="auto"/>
        </w:rPr>
      </w:pPr>
    </w:p>
    <w:p>
      <w:pPr>
        <w:ind w:left="1" w:firstLine="297"/>
        <w:spacing w:after="0" w:line="290" w:lineRule="auto"/>
        <w:rPr>
          <w:sz w:val="20"/>
          <w:szCs w:val="20"/>
          <w:color w:val="auto"/>
        </w:rPr>
      </w:pPr>
      <w:r>
        <w:rPr>
          <w:rFonts w:ascii="Arial" w:cs="Arial" w:eastAsia="Arial" w:hAnsi="Arial"/>
          <w:sz w:val="16"/>
          <w:szCs w:val="16"/>
          <w:color w:val="auto"/>
        </w:rPr>
        <w:t>During 2016, the Corporation issued 39,431,582 shares of Series C preferred stock at $4.06185 per share for total proceeds of approximately $160.2 million. Issuance costs totaled approximately $0.4 million.</w:t>
      </w:r>
    </w:p>
    <w:p>
      <w:pPr>
        <w:spacing w:after="0" w:line="99" w:lineRule="exact"/>
        <w:rPr>
          <w:sz w:val="20"/>
          <w:szCs w:val="20"/>
          <w:color w:val="auto"/>
        </w:rPr>
      </w:pPr>
    </w:p>
    <w:p>
      <w:pPr>
        <w:ind w:left="1" w:firstLine="297"/>
        <w:spacing w:after="0" w:line="290" w:lineRule="auto"/>
        <w:rPr>
          <w:sz w:val="20"/>
          <w:szCs w:val="20"/>
          <w:color w:val="auto"/>
        </w:rPr>
      </w:pPr>
      <w:r>
        <w:rPr>
          <w:rFonts w:ascii="Arial" w:cs="Arial" w:eastAsia="Arial" w:hAnsi="Arial"/>
          <w:sz w:val="16"/>
          <w:szCs w:val="16"/>
          <w:color w:val="auto"/>
        </w:rPr>
        <w:t>During 2017, the Corporation issued 42,910,925 shares of Series D preferred stock at $4.53456 per share for total proceeds of approximately $194.6 million. Issuance costs totaled approximately $0.3 million.</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5"/>
          <w:szCs w:val="15"/>
          <w:color w:val="auto"/>
        </w:rPr>
        <w:t>During 2018, the Corporation issued 9,923,792 additional shares of Series D preferred stock at $4.53456 per share for total proceeds of approximately $45.0 million.</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6"/>
          <w:szCs w:val="16"/>
          <w:color w:val="auto"/>
        </w:rPr>
        <w:t>Issuance costs totaled approximately $0.5 million.</w:t>
      </w:r>
    </w:p>
    <w:p>
      <w:pPr>
        <w:spacing w:after="0" w:line="151" w:lineRule="exact"/>
        <w:rPr>
          <w:sz w:val="20"/>
          <w:szCs w:val="20"/>
          <w:color w:val="auto"/>
        </w:rPr>
      </w:pPr>
    </w:p>
    <w:p>
      <w:pPr>
        <w:ind w:left="1" w:right="640" w:firstLine="297"/>
        <w:spacing w:after="0" w:line="290" w:lineRule="auto"/>
        <w:rPr>
          <w:sz w:val="20"/>
          <w:szCs w:val="20"/>
          <w:color w:val="auto"/>
        </w:rPr>
      </w:pPr>
      <w:r>
        <w:rPr>
          <w:rFonts w:ascii="Arial" w:cs="Arial" w:eastAsia="Arial" w:hAnsi="Arial"/>
          <w:sz w:val="16"/>
          <w:szCs w:val="16"/>
          <w:color w:val="auto"/>
        </w:rPr>
        <w:t>During 2020 and 2019, the Corporation did not issue any additional shares of preferred stock. As of each balance sheet date, preferred stock consisted of the following ($ in millions, except for share amounts):</w:t>
      </w:r>
    </w:p>
    <w:p>
      <w:pPr>
        <w:spacing w:after="0" w:line="129"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As of December 31, 2020 and 2019, after recapitalization</w:t>
      </w:r>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127"/>
        </w:trPr>
        <w:tc>
          <w:tcPr>
            <w:tcW w:w="36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Preferred</w:t>
            </w:r>
          </w:p>
        </w:tc>
        <w:tc>
          <w:tcPr>
            <w:tcW w:w="1540" w:type="dxa"/>
            <w:vAlign w:val="bottom"/>
            <w:tcBorders>
              <w:top w:val="single" w:sz="8" w:color="auto"/>
            </w:tcBorders>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96"/>
              </w:rPr>
              <w:t>Preferred</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54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Stock Issued</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4"/>
              </w:rPr>
              <w:t>Liquidation</w:t>
            </w: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Common Stock Issuable</w:t>
            </w: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152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4"/>
              </w:rPr>
              <w:t>Stock</w:t>
            </w:r>
          </w:p>
        </w:tc>
        <w:tc>
          <w:tcPr>
            <w:tcW w:w="154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6"/>
              </w:rPr>
              <w:t>and</w:t>
            </w:r>
          </w:p>
        </w:tc>
        <w:tc>
          <w:tcPr>
            <w:tcW w:w="18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Carrying Value</w:t>
            </w:r>
          </w:p>
        </w:tc>
        <w:tc>
          <w:tcPr>
            <w:tcW w:w="2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520" w:type="dxa"/>
            <w:vAlign w:val="bottom"/>
            <w:gridSpan w:val="2"/>
          </w:tcPr>
          <w:p>
            <w:pPr>
              <w:jc w:val="center"/>
              <w:ind w:right="100"/>
              <w:spacing w:after="0" w:line="173" w:lineRule="exact"/>
              <w:rPr>
                <w:sz w:val="20"/>
                <w:szCs w:val="20"/>
                <w:color w:val="auto"/>
              </w:rPr>
            </w:pPr>
            <w:r>
              <w:rPr>
                <w:rFonts w:ascii="Arial" w:cs="Arial" w:eastAsia="Arial" w:hAnsi="Arial"/>
                <w:sz w:val="13"/>
                <w:szCs w:val="13"/>
                <w:b w:val="1"/>
                <w:bCs w:val="1"/>
                <w:color w:val="auto"/>
                <w:w w:val="91"/>
              </w:rPr>
              <w:t xml:space="preserve">Authorized </w:t>
            </w:r>
            <w:r>
              <w:rPr>
                <w:rFonts w:ascii="Arial" w:cs="Arial" w:eastAsia="Arial" w:hAnsi="Arial"/>
                <w:sz w:val="17"/>
                <w:szCs w:val="17"/>
                <w:b w:val="1"/>
                <w:bCs w:val="1"/>
                <w:color w:val="auto"/>
                <w:w w:val="91"/>
                <w:vertAlign w:val="superscript"/>
              </w:rPr>
              <w:t>(1)</w:t>
            </w:r>
          </w:p>
        </w:tc>
        <w:tc>
          <w:tcPr>
            <w:tcW w:w="1540" w:type="dxa"/>
            <w:vAlign w:val="bottom"/>
            <w:gridSpan w:val="2"/>
          </w:tcPr>
          <w:p>
            <w:pPr>
              <w:jc w:val="center"/>
              <w:ind w:right="100"/>
              <w:spacing w:after="0" w:line="173" w:lineRule="exact"/>
              <w:rPr>
                <w:sz w:val="20"/>
                <w:szCs w:val="20"/>
                <w:color w:val="auto"/>
              </w:rPr>
            </w:pPr>
            <w:r>
              <w:rPr>
                <w:rFonts w:ascii="Arial" w:cs="Arial" w:eastAsia="Arial" w:hAnsi="Arial"/>
                <w:sz w:val="13"/>
                <w:szCs w:val="13"/>
                <w:b w:val="1"/>
                <w:bCs w:val="1"/>
                <w:color w:val="auto"/>
                <w:w w:val="89"/>
              </w:rPr>
              <w:t xml:space="preserve">Outstanding </w:t>
            </w:r>
            <w:r>
              <w:rPr>
                <w:rFonts w:ascii="Arial" w:cs="Arial" w:eastAsia="Arial" w:hAnsi="Arial"/>
                <w:sz w:val="17"/>
                <w:szCs w:val="17"/>
                <w:b w:val="1"/>
                <w:bCs w:val="1"/>
                <w:color w:val="auto"/>
                <w:w w:val="89"/>
                <w:vertAlign w:val="superscript"/>
              </w:rPr>
              <w:t>(1)</w:t>
            </w: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Preference</w:t>
            </w:r>
          </w:p>
        </w:tc>
        <w:tc>
          <w:tcPr>
            <w:tcW w:w="1440" w:type="dxa"/>
            <w:vAlign w:val="bottom"/>
          </w:tcPr>
          <w:p>
            <w:pPr>
              <w:jc w:val="right"/>
              <w:ind w:right="82"/>
              <w:spacing w:after="0" w:line="173" w:lineRule="exact"/>
              <w:rPr>
                <w:sz w:val="20"/>
                <w:szCs w:val="20"/>
                <w:color w:val="auto"/>
              </w:rPr>
            </w:pPr>
            <w:r>
              <w:rPr>
                <w:rFonts w:ascii="Arial" w:cs="Arial" w:eastAsia="Arial" w:hAnsi="Arial"/>
                <w:sz w:val="13"/>
                <w:szCs w:val="13"/>
                <w:b w:val="1"/>
                <w:bCs w:val="1"/>
                <w:color w:val="auto"/>
              </w:rPr>
              <w:t xml:space="preserve">Upon Conversion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Series A Preferred stock</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10,907,993</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10,907,993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10,907,993</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Series A-1 Preferred stock</w:t>
            </w:r>
          </w:p>
        </w:tc>
        <w:tc>
          <w:tcPr>
            <w:tcW w:w="1420" w:type="dxa"/>
            <w:vAlign w:val="bottom"/>
          </w:tcPr>
          <w:p>
            <w:pPr>
              <w:jc w:val="right"/>
              <w:spacing w:after="0"/>
              <w:rPr>
                <w:sz w:val="20"/>
                <w:szCs w:val="20"/>
                <w:color w:val="auto"/>
              </w:rPr>
            </w:pPr>
            <w:r>
              <w:rPr>
                <w:rFonts w:ascii="Arial" w:cs="Arial" w:eastAsia="Arial" w:hAnsi="Arial"/>
                <w:sz w:val="16"/>
                <w:szCs w:val="16"/>
                <w:color w:val="auto"/>
              </w:rPr>
              <w:t>14,888,608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14,888,608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14,888,608</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B Preferred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21,381,446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21,381,446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21,381,446</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Series C Preferred stock</w:t>
            </w:r>
          </w:p>
        </w:tc>
        <w:tc>
          <w:tcPr>
            <w:tcW w:w="1420" w:type="dxa"/>
            <w:vAlign w:val="bottom"/>
          </w:tcPr>
          <w:p>
            <w:pPr>
              <w:jc w:val="right"/>
              <w:spacing w:after="0"/>
              <w:rPr>
                <w:sz w:val="20"/>
                <w:szCs w:val="20"/>
                <w:color w:val="auto"/>
              </w:rPr>
            </w:pPr>
            <w:r>
              <w:rPr>
                <w:rFonts w:ascii="Arial" w:cs="Arial" w:eastAsia="Arial" w:hAnsi="Arial"/>
                <w:sz w:val="16"/>
                <w:szCs w:val="16"/>
                <w:color w:val="auto"/>
              </w:rPr>
              <w:t>39,431,582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39,431,582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39,431,582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D Preferred stock</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68,777,396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52,834,717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52,834,717</w:t>
            </w: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155,387,025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139,444,346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139,444,346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w:t>
      </w:r>
    </w:p>
    <w:p>
      <w:pPr>
        <w:spacing w:after="0" w:line="9" w:lineRule="exact"/>
        <w:rPr>
          <w:sz w:val="20"/>
          <w:szCs w:val="20"/>
          <w:color w:val="auto"/>
        </w:rPr>
      </w:pPr>
    </w:p>
    <w:p>
      <w:pPr>
        <w:ind w:left="301" w:right="20" w:hanging="301"/>
        <w:spacing w:after="0" w:line="247" w:lineRule="auto"/>
        <w:tabs>
          <w:tab w:leader="none" w:pos="294"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18" w:name="page219"/>
    <w:bookmarkEnd w:id="218"/>
    <w:p>
      <w:pPr>
        <w:jc w:val="center"/>
        <w:ind w:right="-20"/>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holders of the preferred stock have rights, preferences and privileges as follows:</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Dividends</w:t>
      </w:r>
    </w:p>
    <w:p>
      <w:pPr>
        <w:spacing w:after="0" w:line="162" w:lineRule="exact"/>
        <w:rPr>
          <w:sz w:val="20"/>
          <w:szCs w:val="20"/>
          <w:color w:val="auto"/>
        </w:rPr>
      </w:pPr>
    </w:p>
    <w:p>
      <w:pPr>
        <w:ind w:left="1" w:right="100" w:firstLine="297"/>
        <w:spacing w:after="0" w:line="263" w:lineRule="auto"/>
        <w:rPr>
          <w:sz w:val="20"/>
          <w:szCs w:val="20"/>
          <w:color w:val="auto"/>
        </w:rPr>
      </w:pPr>
      <w:r>
        <w:rPr>
          <w:rFonts w:ascii="Arial" w:cs="Arial" w:eastAsia="Arial" w:hAnsi="Arial"/>
          <w:sz w:val="16"/>
          <w:szCs w:val="16"/>
          <w:color w:val="auto"/>
        </w:rPr>
        <w:t>The Series A and Series A-1 dividend rate is $0.04032 per share of Series A preferred stock per annum, subject to appropriate adjustment in the event of any stock dividend, stock split, combination or other similar recapitalization with respect to the Series A and Series A-1 preferred stock. The Series B rate is $0.13090 per share of Series B preferred stock per annum, subject to appropriate adjustment in the event of any stock dividend, stock split, combination or other similar recapitalization with respect to Series B preferred stock. The Series C rate is $0.32495 per share of Series C preferred stock per annum, subject to appropriate adjustment in the event of any stock split, combination or other similar recapitalization with respect to the Series C preferred stock. The Series D rate is $0.36276 per share of Series D preferred stock per annum, subject to appropriate adjustment in the event of any stock dividend, stock split, combination or other similar recapitalization with respect to the Series D preferred stock.</w:t>
      </w:r>
    </w:p>
    <w:p>
      <w:pPr>
        <w:spacing w:after="0" w:line="122" w:lineRule="exact"/>
        <w:rPr>
          <w:sz w:val="20"/>
          <w:szCs w:val="20"/>
          <w:color w:val="auto"/>
        </w:rPr>
      </w:pPr>
    </w:p>
    <w:p>
      <w:pPr>
        <w:ind w:left="1" w:right="200" w:firstLine="297"/>
        <w:spacing w:after="0" w:line="300" w:lineRule="auto"/>
        <w:rPr>
          <w:sz w:val="20"/>
          <w:szCs w:val="20"/>
          <w:color w:val="auto"/>
        </w:rPr>
      </w:pPr>
      <w:r>
        <w:rPr>
          <w:rFonts w:ascii="Arial" w:cs="Arial" w:eastAsia="Arial" w:hAnsi="Arial"/>
          <w:sz w:val="14"/>
          <w:szCs w:val="14"/>
          <w:color w:val="auto"/>
        </w:rPr>
        <w:t>The Corporation cannot declare, pay or set aside any dividends on shares of any other class or series of capital stock of the Corporation (other than dividends on shares of common stock payable in shares of common stock) unless the holders of the outstanding preferred stock will first receive (on a pari passu basis), or simultaneously receive, a dividend on each outstanding share of preferred stock in an amount equal to the greater of (a) the applicable dividend rate (as listed above) or</w:t>
      </w:r>
    </w:p>
    <w:p>
      <w:pPr>
        <w:spacing w:after="0" w:line="1" w:lineRule="exact"/>
        <w:rPr>
          <w:sz w:val="20"/>
          <w:szCs w:val="20"/>
          <w:color w:val="auto"/>
        </w:rPr>
      </w:pPr>
    </w:p>
    <w:p>
      <w:pPr>
        <w:ind w:left="241" w:hanging="241"/>
        <w:spacing w:after="0"/>
        <w:tabs>
          <w:tab w:leader="none" w:pos="24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 amount that such holders of the preferred stock would receive on a pari passu basis with the holders of common stock if such shares of preferred stock had been</w:t>
      </w:r>
    </w:p>
    <w:p>
      <w:pPr>
        <w:spacing w:after="0" w:line="25" w:lineRule="exact"/>
        <w:rPr>
          <w:rFonts w:ascii="Arial" w:cs="Arial" w:eastAsia="Arial" w:hAnsi="Arial"/>
          <w:sz w:val="15"/>
          <w:szCs w:val="15"/>
          <w:color w:val="auto"/>
        </w:rPr>
      </w:pPr>
    </w:p>
    <w:p>
      <w:pPr>
        <w:ind w:left="1" w:right="20"/>
        <w:spacing w:after="0" w:line="267" w:lineRule="auto"/>
        <w:rPr>
          <w:rFonts w:ascii="Arial" w:cs="Arial" w:eastAsia="Arial" w:hAnsi="Arial"/>
          <w:sz w:val="15"/>
          <w:szCs w:val="15"/>
          <w:color w:val="auto"/>
        </w:rPr>
      </w:pPr>
      <w:r>
        <w:rPr>
          <w:rFonts w:ascii="Arial" w:cs="Arial" w:eastAsia="Arial" w:hAnsi="Arial"/>
          <w:sz w:val="16"/>
          <w:szCs w:val="16"/>
          <w:color w:val="auto"/>
        </w:rPr>
        <w:t>converted to common stock. The holders of the outstanding preferred stock can waive any dividend preference that the holders are entitled to receive upon the affirmative vote or written consent of the holders of a majority of the shares of outstanding preferred stock (voting together as a single class and on as-converted to common stock basis).</w:t>
      </w:r>
    </w:p>
    <w:p>
      <w:pPr>
        <w:spacing w:after="0" w:line="117"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Voting</w:t>
      </w:r>
    </w:p>
    <w:p>
      <w:pPr>
        <w:spacing w:after="0" w:line="162" w:lineRule="exact"/>
        <w:rPr>
          <w:sz w:val="20"/>
          <w:szCs w:val="20"/>
          <w:color w:val="auto"/>
        </w:rPr>
      </w:pPr>
    </w:p>
    <w:p>
      <w:pPr>
        <w:ind w:left="1" w:right="60" w:firstLine="297"/>
        <w:spacing w:after="0" w:line="268" w:lineRule="auto"/>
        <w:rPr>
          <w:sz w:val="20"/>
          <w:szCs w:val="20"/>
          <w:color w:val="auto"/>
        </w:rPr>
      </w:pPr>
      <w:r>
        <w:rPr>
          <w:rFonts w:ascii="Arial" w:cs="Arial" w:eastAsia="Arial" w:hAnsi="Arial"/>
          <w:sz w:val="16"/>
          <w:szCs w:val="16"/>
          <w:color w:val="auto"/>
        </w:rPr>
        <w:t>Each holder of the outstanding share of preferred stock is entitled to cast the number of votes equal to the number of whole shares of common stock into which the shares of preferred stock held by such holder are convertible as of the record date for determining stockholders entitled to vote on such matter. Unless provided by law or any other provisions of the Certificate of Incorporation, holders of preferred stock can vote together with the holders of common stock as a single class on all matters presented to the stockholders of the Corporation.</w:t>
      </w:r>
    </w:p>
    <w:p>
      <w:pPr>
        <w:spacing w:after="0" w:line="118"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Conversion</w:t>
      </w:r>
    </w:p>
    <w:p>
      <w:pPr>
        <w:spacing w:after="0" w:line="162" w:lineRule="exact"/>
        <w:rPr>
          <w:sz w:val="20"/>
          <w:szCs w:val="20"/>
          <w:color w:val="auto"/>
        </w:rPr>
      </w:pPr>
    </w:p>
    <w:p>
      <w:pPr>
        <w:ind w:left="1" w:right="40" w:firstLine="297"/>
        <w:spacing w:after="0" w:line="262" w:lineRule="auto"/>
        <w:rPr>
          <w:sz w:val="20"/>
          <w:szCs w:val="20"/>
          <w:color w:val="auto"/>
        </w:rPr>
      </w:pPr>
      <w:r>
        <w:rPr>
          <w:rFonts w:ascii="Arial" w:cs="Arial" w:eastAsia="Arial" w:hAnsi="Arial"/>
          <w:sz w:val="16"/>
          <w:szCs w:val="16"/>
          <w:color w:val="auto"/>
        </w:rPr>
        <w:t>Each share of preferred stock can be converted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common conversion price (as defined below) in effect at the time of conversion. The “Series A conversion price” will initially be equal to the Series A-1 original issue price. The “Series B conversion price” will initially be equal to the Series B original issue price. The “Series C conversion price” will initially be equal to the Series C original issue price. The “Series D conversion price” will initially be equal to the Series D original issue price. The “applicable conversion price” is defined as the Series A conversion price with respect to the Series A preferred stock, the Series A-1 conversion price with respect to the Series A-1 preferred stock, the Series B conversion price with respect to the Series B preferred stock, the Series C conversion price with respect to the Series C preferred stock, and the Series D conversion price with respect to the Series D preferred stock. Each applicable conversion price, and the rate at which shares of preferred stock may be converted into shares of common stock, is subject to adjustment as provided below.</w:t>
      </w:r>
    </w:p>
    <w:p>
      <w:pPr>
        <w:spacing w:after="0" w:line="121" w:lineRule="exact"/>
        <w:rPr>
          <w:sz w:val="20"/>
          <w:szCs w:val="20"/>
          <w:color w:val="auto"/>
        </w:rPr>
      </w:pPr>
    </w:p>
    <w:p>
      <w:pPr>
        <w:ind w:left="1" w:firstLine="297"/>
        <w:spacing w:after="0" w:line="290" w:lineRule="auto"/>
        <w:rPr>
          <w:sz w:val="20"/>
          <w:szCs w:val="20"/>
          <w:color w:val="auto"/>
        </w:rPr>
      </w:pPr>
      <w:r>
        <w:rPr>
          <w:rFonts w:ascii="Arial" w:cs="Arial" w:eastAsia="Arial" w:hAnsi="Arial"/>
          <w:sz w:val="16"/>
          <w:szCs w:val="16"/>
          <w:color w:val="auto"/>
        </w:rPr>
        <w:t>In the event of liquidation, dissolution or winding up of the Corporation or a deemed liquidation event, the conversion rights will terminate at the close of business on the last full day preceding the date fixed for the payment of such amounts distributable on such event to the holders of preferred stock.</w:t>
      </w:r>
    </w:p>
    <w:p>
      <w:pPr>
        <w:spacing w:after="0" w:line="99" w:lineRule="exact"/>
        <w:rPr>
          <w:sz w:val="20"/>
          <w:szCs w:val="20"/>
          <w:color w:val="auto"/>
        </w:rPr>
      </w:pPr>
    </w:p>
    <w:p>
      <w:pPr>
        <w:jc w:val="both"/>
        <w:ind w:left="1" w:right="140" w:firstLine="297"/>
        <w:spacing w:after="0" w:line="274" w:lineRule="auto"/>
        <w:rPr>
          <w:sz w:val="20"/>
          <w:szCs w:val="20"/>
          <w:color w:val="auto"/>
        </w:rPr>
      </w:pPr>
      <w:r>
        <w:rPr>
          <w:rFonts w:ascii="Arial" w:cs="Arial" w:eastAsia="Arial" w:hAnsi="Arial"/>
          <w:sz w:val="16"/>
          <w:szCs w:val="16"/>
          <w:color w:val="auto"/>
        </w:rPr>
        <w:t>No fractional shares of common stock can be issued upon conversion of the preferred stock. In lieu of any fractional shares to which the holder would otherwise be entitled, the Corporation will pay cash equal to such fraction multiplied by the fair value of a share of common stock as determined in good faith by the Board. Whether or not fractional shares would be issuable upon such conversion will be determined on the basis of the total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1"/>
          </w:cols>
          <w:pgMar w:left="319" w:top="127" w:right="359" w:bottom="1440" w:gutter="0" w:footer="0" w:header="0"/>
        </w:sectPr>
      </w:pPr>
    </w:p>
    <w:bookmarkStart w:id="219" w:name="page220"/>
    <w:bookmarkEnd w:id="219"/>
    <w:p>
      <w:pPr>
        <w:jc w:val="center"/>
        <w:ind w:right="-40"/>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spacing w:after="0"/>
        <w:rPr>
          <w:sz w:val="20"/>
          <w:szCs w:val="20"/>
          <w:color w:val="auto"/>
        </w:rPr>
      </w:pPr>
      <w:r>
        <w:rPr>
          <w:rFonts w:ascii="Arial" w:cs="Arial" w:eastAsia="Arial" w:hAnsi="Arial"/>
          <w:sz w:val="15"/>
          <w:szCs w:val="15"/>
          <w:color w:val="auto"/>
        </w:rPr>
        <w:t>of shares of preferred stock the holder is at the time converting into common stock and the aggregate number of shares of common stock issuable upon conversion.</w:t>
      </w:r>
    </w:p>
    <w:p>
      <w:pPr>
        <w:spacing w:after="0" w:line="174"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preferred stock of the Corporation is subject to broad based weighted-average anti-dilution subject to customary carveouts.</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Redemption</w:t>
      </w:r>
    </w:p>
    <w:p>
      <w:pPr>
        <w:spacing w:after="0" w:line="162" w:lineRule="exact"/>
        <w:rPr>
          <w:sz w:val="20"/>
          <w:szCs w:val="20"/>
          <w:color w:val="auto"/>
        </w:rPr>
      </w:pPr>
    </w:p>
    <w:p>
      <w:pPr>
        <w:ind w:left="1" w:right="140" w:firstLine="297"/>
        <w:spacing w:after="0" w:line="274" w:lineRule="auto"/>
        <w:rPr>
          <w:sz w:val="20"/>
          <w:szCs w:val="20"/>
          <w:color w:val="auto"/>
        </w:rPr>
      </w:pPr>
      <w:r>
        <w:rPr>
          <w:rFonts w:ascii="Arial" w:cs="Arial" w:eastAsia="Arial" w:hAnsi="Arial"/>
          <w:sz w:val="16"/>
          <w:szCs w:val="16"/>
          <w:color w:val="auto"/>
        </w:rPr>
        <w:t>The preferred stock is not mandatorily redeemable. Any shares of preferred stock that are redeemed or otherwise acquired by the Corporation or any of its subsidiaries will be automatically and immediately cancelled and retired and will not be reissued, sold or transferred. Neither the Corporation nor any of its subsidiaries may exercise any voting or other rights granted to the holders of preferred stock following redemption.</w:t>
      </w:r>
    </w:p>
    <w:p>
      <w:pPr>
        <w:spacing w:after="0" w:line="108" w:lineRule="exact"/>
        <w:rPr>
          <w:sz w:val="20"/>
          <w:szCs w:val="20"/>
          <w:color w:val="auto"/>
        </w:rPr>
      </w:pPr>
    </w:p>
    <w:p>
      <w:pPr>
        <w:ind w:left="301" w:right="9320" w:hanging="301"/>
        <w:spacing w:after="0" w:line="519" w:lineRule="auto"/>
        <w:tabs>
          <w:tab w:leader="none" w:pos="251"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Employee benefit plans </w:t>
      </w:r>
      <w:r>
        <w:rPr>
          <w:rFonts w:ascii="Arial" w:cs="Arial" w:eastAsia="Arial" w:hAnsi="Arial"/>
          <w:sz w:val="14"/>
          <w:szCs w:val="14"/>
          <w:i w:val="1"/>
          <w:iCs w:val="1"/>
          <w:color w:val="auto"/>
        </w:rPr>
        <w:t>Employee savings plan</w:t>
      </w:r>
    </w:p>
    <w:p>
      <w:pPr>
        <w:ind w:left="1" w:firstLine="297"/>
        <w:spacing w:after="0" w:line="287" w:lineRule="auto"/>
        <w:rPr>
          <w:sz w:val="20"/>
          <w:szCs w:val="20"/>
          <w:color w:val="auto"/>
        </w:rPr>
      </w:pPr>
      <w:r>
        <w:rPr>
          <w:rFonts w:ascii="Arial" w:cs="Arial" w:eastAsia="Arial" w:hAnsi="Arial"/>
          <w:sz w:val="15"/>
          <w:szCs w:val="15"/>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of compensation that is contributed by the employee up to 4% of eligible annual compensation. The Corporation’s service contributions to the 401 (k) Plan amounted to approximately $1.2 million in 2020, and $1.3 million in 2019 and are included in salaries and benefits on the Consolidated Statements of Operations and Comprehensive Loss. The Corporation’s cash match is invested pursuant to the participant’s contribution direction. Employee contributions are immediately 100% vested.</w:t>
      </w:r>
    </w:p>
    <w:p>
      <w:pPr>
        <w:spacing w:after="0" w:line="106"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Stock-based compensation</w:t>
      </w:r>
    </w:p>
    <w:p>
      <w:pPr>
        <w:spacing w:after="0" w:line="162" w:lineRule="exact"/>
        <w:rPr>
          <w:sz w:val="20"/>
          <w:szCs w:val="20"/>
          <w:color w:val="auto"/>
        </w:rPr>
      </w:pPr>
    </w:p>
    <w:p>
      <w:pPr>
        <w:ind w:left="1" w:right="60" w:firstLine="297"/>
        <w:spacing w:after="0" w:line="264" w:lineRule="auto"/>
        <w:rPr>
          <w:sz w:val="20"/>
          <w:szCs w:val="20"/>
          <w:color w:val="auto"/>
        </w:rPr>
      </w:pPr>
      <w:r>
        <w:rPr>
          <w:rFonts w:ascii="Arial" w:cs="Arial" w:eastAsia="Arial" w:hAnsi="Arial"/>
          <w:sz w:val="16"/>
          <w:szCs w:val="16"/>
          <w:color w:val="auto"/>
        </w:rPr>
        <w:t>The Corporation’s 2014 Equity Incentive Plan (the Plan) grants options of common stock, par value $0.0001 per share, to employees, directors, officers and consultants of the Corporation. The maximum number of common shares reserved for issuance over the term of the Plan may not exceed 54,402,264 as of December 31, 2020, and 37,055,557 shares as of December 31, 2019. Shares that are expired, terminated, surrendered or canceled under the Plan without having been fully exercised will be available for future awards. As of December 31, 2020 and 2019, there were 36,557,759 and 28,189,475, respectively, outstanding options and common stock issued under the Plan, leaving 17,844,505 and 8,866,082 shares, respectively, remaining for future grants, assuming all stock options were granted. Shares may be issued from authorized but unissued Corporation stock.</w:t>
      </w:r>
    </w:p>
    <w:p>
      <w:pPr>
        <w:spacing w:after="0" w:line="121" w:lineRule="exact"/>
        <w:rPr>
          <w:sz w:val="20"/>
          <w:szCs w:val="20"/>
          <w:color w:val="auto"/>
        </w:rPr>
      </w:pPr>
    </w:p>
    <w:p>
      <w:pPr>
        <w:ind w:left="1" w:right="100" w:firstLine="297"/>
        <w:spacing w:after="0" w:line="264" w:lineRule="auto"/>
        <w:rPr>
          <w:sz w:val="20"/>
          <w:szCs w:val="20"/>
          <w:color w:val="auto"/>
        </w:rPr>
      </w:pPr>
      <w:r>
        <w:rPr>
          <w:rFonts w:ascii="Arial" w:cs="Arial" w:eastAsia="Arial" w:hAnsi="Arial"/>
          <w:sz w:val="16"/>
          <w:szCs w:val="16"/>
          <w:color w:val="auto"/>
        </w:rPr>
        <w:t>The Plan is administered by the Board. The options will be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the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five years. The stock options are presented on an as converted basis at the ratio of approximately 2.0681.</w:t>
      </w:r>
    </w:p>
    <w:p>
      <w:pPr>
        <w:spacing w:after="0" w:line="121" w:lineRule="exact"/>
        <w:rPr>
          <w:sz w:val="20"/>
          <w:szCs w:val="20"/>
          <w:color w:val="auto"/>
        </w:rPr>
      </w:pPr>
    </w:p>
    <w:p>
      <w:pPr>
        <w:ind w:left="1" w:right="80" w:firstLine="297"/>
        <w:spacing w:after="0" w:line="268" w:lineRule="auto"/>
        <w:rPr>
          <w:sz w:val="20"/>
          <w:szCs w:val="20"/>
          <w:color w:val="auto"/>
        </w:rPr>
      </w:pPr>
      <w:r>
        <w:rPr>
          <w:rFonts w:ascii="Arial" w:cs="Arial" w:eastAsia="Arial" w:hAnsi="Arial"/>
          <w:sz w:val="16"/>
          <w:szCs w:val="16"/>
          <w:color w:val="auto"/>
        </w:rPr>
        <w:t>The Corporation granted options to purchase 14,386,426 and 8,828,538 shares of common stock during the years ended December 31, 2020 and 2019, respectively. The Corporation recorded stock-based compensation expense for options granted of $7.1 million and $3.3 million during years ended December 31, 2020 and 2019, respectively, presented in salaries and benefits in the accompanying Consolidated Statements of Operations and Comprehensive Loss. During the years ended December 31, 2020 and 2019, the Corporation granted no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1"/>
          </w:cols>
          <w:pgMar w:left="319" w:top="127" w:right="37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Stock option valuation</w:t>
      </w:r>
    </w:p>
    <w:p>
      <w:pPr>
        <w:spacing w:after="0" w:line="162" w:lineRule="exact"/>
        <w:rPr>
          <w:sz w:val="20"/>
          <w:szCs w:val="20"/>
          <w:color w:val="auto"/>
        </w:rPr>
      </w:pPr>
    </w:p>
    <w:p>
      <w:pPr>
        <w:ind w:left="1" w:right="300" w:firstLine="297"/>
        <w:spacing w:after="0" w:line="290" w:lineRule="auto"/>
        <w:rPr>
          <w:sz w:val="20"/>
          <w:szCs w:val="20"/>
          <w:color w:val="auto"/>
        </w:rPr>
      </w:pPr>
      <w:r>
        <w:rPr>
          <w:rFonts w:ascii="Arial" w:cs="Arial" w:eastAsia="Arial" w:hAnsi="Arial"/>
          <w:sz w:val="16"/>
          <w:szCs w:val="16"/>
          <w:color w:val="auto"/>
        </w:rPr>
        <w:t>The assumptions that the Corporation used in the Black-Scholes option-pricing model to determine the grant-date fair value of stock options granted for the years ended December 31, 2020 and 2019, respectively, were as follows:</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78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1660" w:type="dxa"/>
            <w:vAlign w:val="bottom"/>
          </w:tcPr>
          <w:p>
            <w:pPr>
              <w:jc w:val="right"/>
              <w:ind w:right="62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680" w:type="dxa"/>
            <w:vAlign w:val="bottom"/>
          </w:tcPr>
          <w:p>
            <w:pPr>
              <w:jc w:val="right"/>
              <w:ind w:right="621"/>
              <w:spacing w:after="0"/>
              <w:rPr>
                <w:sz w:val="20"/>
                <w:szCs w:val="20"/>
                <w:color w:val="auto"/>
              </w:rPr>
            </w:pPr>
            <w:r>
              <w:rPr>
                <w:rFonts w:ascii="Arial" w:cs="Arial" w:eastAsia="Arial" w:hAnsi="Arial"/>
                <w:sz w:val="13"/>
                <w:szCs w:val="13"/>
                <w:b w:val="1"/>
                <w:bCs w:val="1"/>
                <w:color w:val="auto"/>
              </w:rPr>
              <w:t>2019</w:t>
            </w:r>
          </w:p>
        </w:tc>
      </w:tr>
      <w:tr>
        <w:trPr>
          <w:trHeight w:val="208"/>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Weighted-average risk-free interest rate</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1.95 %</w:t>
            </w:r>
          </w:p>
        </w:tc>
      </w:tr>
      <w:tr>
        <w:trPr>
          <w:trHeight w:val="210"/>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Expected term (in years)</w:t>
            </w:r>
          </w:p>
        </w:tc>
        <w:tc>
          <w:tcPr>
            <w:tcW w:w="166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6.29</w:t>
            </w:r>
          </w:p>
        </w:tc>
      </w:tr>
      <w:tr>
        <w:trPr>
          <w:trHeight w:val="21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28.37 %</w:t>
            </w:r>
          </w:p>
        </w:tc>
      </w:tr>
      <w:tr>
        <w:trPr>
          <w:trHeight w:val="209"/>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660" w:type="dxa"/>
            <w:vAlign w:val="bottom"/>
          </w:tcPr>
          <w:p>
            <w:pPr>
              <w:jc w:val="right"/>
              <w:ind w:right="121"/>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Arial" w:cs="Arial" w:eastAsia="Arial" w:hAnsi="Arial"/>
                <w:sz w:val="16"/>
                <w:szCs w:val="16"/>
                <w:color w:val="auto"/>
              </w:rPr>
              <w:t>0.00</w:t>
            </w:r>
          </w:p>
        </w:tc>
      </w:tr>
    </w:tbl>
    <w:p>
      <w:pPr>
        <w:spacing w:after="0" w:line="224" w:lineRule="exact"/>
        <w:rPr>
          <w:sz w:val="20"/>
          <w:szCs w:val="20"/>
          <w:color w:val="auto"/>
        </w:rPr>
      </w:pPr>
    </w:p>
    <w:p>
      <w:pPr>
        <w:ind w:left="301"/>
        <w:spacing w:after="0"/>
        <w:rPr>
          <w:sz w:val="20"/>
          <w:szCs w:val="20"/>
          <w:color w:val="auto"/>
        </w:rPr>
      </w:pPr>
      <w:r>
        <w:rPr>
          <w:rFonts w:ascii="Arial" w:cs="Arial" w:eastAsia="Arial" w:hAnsi="Arial"/>
          <w:sz w:val="16"/>
          <w:szCs w:val="16"/>
          <w:color w:val="auto"/>
        </w:rPr>
        <w:t>A summary of option activity under the Plan, after reverse capitalization, during the years ended December 31, 2020 and 2019, respectively, is as follows:</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Number of options</w:t>
            </w:r>
            <w:r>
              <w:rPr>
                <w:rFonts w:ascii="Arial" w:cs="Arial" w:eastAsia="Arial" w:hAnsi="Arial"/>
                <w:sz w:val="17"/>
                <w:szCs w:val="17"/>
                <w:b w:val="1"/>
                <w:bCs w:val="1"/>
                <w:color w:val="auto"/>
                <w:vertAlign w:val="superscript"/>
              </w:rPr>
              <w:t>(1)</w:t>
            </w:r>
          </w:p>
        </w:tc>
        <w:tc>
          <w:tcPr>
            <w:tcW w:w="1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Weighted-average exercise</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499"/>
              <w:spacing w:after="0" w:line="173" w:lineRule="exact"/>
              <w:rPr>
                <w:sz w:val="20"/>
                <w:szCs w:val="20"/>
                <w:color w:val="auto"/>
              </w:rPr>
            </w:pPr>
            <w:r>
              <w:rPr>
                <w:rFonts w:ascii="Arial" w:cs="Arial" w:eastAsia="Arial" w:hAnsi="Arial"/>
                <w:sz w:val="13"/>
                <w:szCs w:val="13"/>
                <w:b w:val="1"/>
                <w:bCs w:val="1"/>
                <w:color w:val="auto"/>
              </w:rPr>
              <w:t>price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27,046,177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2019</w:t>
            </w:r>
          </w:p>
        </w:tc>
        <w:tc>
          <w:tcPr>
            <w:tcW w:w="1560" w:type="dxa"/>
            <w:vAlign w:val="bottom"/>
          </w:tcPr>
          <w:p>
            <w:pPr>
              <w:jc w:val="right"/>
              <w:spacing w:after="0"/>
              <w:rPr>
                <w:sz w:val="20"/>
                <w:szCs w:val="20"/>
                <w:color w:val="auto"/>
              </w:rPr>
            </w:pPr>
            <w:r>
              <w:rPr>
                <w:rFonts w:ascii="Arial" w:cs="Arial" w:eastAsia="Arial" w:hAnsi="Arial"/>
                <w:sz w:val="16"/>
                <w:szCs w:val="16"/>
                <w:color w:val="auto"/>
              </w:rPr>
              <w:t>8,828,538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(6,768,713)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December 31, 2019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28,189,475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2020</w:t>
            </w:r>
          </w:p>
        </w:tc>
        <w:tc>
          <w:tcPr>
            <w:tcW w:w="1560" w:type="dxa"/>
            <w:vAlign w:val="bottom"/>
          </w:tcPr>
          <w:p>
            <w:pPr>
              <w:jc w:val="right"/>
              <w:spacing w:after="0"/>
              <w:rPr>
                <w:sz w:val="20"/>
                <w:szCs w:val="20"/>
                <w:color w:val="auto"/>
              </w:rPr>
            </w:pPr>
            <w:r>
              <w:rPr>
                <w:rFonts w:ascii="Arial" w:cs="Arial" w:eastAsia="Arial" w:hAnsi="Arial"/>
                <w:sz w:val="16"/>
                <w:szCs w:val="16"/>
                <w:color w:val="auto"/>
              </w:rPr>
              <w:t>14,386,426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(4,720,165)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Outstanding,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36,557,759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20" w:hanging="301"/>
        <w:spacing w:after="0" w:line="247" w:lineRule="auto"/>
        <w:tabs>
          <w:tab w:leader="none" w:pos="294"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31" w:lineRule="exact"/>
        <w:rPr>
          <w:sz w:val="20"/>
          <w:szCs w:val="20"/>
          <w:color w:val="auto"/>
        </w:rPr>
      </w:pPr>
    </w:p>
    <w:p>
      <w:pPr>
        <w:ind w:left="1" w:right="260" w:firstLine="297"/>
        <w:spacing w:after="0" w:line="290"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99" w:lineRule="exact"/>
        <w:rPr>
          <w:sz w:val="20"/>
          <w:szCs w:val="20"/>
          <w:color w:val="auto"/>
        </w:rPr>
      </w:pPr>
    </w:p>
    <w:p>
      <w:pPr>
        <w:ind w:left="1" w:right="240" w:firstLine="297"/>
        <w:spacing w:after="0" w:line="266" w:lineRule="auto"/>
        <w:rPr>
          <w:sz w:val="20"/>
          <w:szCs w:val="20"/>
          <w:color w:val="auto"/>
        </w:rPr>
      </w:pPr>
      <w:r>
        <w:rPr>
          <w:rFonts w:ascii="Arial" w:cs="Arial" w:eastAsia="Arial" w:hAnsi="Arial"/>
          <w:sz w:val="16"/>
          <w:szCs w:val="16"/>
          <w:color w:val="auto"/>
        </w:rPr>
        <w:t>In February 2020, the Corporation granted 3,669,608 of non-qualified stock options which were determined to have implied market conditions attached to their vesting schedule. As such, these options are valued using a Monte Carlo valuation model to estimate each share’s fair value as of the grant date. The Monte Carlo valuation model uses multiple simulations to evaluate the probability of achieving certain stock prices, the outputs of which are utilized to determine the grant date fair value of these options. Based on the Monte Carlo simulation, the grant date fair value of these options was determined to be $1.18 and the Corporation recognized approximately $1.8 million in related stock compensation expense for the year ended December 31, 2020.</w:t>
      </w:r>
    </w:p>
    <w:p>
      <w:pPr>
        <w:spacing w:after="0" w:line="118" w:lineRule="exact"/>
        <w:rPr>
          <w:sz w:val="20"/>
          <w:szCs w:val="20"/>
          <w:color w:val="auto"/>
        </w:rPr>
      </w:pPr>
    </w:p>
    <w:p>
      <w:pPr>
        <w:ind w:left="1" w:right="20" w:firstLine="297"/>
        <w:spacing w:after="0" w:line="330" w:lineRule="auto"/>
        <w:rPr>
          <w:sz w:val="20"/>
          <w:szCs w:val="20"/>
          <w:color w:val="auto"/>
        </w:rPr>
      </w:pPr>
      <w:r>
        <w:rPr>
          <w:rFonts w:ascii="Arial" w:cs="Arial" w:eastAsia="Arial" w:hAnsi="Arial"/>
          <w:sz w:val="14"/>
          <w:szCs w:val="14"/>
          <w:color w:val="auto"/>
        </w:rPr>
        <w:t>The weighted-average grant date fair value of stock options granted during the years ended December 31, 2020 and 2019 was $1.04 and $0.62 per share, respectively. As of December 31, 2020 and 2019, there was approximately $14.9 million and $9.0 million, respectively, of unrecognized stock-based compensation expense related to unvested stock options. The unrecognized stock-based compensation expense is estimated to be recognized over a period of 2.5 years as of December 31, 2020.</w:t>
      </w:r>
    </w:p>
    <w:p>
      <w:pPr>
        <w:spacing w:after="0" w:line="78" w:lineRule="exact"/>
        <w:rPr>
          <w:sz w:val="20"/>
          <w:szCs w:val="20"/>
          <w:color w:val="auto"/>
        </w:rPr>
      </w:pPr>
    </w:p>
    <w:p>
      <w:pPr>
        <w:ind w:left="301"/>
        <w:spacing w:after="0"/>
        <w:rPr>
          <w:sz w:val="20"/>
          <w:szCs w:val="20"/>
          <w:color w:val="auto"/>
        </w:rPr>
      </w:pPr>
      <w:r>
        <w:rPr>
          <w:rFonts w:ascii="Arial" w:cs="Arial" w:eastAsia="Arial" w:hAnsi="Arial"/>
          <w:sz w:val="15"/>
          <w:szCs w:val="15"/>
          <w:color w:val="auto"/>
        </w:rPr>
        <w:t>The total fair value of options vested during each of the years ended December 31, 2020 and 2019, was approximately $5.5 million and $3.5 million, respectively.</w:t>
      </w:r>
    </w:p>
    <w:p>
      <w:pPr>
        <w:spacing w:after="0" w:line="174" w:lineRule="exact"/>
        <w:rPr>
          <w:sz w:val="20"/>
          <w:szCs w:val="20"/>
          <w:color w:val="auto"/>
        </w:rPr>
      </w:pPr>
    </w:p>
    <w:p>
      <w:pPr>
        <w:ind w:left="1" w:right="580" w:firstLine="297"/>
        <w:spacing w:after="0" w:line="290" w:lineRule="auto"/>
        <w:rPr>
          <w:sz w:val="20"/>
          <w:szCs w:val="20"/>
          <w:color w:val="auto"/>
        </w:rPr>
      </w:pPr>
      <w:r>
        <w:rPr>
          <w:rFonts w:ascii="Arial" w:cs="Arial" w:eastAsia="Arial" w:hAnsi="Arial"/>
          <w:sz w:val="16"/>
          <w:szCs w:val="16"/>
          <w:color w:val="auto"/>
        </w:rPr>
        <w:t>As of December 31, 2020, outstanding stock options, substantially all of which are expected to vest, had an aggregate intrinsic value of $445.3 million, and a weighted-average remaining contractual term of 7.75 years.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December 31, 2020, there were 19,333,153 options exercisable under the Plan, with an aggregate intrinsic value of $246.2 million, a weighted-average exercise price of $1.62, and a weighted-average remaining contractual term of 6.85 years. The total intrinsic value of stock options exercised during the years ended December 31, 2020 and 2019 was $5.8 million and $1.3 million, respectively. Cash received from stock option exercises during the years ended December 31, 2020 and 2019 totaled $2.1 million and $0.7 million, respectively.</w:t>
      </w:r>
    </w:p>
    <w:p>
      <w:pPr>
        <w:spacing w:after="0" w:line="118" w:lineRule="exact"/>
        <w:rPr>
          <w:sz w:val="20"/>
          <w:szCs w:val="20"/>
          <w:color w:val="auto"/>
        </w:rPr>
      </w:pPr>
    </w:p>
    <w:p>
      <w:pPr>
        <w:ind w:right="180" w:firstLine="297"/>
        <w:spacing w:after="0" w:line="268" w:lineRule="auto"/>
        <w:rPr>
          <w:sz w:val="20"/>
          <w:szCs w:val="20"/>
          <w:color w:val="auto"/>
        </w:rPr>
      </w:pPr>
      <w:r>
        <w:rPr>
          <w:rFonts w:ascii="Arial" w:cs="Arial" w:eastAsia="Arial" w:hAnsi="Arial"/>
          <w:sz w:val="16"/>
          <w:szCs w:val="16"/>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Equity warrants</w:t>
      </w:r>
    </w:p>
    <w:p>
      <w:pPr>
        <w:spacing w:after="0" w:line="162" w:lineRule="exact"/>
        <w:rPr>
          <w:sz w:val="20"/>
          <w:szCs w:val="20"/>
          <w:color w:val="auto"/>
        </w:rPr>
      </w:pPr>
    </w:p>
    <w:p>
      <w:pPr>
        <w:ind w:right="20" w:firstLine="297"/>
        <w:spacing w:after="0" w:line="285" w:lineRule="auto"/>
        <w:rPr>
          <w:sz w:val="20"/>
          <w:szCs w:val="20"/>
          <w:color w:val="auto"/>
        </w:rPr>
      </w:pPr>
      <w:r>
        <w:rPr>
          <w:rFonts w:ascii="Arial" w:cs="Arial" w:eastAsia="Arial" w:hAnsi="Arial"/>
          <w:sz w:val="15"/>
          <w:szCs w:val="15"/>
          <w:color w:val="auto"/>
        </w:rPr>
        <w:t>The Corporation entered into two separate scopes of work with a service provider to provide services to the Corporation. As part of the payment for the services, the Corporation issued warrants in November 2016 and December 2017. The warrants were issued to purchase 139,629 shares of common stock at an exercise price of $2.61 per share, and 122,052 shares of common stock at an exercise price of $3.45 per share. The warrants are exercisable comprising the vesting portion at any time up to and including the earlier of (a) the consummation of an Initial Public Offering (IPO); (b) the consummation of a transaction or series of related transactions that is deemed to constitute a liquidation, dissolution or winding up of the Corporation including a change in control or (c) on the 10 year anniversary of the date of issuance (the expiration date). The warrants are being recorded as equity awards, and compensation expense was recognized over the vesting period.</w:t>
      </w:r>
    </w:p>
    <w:p>
      <w:pPr>
        <w:spacing w:after="0" w:line="106"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As of December 31, 2020, there were 261,681 warrants exercisable under the Plan, substantially all of which are expected to vest, with an aggregate intrinsic value of $4.6 million, a weighted-average exercise price of $3.00 and a weighted-average remaining contractual term of 6.34 years. The total fair value of warrants vested during each of the years ended December 31, 2020 and 2019, was approximately $7.0 million and $0.9 million, respectively. As a result of the Merger Agreement, the warrants automatically convert into common stock based on the merger event with SCH. See Note 26 (Subsequent events) for additional information related to the Merger Agreement.</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summary of warrant activity during the years ended December 31, 2020 and 2019, respectively,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Number of warrants</w:t>
            </w:r>
          </w:p>
        </w:tc>
        <w:tc>
          <w:tcPr>
            <w:tcW w:w="1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Weighted-average exercise</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2019</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Outstanding, December 31, 2019</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2020</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Outstanding, December 31,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Income taxes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provision for income taxes consisted of the following for the years ended December 31, 2020 and 2019,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200" w:type="dxa"/>
            <w:vAlign w:val="bottom"/>
          </w:tcPr>
          <w:p>
            <w:pPr>
              <w:jc w:val="right"/>
              <w:ind w:right="58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2"/>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provision</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expense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8"/>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60" w:firstLine="297"/>
        <w:spacing w:after="0" w:line="290" w:lineRule="auto"/>
        <w:rPr>
          <w:sz w:val="20"/>
          <w:szCs w:val="20"/>
          <w:color w:val="auto"/>
        </w:rPr>
      </w:pPr>
      <w:r>
        <w:rPr>
          <w:rFonts w:ascii="Arial" w:cs="Arial" w:eastAsia="Arial" w:hAnsi="Arial"/>
          <w:sz w:val="16"/>
          <w:szCs w:val="16"/>
          <w:color w:val="auto"/>
        </w:rPr>
        <w:t>The provision for income taxes was different from the amount computed using the federal statutory rate of 21% for the years ended December 31, 2020 and 2019, respectively, due to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200" w:type="dxa"/>
            <w:vAlign w:val="bottom"/>
          </w:tcPr>
          <w:p>
            <w:pPr>
              <w:jc w:val="right"/>
              <w:ind w:right="58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9"/>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at federal statutory rate (21%)</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(76,385)</w:t>
            </w:r>
          </w:p>
        </w:tc>
      </w:tr>
      <w:tr>
        <w:trPr>
          <w:trHeight w:val="210"/>
        </w:trPr>
        <w:tc>
          <w:tcPr>
            <w:tcW w:w="8020" w:type="dxa"/>
            <w:vAlign w:val="bottom"/>
            <w:gridSpan w:val="2"/>
          </w:tcPr>
          <w:p>
            <w:pPr>
              <w:ind w:left="220"/>
              <w:spacing w:after="0"/>
              <w:rPr>
                <w:sz w:val="20"/>
                <w:szCs w:val="20"/>
                <w:color w:val="auto"/>
              </w:rPr>
            </w:pPr>
            <w:r>
              <w:rPr>
                <w:rFonts w:ascii="Arial" w:cs="Arial" w:eastAsia="Arial" w:hAnsi="Arial"/>
                <w:sz w:val="16"/>
                <w:szCs w:val="16"/>
                <w:color w:val="auto"/>
              </w:rPr>
              <w:t>Interest on convertible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3,505</w:t>
            </w: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on convertible securities discount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10"/>
        </w:trPr>
        <w:tc>
          <w:tcPr>
            <w:tcW w:w="8020" w:type="dxa"/>
            <w:vAlign w:val="bottom"/>
            <w:gridSpan w:val="2"/>
          </w:tcPr>
          <w:p>
            <w:pPr>
              <w:ind w:left="220"/>
              <w:spacing w:after="0"/>
              <w:rPr>
                <w:sz w:val="20"/>
                <w:szCs w:val="20"/>
                <w:color w:val="auto"/>
              </w:rPr>
            </w:pPr>
            <w:r>
              <w:rPr>
                <w:rFonts w:ascii="Arial" w:cs="Arial" w:eastAsia="Arial" w:hAnsi="Arial"/>
                <w:sz w:val="16"/>
                <w:szCs w:val="16"/>
                <w:color w:val="auto"/>
              </w:rPr>
              <w:t>Debt issuance cost related to convertible securities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Derivative liability related to convertible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29,098</w:t>
            </w:r>
          </w:p>
        </w:tc>
      </w:tr>
      <w:tr>
        <w:trPr>
          <w:trHeight w:val="210"/>
        </w:trPr>
        <w:tc>
          <w:tcPr>
            <w:tcW w:w="8020" w:type="dxa"/>
            <w:vAlign w:val="bottom"/>
            <w:gridSpan w:val="2"/>
          </w:tcPr>
          <w:p>
            <w:pPr>
              <w:ind w:left="220"/>
              <w:spacing w:after="0"/>
              <w:rPr>
                <w:sz w:val="20"/>
                <w:szCs w:val="20"/>
                <w:color w:val="auto"/>
              </w:rPr>
            </w:pPr>
            <w:r>
              <w:rPr>
                <w:rFonts w:ascii="Arial" w:cs="Arial" w:eastAsia="Arial" w:hAnsi="Arial"/>
                <w:sz w:val="16"/>
                <w:szCs w:val="16"/>
                <w:color w:val="auto"/>
              </w:rPr>
              <w:t>Warrant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Meals and entertainment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0"/>
        </w:trPr>
        <w:tc>
          <w:tcPr>
            <w:tcW w:w="8020" w:type="dxa"/>
            <w:vAlign w:val="bottom"/>
            <w:gridSpan w:val="2"/>
          </w:tcPr>
          <w:p>
            <w:pPr>
              <w:ind w:left="220"/>
              <w:spacing w:after="0"/>
              <w:rPr>
                <w:sz w:val="20"/>
                <w:szCs w:val="20"/>
                <w:color w:val="auto"/>
              </w:rPr>
            </w:pPr>
            <w:r>
              <w:rPr>
                <w:rFonts w:ascii="Arial" w:cs="Arial" w:eastAsia="Arial" w:hAnsi="Arial"/>
                <w:sz w:val="16"/>
                <w:szCs w:val="16"/>
                <w:color w:val="auto"/>
              </w:rPr>
              <w:t>Health insurance industry fee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39,643</w:t>
            </w:r>
          </w:p>
        </w:tc>
      </w:tr>
      <w:tr>
        <w:trPr>
          <w:trHeight w:val="228"/>
        </w:trPr>
        <w:tc>
          <w:tcPr>
            <w:tcW w:w="8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780" w:firstLine="297"/>
        <w:spacing w:after="0" w:line="290" w:lineRule="auto"/>
        <w:rPr>
          <w:sz w:val="20"/>
          <w:szCs w:val="20"/>
          <w:color w:val="auto"/>
        </w:rPr>
      </w:pPr>
      <w:r>
        <w:rPr>
          <w:rFonts w:ascii="Arial" w:cs="Arial" w:eastAsia="Arial" w:hAnsi="Arial"/>
          <w:sz w:val="16"/>
          <w:szCs w:val="16"/>
          <w:color w:val="auto"/>
        </w:rPr>
        <w:t>The Corporation issued convertible securities for which the interest expense recorded in 2020 and 2019 of approximately $31.1 million and $16.7 million, respectively, is not deductible for tax purposes.</w:t>
      </w:r>
    </w:p>
    <w:p>
      <w:pPr>
        <w:spacing w:after="0" w:line="99"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Principal components of net deferred tax balances at December 31, 2020 and 2019, respectively,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200" w:type="dxa"/>
            <w:vAlign w:val="bottom"/>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8"/>
              <w:spacing w:after="0"/>
              <w:rPr>
                <w:sz w:val="20"/>
                <w:szCs w:val="20"/>
                <w:color w:val="auto"/>
              </w:rPr>
            </w:pPr>
            <w:r>
              <w:rPr>
                <w:rFonts w:ascii="Arial" w:cs="Arial" w:eastAsia="Arial" w:hAnsi="Arial"/>
                <w:sz w:val="13"/>
                <w:szCs w:val="13"/>
                <w:b w:val="1"/>
                <w:bCs w:val="1"/>
                <w:color w:val="auto"/>
              </w:rPr>
              <w:t>2019</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Net operating loss carryforward (NOL)</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152,423</w:t>
            </w:r>
          </w:p>
        </w:tc>
        <w:tc>
          <w:tcPr>
            <w:tcW w:w="100" w:type="dxa"/>
            <w:vAlign w:val="bottom"/>
          </w:tcPr>
          <w:p>
            <w:pPr>
              <w:spacing w:after="0"/>
              <w:rPr>
                <w:sz w:val="18"/>
                <w:szCs w:val="18"/>
                <w:color w:val="auto"/>
              </w:rPr>
            </w:pPr>
          </w:p>
        </w:tc>
        <w:tc>
          <w:tcPr>
            <w:tcW w:w="500" w:type="dxa"/>
            <w:vAlign w:val="bottom"/>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133,564</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Unpaid claim reserve discounting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Start-up costs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Charitable contributions carryforward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Bonus accrual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Stock based compensation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Convertible securities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Tax credits (AMT)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Prepaid and 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Capital loss carryforward</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Operating lease liability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Premium deficiency reserve</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Acquisition costs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Interest expense carryforward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1,675</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Bad debt reserves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Total deferred income tax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164,908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147,010</w:t>
            </w:r>
          </w:p>
        </w:tc>
      </w:tr>
      <w:tr>
        <w:trPr>
          <w:trHeight w:val="211"/>
        </w:trPr>
        <w:tc>
          <w:tcPr>
            <w:tcW w:w="80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(144,619)</w:t>
            </w:r>
          </w:p>
        </w:tc>
      </w:tr>
      <w:tr>
        <w:trPr>
          <w:trHeight w:val="202"/>
        </w:trPr>
        <w:tc>
          <w:tcPr>
            <w:tcW w:w="80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deferred income tax assets, net of valuation allowance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w:t>
            </w:r>
          </w:p>
        </w:tc>
      </w:tr>
      <w:tr>
        <w:trPr>
          <w:trHeight w:val="19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8020" w:type="dxa"/>
            <w:vAlign w:val="bottom"/>
            <w:gridSpan w:val="2"/>
          </w:tcPr>
          <w:p>
            <w:pPr>
              <w:ind w:left="600"/>
              <w:spacing w:after="0"/>
              <w:rPr>
                <w:sz w:val="20"/>
                <w:szCs w:val="20"/>
                <w:color w:val="auto"/>
              </w:rPr>
            </w:pPr>
            <w:r>
              <w:rPr>
                <w:rFonts w:ascii="Arial" w:cs="Arial" w:eastAsia="Arial" w:hAnsi="Arial"/>
                <w:sz w:val="16"/>
                <w:szCs w:val="16"/>
                <w:color w:val="auto"/>
              </w:rPr>
              <w:t>TCJA Transition Adj. IRC 846</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1"/>
        </w:trPr>
        <w:tc>
          <w:tcPr>
            <w:tcW w:w="80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Market discount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2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Operating lease right of use asset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deferred income tax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w:t>
            </w:r>
          </w:p>
        </w:tc>
      </w:tr>
      <w:tr>
        <w:trPr>
          <w:trHeight w:val="202"/>
        </w:trPr>
        <w:tc>
          <w:tcPr>
            <w:tcW w:w="8020" w:type="dxa"/>
            <w:vAlign w:val="bottom"/>
            <w:gridSpan w:val="2"/>
          </w:tcPr>
          <w:p>
            <w:pPr>
              <w:ind w:left="320"/>
              <w:spacing w:after="0"/>
              <w:rPr>
                <w:sz w:val="20"/>
                <w:szCs w:val="20"/>
                <w:color w:val="auto"/>
              </w:rPr>
            </w:pPr>
            <w:r>
              <w:rPr>
                <w:rFonts w:ascii="Arial" w:cs="Arial" w:eastAsia="Arial" w:hAnsi="Arial"/>
                <w:sz w:val="16"/>
                <w:szCs w:val="16"/>
                <w:color w:val="auto"/>
              </w:rPr>
              <w:t>Net deferred income tax asset</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Operating loss and tax credit carryforwards and protective tax deposits</w:t>
      </w:r>
    </w:p>
    <w:p>
      <w:pPr>
        <w:spacing w:after="0" w:line="162"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The Corporation has unused operating loss carryforwards available of approximately $725.8 million and $636.0 million as of December 31, 2020 and 2019,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Corporation’s ability to use the loss carryforwards and other deferred tax assets, a valuation allowance of approximately $163.2 million and $144.6 million was established in 2020 and 2019, respectively.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Corporation does not have deposits admitted under Section 6603 of the Internal Revenue Code.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Impact of tax planning strategies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Corporation does not have any tax planning strategies that include the use of reinsurance and there are no deferred tax liabilities not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380" w:firstLine="297"/>
        <w:spacing w:after="0" w:line="268" w:lineRule="auto"/>
        <w:rPr>
          <w:sz w:val="20"/>
          <w:szCs w:val="20"/>
          <w:color w:val="auto"/>
        </w:rPr>
      </w:pPr>
      <w:r>
        <w:rPr>
          <w:rFonts w:ascii="Arial" w:cs="Arial" w:eastAsia="Arial" w:hAnsi="Arial"/>
          <w:sz w:val="16"/>
          <w:szCs w:val="16"/>
          <w:color w:val="auto"/>
        </w:rPr>
        <w:t>The Corporation files income tax returns in the United States. The U.S. Internal Revenue Service (IRS) is not currently conducting any income tax audits. The Corporation’s federal income tax returns filed related to tax years subsequent to 2016 remain subject to examination by the IRS. The Corporation is not aware of any material adjustments that may be proposed as a result of any ongoing or future examinations and does not have material uncertain tax positions reflected in the Consolidated Balance Sheets.</w:t>
      </w:r>
    </w:p>
    <w:p>
      <w:pPr>
        <w:spacing w:after="0" w:line="118" w:lineRule="exact"/>
        <w:rPr>
          <w:sz w:val="20"/>
          <w:szCs w:val="20"/>
          <w:color w:val="auto"/>
        </w:rPr>
      </w:pPr>
    </w:p>
    <w:p>
      <w:pPr>
        <w:ind w:left="1" w:right="80" w:firstLine="297"/>
        <w:spacing w:after="0" w:line="287" w:lineRule="auto"/>
        <w:rPr>
          <w:sz w:val="20"/>
          <w:szCs w:val="20"/>
          <w:color w:val="auto"/>
        </w:rPr>
      </w:pPr>
      <w:r>
        <w:rPr>
          <w:rFonts w:ascii="Arial" w:cs="Arial" w:eastAsia="Arial" w:hAnsi="Arial"/>
          <w:sz w:val="15"/>
          <w:szCs w:val="15"/>
          <w:color w:val="auto"/>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As of December 31, 2020, the Corporation has determined that neither the CARES Act and Consolidated Appropriations Act nor changes to income tax laws or regulations in other jurisdictions had a significant impact on our effective tax rate.</w:t>
      </w:r>
    </w:p>
    <w:p>
      <w:pPr>
        <w:spacing w:after="0" w:line="102" w:lineRule="exact"/>
        <w:rPr>
          <w:sz w:val="20"/>
          <w:szCs w:val="20"/>
          <w:color w:val="auto"/>
        </w:rPr>
      </w:pPr>
    </w:p>
    <w:p>
      <w:pPr>
        <w:jc w:val="both"/>
        <w:ind w:left="301" w:right="9740" w:hanging="301"/>
        <w:spacing w:after="0" w:line="555" w:lineRule="auto"/>
        <w:tabs>
          <w:tab w:leader="none" w:pos="251"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Net loss per share </w:t>
      </w:r>
      <w:r>
        <w:rPr>
          <w:rFonts w:ascii="Arial" w:cs="Arial" w:eastAsia="Arial" w:hAnsi="Arial"/>
          <w:sz w:val="13"/>
          <w:szCs w:val="13"/>
          <w:b w:val="1"/>
          <w:bCs w:val="1"/>
          <w:i w:val="1"/>
          <w:iCs w:val="1"/>
          <w:color w:val="auto"/>
        </w:rPr>
        <w:t>Net loss per share</w:t>
      </w:r>
    </w:p>
    <w:p>
      <w:pPr>
        <w:ind w:left="301"/>
        <w:spacing w:after="0"/>
        <w:rPr>
          <w:rFonts w:ascii="Arial" w:cs="Arial" w:eastAsia="Arial" w:hAnsi="Arial"/>
          <w:sz w:val="13"/>
          <w:szCs w:val="13"/>
          <w:b w:val="1"/>
          <w:bCs w:val="1"/>
          <w:color w:val="auto"/>
        </w:rPr>
      </w:pPr>
      <w:r>
        <w:rPr>
          <w:rFonts w:ascii="Arial" w:cs="Arial" w:eastAsia="Arial" w:hAnsi="Arial"/>
          <w:sz w:val="16"/>
          <w:szCs w:val="16"/>
          <w:color w:val="auto"/>
        </w:rPr>
        <w:t>Basic and diluted net loss per share attributable to common stockholders, after reverse capitalization, was calculated as follows</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3"/>
                <w:szCs w:val="13"/>
                <w:b w:val="1"/>
                <w:bCs w:val="1"/>
                <w:color w:val="auto"/>
              </w:rPr>
              <w:t>Year ended December 31,</w:t>
            </w:r>
          </w:p>
        </w:tc>
      </w:tr>
      <w:tr>
        <w:trPr>
          <w:trHeight w:val="169"/>
        </w:trPr>
        <w:tc>
          <w:tcPr>
            <w:tcW w:w="8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(363,737)</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(363,737)</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outstanding—basic and diluted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88,691,582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87,829,419</w:t>
            </w: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20" w:hanging="301"/>
        <w:spacing w:after="0" w:line="247" w:lineRule="auto"/>
        <w:tabs>
          <w:tab w:leader="none" w:pos="294"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31" w:lineRule="exact"/>
        <w:rPr>
          <w:sz w:val="20"/>
          <w:szCs w:val="20"/>
          <w:color w:val="auto"/>
        </w:rPr>
      </w:pPr>
    </w:p>
    <w:p>
      <w:pPr>
        <w:ind w:left="1" w:right="60" w:firstLine="297"/>
        <w:spacing w:after="0" w:line="291" w:lineRule="auto"/>
        <w:rPr>
          <w:sz w:val="20"/>
          <w:szCs w:val="20"/>
          <w:color w:val="auto"/>
        </w:rPr>
      </w:pPr>
      <w:r>
        <w:rPr>
          <w:rFonts w:ascii="Arial" w:cs="Arial" w:eastAsia="Arial" w:hAnsi="Arial"/>
          <w:sz w:val="15"/>
          <w:szCs w:val="15"/>
          <w:color w:val="auto"/>
        </w:rPr>
        <w:t>The Corporation’s potentially dilutive securities, which include stock options, preferred stock and warrants to purchase shares of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Corporation excluded the following potential common shares, presented based on amounts outstanding at each period end after reverse capitalization, from the computation of diluted net loss per share attributable to common stockholders for the periods indicated because including them would have had an anti-dilutive effect</w:t>
      </w:r>
      <w:r>
        <w:rPr>
          <w:rFonts w:ascii="Arial" w:cs="Arial" w:eastAsia="Arial" w:hAnsi="Arial"/>
          <w:sz w:val="19"/>
          <w:szCs w:val="19"/>
          <w:color w:val="auto"/>
          <w:vertAlign w:val="superscript"/>
        </w:rPr>
        <w:t>(1)</w:t>
      </w:r>
      <w:r>
        <w:rPr>
          <w:rFonts w:ascii="Arial" w:cs="Arial" w:eastAsia="Arial" w:hAnsi="Arial"/>
          <w:sz w:val="15"/>
          <w:szCs w:val="15"/>
          <w:color w:val="auto"/>
        </w:rPr>
        <w:t>:</w:t>
      </w:r>
    </w:p>
    <w:p>
      <w:pPr>
        <w:spacing w:after="0" w:line="65"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3"/>
                <w:szCs w:val="13"/>
                <w:b w:val="1"/>
                <w:bCs w:val="1"/>
                <w:color w:val="auto"/>
              </w:rPr>
              <w:t>Year ended December 31,</w:t>
            </w:r>
          </w:p>
        </w:tc>
      </w:tr>
      <w:tr>
        <w:trPr>
          <w:trHeight w:val="169"/>
        </w:trPr>
        <w:tc>
          <w:tcPr>
            <w:tcW w:w="802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36,557,759</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24,344,848</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Convertible preferred stock (as converted to common stock)</w:t>
            </w:r>
          </w:p>
        </w:tc>
        <w:tc>
          <w:tcPr>
            <w:tcW w:w="1560" w:type="dxa"/>
            <w:vAlign w:val="bottom"/>
          </w:tcPr>
          <w:p>
            <w:pPr>
              <w:jc w:val="right"/>
              <w:spacing w:after="0"/>
              <w:rPr>
                <w:sz w:val="20"/>
                <w:szCs w:val="20"/>
                <w:color w:val="auto"/>
              </w:rPr>
            </w:pPr>
            <w:r>
              <w:rPr>
                <w:rFonts w:ascii="Arial" w:cs="Arial" w:eastAsia="Arial" w:hAnsi="Arial"/>
                <w:sz w:val="16"/>
                <w:szCs w:val="16"/>
                <w:color w:val="auto"/>
              </w:rPr>
              <w:t>139,444,346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139,444,346</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to purchase common stock (as converted to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7,502,902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4,884,132</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Warrants to purchase convertible preferred stock (as converted to common stock)</w:t>
            </w:r>
          </w:p>
        </w:tc>
        <w:tc>
          <w:tcPr>
            <w:tcW w:w="1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2,618,770</w:t>
            </w:r>
          </w:p>
        </w:tc>
      </w:tr>
      <w:tr>
        <w:trPr>
          <w:trHeight w:val="228"/>
        </w:trPr>
        <w:tc>
          <w:tcPr>
            <w:tcW w:w="80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183,505,007</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171,292,096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20" w:hanging="301"/>
        <w:spacing w:after="0" w:line="247" w:lineRule="auto"/>
        <w:tabs>
          <w:tab w:leader="none" w:pos="294"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Commitments and contingencies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Litigation</w:t>
      </w:r>
    </w:p>
    <w:p>
      <w:pPr>
        <w:spacing w:after="0" w:line="162" w:lineRule="exact"/>
        <w:rPr>
          <w:sz w:val="20"/>
          <w:szCs w:val="20"/>
          <w:color w:val="auto"/>
        </w:rPr>
      </w:pPr>
    </w:p>
    <w:p>
      <w:pPr>
        <w:jc w:val="both"/>
        <w:ind w:firstLine="297"/>
        <w:spacing w:after="0" w:line="274" w:lineRule="auto"/>
        <w:rPr>
          <w:sz w:val="20"/>
          <w:szCs w:val="20"/>
          <w:color w:val="auto"/>
        </w:rPr>
      </w:pPr>
      <w:r>
        <w:rPr>
          <w:rFonts w:ascii="Arial" w:cs="Arial" w:eastAsia="Arial" w:hAnsi="Arial"/>
          <w:sz w:val="16"/>
          <w:szCs w:val="16"/>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2020 and 2019, respectively, there were no material known contingent liabilities arising outside the normal course of business.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Guaranty assessments</w:t>
      </w:r>
    </w:p>
    <w:p>
      <w:pPr>
        <w:spacing w:after="0" w:line="162" w:lineRule="exact"/>
        <w:rPr>
          <w:sz w:val="20"/>
          <w:szCs w:val="20"/>
          <w:color w:val="auto"/>
        </w:rPr>
      </w:pPr>
    </w:p>
    <w:p>
      <w:pPr>
        <w:ind w:right="180" w:firstLine="297"/>
        <w:spacing w:after="0" w:line="325" w:lineRule="auto"/>
        <w:rPr>
          <w:sz w:val="20"/>
          <w:szCs w:val="20"/>
          <w:color w:val="auto"/>
        </w:rPr>
      </w:pPr>
      <w:r>
        <w:rPr>
          <w:rFonts w:ascii="Arial" w:cs="Arial" w:eastAsia="Arial" w:hAnsi="Arial"/>
          <w:sz w:val="15"/>
          <w:szCs w:val="15"/>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Dividend restrictions</w:t>
      </w:r>
    </w:p>
    <w:p>
      <w:pPr>
        <w:spacing w:after="0" w:line="166" w:lineRule="exact"/>
        <w:rPr>
          <w:sz w:val="20"/>
          <w:szCs w:val="20"/>
          <w:color w:val="auto"/>
        </w:rPr>
      </w:pPr>
    </w:p>
    <w:p>
      <w:pPr>
        <w:ind w:right="20" w:firstLine="297"/>
        <w:spacing w:after="0" w:line="285" w:lineRule="auto"/>
        <w:rPr>
          <w:sz w:val="20"/>
          <w:szCs w:val="20"/>
          <w:color w:val="auto"/>
        </w:rPr>
      </w:pPr>
      <w:r>
        <w:rPr>
          <w:rFonts w:ascii="Arial" w:cs="Arial" w:eastAsia="Arial" w:hAnsi="Arial"/>
          <w:sz w:val="15"/>
          <w:szCs w:val="15"/>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Although such regulations do not specifically restrict the regulated insurance subsidiaries from paying dividends, they require the regulated insurance subsidiaries to be financially sound as determined by the New Jersey Department of Banking and Insurance (DOBI). As of December 31, 2020 and 2019, neither of the regulated insurance subsidiaries paid any dividends and may not do so until they meet those requirements and are granted permission to do so by DOBI.</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Statutory equity and income</w:t>
      </w:r>
    </w:p>
    <w:p>
      <w:pPr>
        <w:spacing w:after="0" w:line="166" w:lineRule="exact"/>
        <w:rPr>
          <w:sz w:val="20"/>
          <w:szCs w:val="20"/>
          <w:color w:val="auto"/>
        </w:rPr>
      </w:pPr>
    </w:p>
    <w:p>
      <w:pPr>
        <w:jc w:val="both"/>
        <w:ind w:right="60" w:firstLine="297"/>
        <w:spacing w:after="0" w:line="292" w:lineRule="auto"/>
        <w:rPr>
          <w:sz w:val="20"/>
          <w:szCs w:val="20"/>
          <w:color w:val="auto"/>
        </w:rPr>
      </w:pPr>
      <w:r>
        <w:rPr>
          <w:rFonts w:ascii="Arial" w:cs="Arial" w:eastAsia="Arial" w:hAnsi="Arial"/>
          <w:sz w:val="15"/>
          <w:szCs w:val="15"/>
          <w:color w:val="auto"/>
        </w:rPr>
        <w:t>Applicable insurance department regulations require that the Corporation’s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 (b) certain statutory reserves are established by a direct charge to surplus, and (c) certain charges are reported as charges to capital and surplus, rather than as a component of net income.</w:t>
      </w:r>
    </w:p>
    <w:p>
      <w:pPr>
        <w:spacing w:after="0" w:line="100"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Aggregate statutory capital and surplus as per the statutory financial statements of the Corporation’s regulated insurance subsidiaries for the years ended December 31, 2020 and 2019, was $79.4 million and $73.3 million, respectively.</w:t>
      </w:r>
    </w:p>
    <w:p>
      <w:pPr>
        <w:spacing w:after="0" w:line="99"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The regulated insurance subsidiaries are subject to certain Risk-Based Capital (RBC) requirements specified by the National Association of Insurance Commissioners (NAIC). Under those requirements, the amount of capital and surplus maintained by the Corporation’s regulated insurance subsidiaries is to be determined based on various risk factors, such as (a) asset quality, (b) asset and liability matching, (c) loss reserve adequacy, and other business factors. Regulatory compliance is determined by a ratio of the Corporation’s regulatory total adjusted capital, as defined by the NAIC, to its authorized control level RBC, as defined by the NAIC. Generally, a ratio in excess of the regulatory threshold requires no corrective actions by the Corporation or regulators. As of December 31, 2020 and 2019, the regulated insurance subsidiaries’ capital and surplus exceeded the minimum RBC requirements of their applicable governmental regulator. The statutory RBC necessary to satisfy regulatory requirements of our statutory basis subsidiaries was approximately $75.8 million and $60.8 million as of December 31, 2020 and 2019,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Regulatory matters</w:t>
      </w:r>
    </w:p>
    <w:p>
      <w:pPr>
        <w:spacing w:after="0" w:line="166" w:lineRule="exact"/>
        <w:rPr>
          <w:sz w:val="20"/>
          <w:szCs w:val="20"/>
          <w:color w:val="auto"/>
        </w:rPr>
      </w:pPr>
    </w:p>
    <w:p>
      <w:pPr>
        <w:ind w:right="380" w:firstLine="297"/>
        <w:spacing w:after="0" w:line="274" w:lineRule="auto"/>
        <w:rPr>
          <w:sz w:val="20"/>
          <w:szCs w:val="20"/>
          <w:color w:val="auto"/>
        </w:rPr>
      </w:pPr>
      <w:r>
        <w:rPr>
          <w:rFonts w:ascii="Arial" w:cs="Arial" w:eastAsia="Arial" w:hAnsi="Arial"/>
          <w:sz w:val="16"/>
          <w:szCs w:val="16"/>
          <w:color w:val="auto"/>
        </w:rPr>
        <w:t>The Corporation operates in a highly regulated environment. It is regulated by federal and state of New Jersey regulators. The Corporation’s regulated insurance subsidiaries must be licensed by and are subject to regulation by DOBI, which requires periodic financial reports and enforces minimum capital and/or reserve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The laws and regulations governing the Corporation’s business and interpretations of those laws and regulations are subject to frequent change. Legislative, administrative, and public policy changes to the Health Care Reform Law continue to be debated, and the Corporation cannot predict if the Health Care Reform Law will be further modified, repealed, or replaced. The broad latitude given to the agencies administering, interpreting and enforcing current and future regulations governing the Corporation’s business could require the Corporation to change how it conducts its business, restrict revenue and enrollment growth, increase health care and administrative costs and capital requirements, or expose the Corporation to increased liability in the courts for coverage determinations, contract interpretation and other actions.</w:t>
      </w:r>
    </w:p>
    <w:p>
      <w:pPr>
        <w:spacing w:after="0" w:line="121" w:lineRule="exact"/>
        <w:rPr>
          <w:sz w:val="20"/>
          <w:szCs w:val="20"/>
          <w:color w:val="auto"/>
        </w:rPr>
      </w:pPr>
    </w:p>
    <w:p>
      <w:pPr>
        <w:ind w:right="120" w:firstLine="297"/>
        <w:spacing w:after="0" w:line="274" w:lineRule="auto"/>
        <w:rPr>
          <w:sz w:val="20"/>
          <w:szCs w:val="20"/>
          <w:color w:val="auto"/>
        </w:rPr>
      </w:pPr>
      <w:r>
        <w:rPr>
          <w:rFonts w:ascii="Arial" w:cs="Arial" w:eastAsia="Arial" w:hAnsi="Arial"/>
          <w:sz w:val="16"/>
          <w:szCs w:val="16"/>
          <w:color w:val="auto"/>
        </w:rPr>
        <w:t>The health care industry is also regularly subject to negative publicity, including as a result of governmental investigations, adverse media coverage and political debate surrounding industry regulation. Negative publicity may adversely affect the Corporation’s financial position, results of operations and cash flows and damage its reputation.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Subsequent events</w:t>
      </w:r>
    </w:p>
    <w:p>
      <w:pPr>
        <w:spacing w:after="0" w:line="166" w:lineRule="exact"/>
        <w:rPr>
          <w:sz w:val="20"/>
          <w:szCs w:val="20"/>
          <w:color w:val="auto"/>
        </w:rPr>
      </w:pPr>
    </w:p>
    <w:p>
      <w:pPr>
        <w:jc w:val="both"/>
        <w:ind w:right="80" w:firstLine="297"/>
        <w:spacing w:after="0" w:line="274" w:lineRule="auto"/>
        <w:rPr>
          <w:sz w:val="20"/>
          <w:szCs w:val="20"/>
          <w:color w:val="auto"/>
        </w:rPr>
      </w:pPr>
      <w:r>
        <w:rPr>
          <w:rFonts w:ascii="Arial" w:cs="Arial" w:eastAsia="Arial" w:hAnsi="Arial"/>
          <w:sz w:val="16"/>
          <w:szCs w:val="16"/>
          <w:color w:val="auto"/>
        </w:rPr>
        <w:t>The Corporation entered into the Merger Agreement with SCH on October 5, 2020. Pursuant to the Merger Agreement, Asclepius Merger Sub Inc. was merged with and into the Corporation. Upon consummation of the business combination, the separate corporate existence of Merger Sub ceased, the Corporation survived and merged with and into SCH, and SCH was renamed Clover Health Investments, Corp.</w:t>
      </w:r>
    </w:p>
    <w:p>
      <w:pPr>
        <w:spacing w:after="0" w:line="11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The Business Combination will have a significant impact on our future reported financial position and results as a consequence of the reverse capitalization. The most significant change in Clover’s future reported financial position and results is an estimated net increase in cash (as compared to our consolidated balance sheet at December 31, 2020) of approximately $670.0 million. This redemption includes approximately $400.0 million in proceeds from a private placement (PIPE Investment) that was consummated substantially simultaneously with the Business Combination, offset by additional transaction costs incurred in connection with the Business Combination. The estimated transaction costs for the Business Combination are approximately $61.8 million, of which $29.0 million represents deferred underwriter fees related to SCH’s initial public offering.</w:t>
      </w:r>
    </w:p>
    <w:p>
      <w:pPr>
        <w:spacing w:after="0" w:line="121" w:lineRule="exact"/>
        <w:rPr>
          <w:sz w:val="20"/>
          <w:szCs w:val="20"/>
          <w:color w:val="auto"/>
        </w:rPr>
      </w:pPr>
    </w:p>
    <w:p>
      <w:pPr>
        <w:ind w:right="300" w:firstLine="297"/>
        <w:spacing w:after="0" w:line="290" w:lineRule="auto"/>
        <w:rPr>
          <w:sz w:val="20"/>
          <w:szCs w:val="20"/>
          <w:color w:val="auto"/>
        </w:rPr>
      </w:pPr>
      <w:r>
        <w:rPr>
          <w:rFonts w:ascii="Arial" w:cs="Arial" w:eastAsia="Arial" w:hAnsi="Arial"/>
          <w:sz w:val="16"/>
          <w:szCs w:val="16"/>
          <w:color w:val="auto"/>
        </w:rPr>
        <w:t>The transaction closed on January 7, 2021, and the following day the Class A common stock and public warrants were listed on the Nasdaq Global Select Market (Nasdaq) under the symbols “CLOV” and “CLOVW” for trading in the public market.</w:t>
      </w:r>
    </w:p>
    <w:p>
      <w:pPr>
        <w:spacing w:after="0" w:line="99"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auto"/>
        </w:rPr>
        <w:t>The Corporation’s management has evaluated subsequent events for recognition and measurement purposes through June 9, 2021, which is the date the Consolidated Financial Statements were available to be issued. The Corporation has concluded that no additional events or transactions have occurred that may require adjustment to the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BALANCE SHEETS (PARENT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Schedule I</w:t>
            </w:r>
          </w:p>
        </w:tc>
        <w:tc>
          <w:tcPr>
            <w:tcW w:w="0" w:type="dxa"/>
            <w:vAlign w:val="bottom"/>
          </w:tcPr>
          <w:p>
            <w:pPr>
              <w:spacing w:after="0"/>
              <w:rPr>
                <w:sz w:val="1"/>
                <w:szCs w:val="1"/>
                <w:color w:val="auto"/>
              </w:rPr>
            </w:pPr>
          </w:p>
        </w:tc>
      </w:tr>
      <w:tr>
        <w:trPr>
          <w:trHeight w:val="342"/>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Pr>
          <w:p>
            <w:pPr>
              <w:spacing w:after="0"/>
              <w:rPr>
                <w:sz w:val="18"/>
                <w:szCs w:val="18"/>
                <w:color w:val="auto"/>
              </w:rPr>
            </w:pPr>
          </w:p>
        </w:tc>
        <w:tc>
          <w:tcPr>
            <w:tcW w:w="580" w:type="dxa"/>
            <w:vAlign w:val="bottom"/>
          </w:tcPr>
          <w:p>
            <w:pPr>
              <w:jc w:val="right"/>
              <w:ind w:right="39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Intercompany interest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Intercompany note receivable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Investments in consolidated subsidiaries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77,212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158,159</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127,704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206,820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3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13,140</w:t>
            </w:r>
          </w:p>
        </w:tc>
        <w:tc>
          <w:tcPr>
            <w:tcW w:w="100" w:type="dxa"/>
            <w:vAlign w:val="bottom"/>
          </w:tcPr>
          <w:p>
            <w:pPr>
              <w:spacing w:after="0"/>
              <w:rPr>
                <w:sz w:val="18"/>
                <w:szCs w:val="18"/>
                <w:color w:val="auto"/>
              </w:rPr>
            </w:pPr>
          </w:p>
        </w:tc>
        <w:tc>
          <w:tcPr>
            <w:tcW w:w="580" w:type="dxa"/>
            <w:vAlign w:val="bottom"/>
          </w:tcPr>
          <w:p>
            <w:pPr>
              <w:jc w:val="right"/>
              <w:ind w:right="39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salaries and benefits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Intercompany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27,251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Notes payable, net of discount and deferred issuance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76,758</w:t>
            </w: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Derivative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44,810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138,561</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Warrants payable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290,886</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242,555</w:t>
            </w:r>
          </w:p>
        </w:tc>
        <w:tc>
          <w:tcPr>
            <w:tcW w:w="0" w:type="dxa"/>
            <w:vAlign w:val="bottom"/>
          </w:tcPr>
          <w:p>
            <w:pPr>
              <w:spacing w:after="0"/>
              <w:rPr>
                <w:sz w:val="1"/>
                <w:szCs w:val="1"/>
                <w:color w:val="auto"/>
              </w:rPr>
            </w:pPr>
          </w:p>
        </w:tc>
      </w:tr>
      <w:tr>
        <w:trPr>
          <w:trHeight w:val="141"/>
        </w:trPr>
        <w:tc>
          <w:tcPr>
            <w:tcW w:w="80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w w:val="94"/>
              </w:rPr>
              <w:t>Convertible Preferred stock (Series Seed A, A-1, B, C, and D), $0.0001 par value; 155,387,025 shares authorized as of</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160"/>
              <w:spacing w:after="0" w:line="161" w:lineRule="exact"/>
              <w:rPr>
                <w:sz w:val="20"/>
                <w:szCs w:val="20"/>
                <w:color w:val="auto"/>
              </w:rPr>
            </w:pPr>
            <w:r>
              <w:rPr>
                <w:rFonts w:ascii="Arial" w:cs="Arial" w:eastAsia="Arial" w:hAnsi="Arial"/>
                <w:sz w:val="16"/>
                <w:szCs w:val="16"/>
                <w:color w:val="auto"/>
                <w:w w:val="95"/>
              </w:rPr>
              <w:t>December 31, 2020 and 2019; 139,444,346 shares; after reverse capitalization, shares issued and outstanding as of</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447,747</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447,747</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2020 and 2019; aggregate liquidation preference of$470,256 as of December 31, 2020</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Common stock, $0.0001 par value,351,572,668 shares authorized; 89,972,184 and88,674,206 issued; and 89,206,266</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88,279,119; after reverse capitalization, outstanding as of December 31, 2020 and 2019, respectively</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411,843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403,041</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(1,022,781)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(886,532)</w:t>
            </w: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deficit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(610,929)</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(483,482)</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127,704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206,820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6"/>
                <w:szCs w:val="16"/>
                <w:color w:val="auto"/>
              </w:rPr>
              <w:t>F-50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4"/>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2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STATEMENTS OF OPERATIONS (PARENT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3"/>
                <w:szCs w:val="13"/>
                <w:b w:val="1"/>
                <w:bCs w:val="1"/>
                <w:color w:val="auto"/>
              </w:rPr>
              <w:t>Years ended December 31,</w:t>
            </w:r>
          </w:p>
        </w:tc>
      </w:tr>
      <w:tr>
        <w:trPr>
          <w:trHeight w:val="169"/>
        </w:trPr>
        <w:tc>
          <w:tcPr>
            <w:tcW w:w="8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2019</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3,396</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income, net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2"/>
        </w:trPr>
        <w:tc>
          <w:tcPr>
            <w:tcW w:w="80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revenues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w:t>
            </w:r>
          </w:p>
        </w:tc>
      </w:tr>
      <w:tr>
        <w:trPr>
          <w:trHeight w:val="19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expense</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2"/>
        </w:trPr>
        <w:tc>
          <w:tcPr>
            <w:tcW w:w="80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expenses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Change in fair value of warrants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80,328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23,155</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Amortization of notes discount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15,913</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derivative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138,561</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net losses of consolidated subsidiaries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186,199</w:t>
            </w: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STATEMENTS OF CASH FLOWS (PARENT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78"/>
              <w:spacing w:after="0"/>
              <w:rPr>
                <w:sz w:val="20"/>
                <w:szCs w:val="20"/>
                <w:color w:val="auto"/>
              </w:rPr>
            </w:pPr>
            <w:r>
              <w:rPr>
                <w:rFonts w:ascii="Arial" w:cs="Arial" w:eastAsia="Arial" w:hAnsi="Arial"/>
                <w:sz w:val="13"/>
                <w:szCs w:val="13"/>
                <w:b w:val="1"/>
                <w:bCs w:val="1"/>
                <w:color w:val="auto"/>
              </w:rPr>
              <w:t>Years ended December 31,</w:t>
            </w:r>
          </w:p>
        </w:tc>
      </w:tr>
      <w:tr>
        <w:trPr>
          <w:trHeight w:val="169"/>
        </w:trPr>
        <w:tc>
          <w:tcPr>
            <w:tcW w:w="80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2019</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(136,392)</w:t>
            </w:r>
          </w:p>
        </w:tc>
        <w:tc>
          <w:tcPr>
            <w:tcW w:w="10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(363,737)</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Amortization of notes discount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15,807</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Paid in kind interest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11,633</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warrants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Change in derivative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(93,751)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138,561</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warrants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w:t>
            </w: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Accrued salaries and benefits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Intercompany interest receivable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10"/>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Intercompany payable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(23,921)</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(63,223)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(210,973)</w:t>
            </w:r>
          </w:p>
        </w:tc>
      </w:tr>
      <w:tr>
        <w:trPr>
          <w:trHeight w:val="190"/>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Investments in consolidated 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(154,469)</w:t>
            </w:r>
          </w:p>
        </w:tc>
      </w:tr>
      <w:tr>
        <w:trPr>
          <w:trHeight w:val="20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(used in) by investing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(154,469)</w:t>
            </w:r>
          </w:p>
        </w:tc>
      </w:tr>
      <w:tr>
        <w:trPr>
          <w:trHeight w:val="19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Proceeds from issuance of convertible securities</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343,410</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financing costs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Payment of notes payable principal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(9,670)</w:t>
            </w:r>
          </w:p>
        </w:tc>
      </w:tr>
      <w:tr>
        <w:trPr>
          <w:trHeight w:val="211"/>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net of early exercise liability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0"/>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Buyback and subsequent cancellation of common stock</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333,978</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(31,464)</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36,033</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4,569</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Condensed Financial Statements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Clover Health Investments, Corp. (the “Corporation) is a holding company incorporated on July 17, 2014, in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66" w:lineRule="exact"/>
        <w:rPr>
          <w:sz w:val="20"/>
          <w:szCs w:val="20"/>
          <w:color w:val="auto"/>
        </w:rPr>
      </w:pPr>
    </w:p>
    <w:p>
      <w:pPr>
        <w:ind w:firstLine="297"/>
        <w:spacing w:after="0" w:line="274" w:lineRule="auto"/>
        <w:rPr>
          <w:sz w:val="20"/>
          <w:szCs w:val="20"/>
          <w:color w:val="auto"/>
        </w:rPr>
      </w:pPr>
      <w:r>
        <w:rPr>
          <w:rFonts w:ascii="Arial" w:cs="Arial" w:eastAsia="Arial" w:hAnsi="Arial"/>
          <w:sz w:val="16"/>
          <w:szCs w:val="16"/>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Corporation’s consolidated financial statements.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62" w:lineRule="exact"/>
        <w:rPr>
          <w:sz w:val="20"/>
          <w:szCs w:val="20"/>
          <w:color w:val="auto"/>
        </w:rPr>
      </w:pPr>
    </w:p>
    <w:p>
      <w:pPr>
        <w:ind w:right="340" w:firstLine="297"/>
        <w:spacing w:after="0" w:line="274" w:lineRule="auto"/>
        <w:rPr>
          <w:sz w:val="20"/>
          <w:szCs w:val="20"/>
          <w:color w:val="auto"/>
        </w:rPr>
      </w:pPr>
      <w:r>
        <w:rPr>
          <w:rFonts w:ascii="Arial" w:cs="Arial" w:eastAsia="Arial" w:hAnsi="Arial"/>
          <w:sz w:val="16"/>
          <w:szCs w:val="16"/>
          <w:color w:val="auto"/>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162" w:lineRule="exact"/>
        <w:rPr>
          <w:sz w:val="20"/>
          <w:szCs w:val="20"/>
          <w:color w:val="auto"/>
        </w:rPr>
      </w:pPr>
    </w:p>
    <w:p>
      <w:pPr>
        <w:ind w:right="40" w:firstLine="297"/>
        <w:spacing w:after="0" w:line="274" w:lineRule="auto"/>
        <w:rPr>
          <w:sz w:val="20"/>
          <w:szCs w:val="20"/>
          <w:color w:val="auto"/>
        </w:rPr>
      </w:pPr>
      <w:r>
        <w:rPr>
          <w:rFonts w:ascii="Arial" w:cs="Arial" w:eastAsia="Arial" w:hAnsi="Arial"/>
          <w:sz w:val="16"/>
          <w:szCs w:val="16"/>
          <w:color w:val="auto"/>
        </w:rPr>
        <w:t>Certain amounts in the prior years’ Condensed Statements of Cash Flows have been reclassified to conform to the current year’s presentation, primarily related to the amortization of warrants, amortization of debt issuance costs, and paid in kind interest. These reclassifications had no effect on the previously reported Condensed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Insurance Subsidiaries</w:t>
      </w:r>
    </w:p>
    <w:p>
      <w:pPr>
        <w:spacing w:after="0" w:line="166" w:lineRule="exact"/>
        <w:rPr>
          <w:sz w:val="20"/>
          <w:szCs w:val="20"/>
          <w:color w:val="auto"/>
        </w:rPr>
      </w:pPr>
    </w:p>
    <w:p>
      <w:pPr>
        <w:ind w:right="120" w:firstLine="297"/>
        <w:spacing w:after="0" w:line="268" w:lineRule="auto"/>
        <w:rPr>
          <w:sz w:val="20"/>
          <w:szCs w:val="20"/>
          <w:color w:val="auto"/>
        </w:rPr>
      </w:pPr>
      <w:r>
        <w:rPr>
          <w:rFonts w:ascii="Arial" w:cs="Arial" w:eastAsia="Arial" w:hAnsi="Arial"/>
          <w:sz w:val="16"/>
          <w:szCs w:val="16"/>
          <w:color w:val="auto"/>
        </w:rPr>
        <w:t>Investments in consolidated subsidiaries include regulated insurance subsidiaries and unregulated subsidiaries. The Corporation holds $50.0 million and $156.0 million of cash, cash equivalents, short term investments and investment securities at the parent and unregulated subsidiaries as of December 31, 2020 and 2019, respectively. The Corporation holds $101.1 million and $107.3 million of cash, cash equivalents, short term investments and investment securities in regulated insurance subsidiaries as of December 31, 2020 and 2019,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Surplus Note</w:t>
      </w:r>
    </w:p>
    <w:p>
      <w:pPr>
        <w:spacing w:after="0" w:line="166" w:lineRule="exact"/>
        <w:rPr>
          <w:sz w:val="20"/>
          <w:szCs w:val="20"/>
          <w:color w:val="auto"/>
        </w:rPr>
      </w:pPr>
    </w:p>
    <w:p>
      <w:pPr>
        <w:ind w:right="40" w:firstLine="297"/>
        <w:spacing w:after="0" w:line="268" w:lineRule="auto"/>
        <w:rPr>
          <w:sz w:val="20"/>
          <w:szCs w:val="20"/>
          <w:color w:val="auto"/>
        </w:rPr>
      </w:pPr>
      <w:r>
        <w:rPr>
          <w:rFonts w:ascii="Arial" w:cs="Arial" w:eastAsia="Arial" w:hAnsi="Arial"/>
          <w:sz w:val="16"/>
          <w:szCs w:val="16"/>
          <w:color w:val="auto"/>
        </w:rPr>
        <w:t>Effective December 22, 2016, the Corporation contributed $40.0 million to Clover Health Insurance Company, a wholly owned subsidiary, in exchange for a surplus note. The outstanding balance, including accrued interest, was due and payable on December 31, 2020 but remains unpaid with the payment terms under review for extension until December 31, 2024. The Commissioner of Banking and Insurance of the State of New Jersey must approve any interest and principal payments associated with the note before they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6"/>
          <w:szCs w:val="16"/>
          <w:b w:val="1"/>
          <w:bCs w:val="1"/>
          <w:color w:val="auto"/>
        </w:rPr>
        <w:t>Schedule 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CLOVER HEALTH INVESTMENTS,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Additions</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92"/>
              </w:rPr>
              <w:t>Balance at</w:t>
            </w:r>
          </w:p>
        </w:tc>
        <w:tc>
          <w:tcPr>
            <w:tcW w:w="240" w:type="dxa"/>
            <w:vAlign w:val="bottom"/>
          </w:tcPr>
          <w:p>
            <w:pPr>
              <w:spacing w:after="0"/>
              <w:rPr>
                <w:sz w:val="10"/>
                <w:szCs w:val="10"/>
                <w:color w:val="auto"/>
              </w:rPr>
            </w:pPr>
          </w:p>
        </w:tc>
        <w:tc>
          <w:tcPr>
            <w:tcW w:w="1280" w:type="dxa"/>
            <w:vAlign w:val="bottom"/>
            <w:gridSpan w:val="2"/>
          </w:tcPr>
          <w:p>
            <w:pPr>
              <w:jc w:val="center"/>
              <w:ind w:right="340"/>
              <w:spacing w:after="0" w:line="124" w:lineRule="exact"/>
              <w:rPr>
                <w:sz w:val="20"/>
                <w:szCs w:val="20"/>
                <w:color w:val="auto"/>
              </w:rPr>
            </w:pPr>
            <w:r>
              <w:rPr>
                <w:rFonts w:ascii="Arial" w:cs="Arial" w:eastAsia="Arial" w:hAnsi="Arial"/>
                <w:sz w:val="13"/>
                <w:szCs w:val="13"/>
                <w:b w:val="1"/>
                <w:bCs w:val="1"/>
                <w:color w:val="auto"/>
                <w:w w:val="90"/>
              </w:rPr>
              <w:t>Charged to</w:t>
            </w:r>
          </w:p>
        </w:tc>
        <w:tc>
          <w:tcPr>
            <w:tcW w:w="26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2"/>
              </w:rPr>
              <w:t>Charge to other</w:t>
            </w: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right"/>
              <w:ind w:right="346"/>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4"/>
        </w:trPr>
        <w:tc>
          <w:tcPr>
            <w:tcW w:w="3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0"/>
                <w:szCs w:val="10"/>
                <w:color w:val="auto"/>
              </w:rPr>
            </w:pPr>
          </w:p>
        </w:tc>
        <w:tc>
          <w:tcPr>
            <w:tcW w:w="128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90"/>
              </w:rPr>
              <w:t>beginning</w:t>
            </w:r>
          </w:p>
        </w:tc>
        <w:tc>
          <w:tcPr>
            <w:tcW w:w="240" w:type="dxa"/>
            <w:vAlign w:val="bottom"/>
          </w:tcPr>
          <w:p>
            <w:pPr>
              <w:spacing w:after="0"/>
              <w:rPr>
                <w:sz w:val="10"/>
                <w:szCs w:val="10"/>
                <w:color w:val="auto"/>
              </w:rPr>
            </w:pPr>
          </w:p>
        </w:tc>
        <w:tc>
          <w:tcPr>
            <w:tcW w:w="1280" w:type="dxa"/>
            <w:vAlign w:val="bottom"/>
            <w:gridSpan w:val="2"/>
          </w:tcPr>
          <w:p>
            <w:pPr>
              <w:jc w:val="center"/>
              <w:ind w:right="320"/>
              <w:spacing w:after="0" w:line="124" w:lineRule="exact"/>
              <w:rPr>
                <w:sz w:val="20"/>
                <w:szCs w:val="20"/>
                <w:color w:val="auto"/>
              </w:rPr>
            </w:pPr>
            <w:r>
              <w:rPr>
                <w:rFonts w:ascii="Arial" w:cs="Arial" w:eastAsia="Arial" w:hAnsi="Arial"/>
                <w:sz w:val="13"/>
                <w:szCs w:val="13"/>
                <w:b w:val="1"/>
                <w:bCs w:val="1"/>
                <w:color w:val="auto"/>
                <w:w w:val="85"/>
              </w:rPr>
              <w:t>costs and</w:t>
            </w:r>
          </w:p>
        </w:tc>
        <w:tc>
          <w:tcPr>
            <w:tcW w:w="2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(Deductions)</w:t>
            </w:r>
          </w:p>
        </w:tc>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of period</w:t>
            </w: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expenses</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accounts</w:t>
            </w: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66"/>
              <w:spacing w:after="0"/>
              <w:rPr>
                <w:sz w:val="20"/>
                <w:szCs w:val="20"/>
                <w:color w:val="auto"/>
              </w:rPr>
            </w:pPr>
            <w:r>
              <w:rPr>
                <w:rFonts w:ascii="Arial" w:cs="Arial" w:eastAsia="Arial" w:hAnsi="Arial"/>
                <w:sz w:val="13"/>
                <w:szCs w:val="13"/>
                <w:b w:val="1"/>
                <w:bCs w:val="1"/>
                <w:color w:val="auto"/>
              </w:rPr>
              <w:t>end of period</w:t>
            </w:r>
          </w:p>
        </w:tc>
        <w:tc>
          <w:tcPr>
            <w:tcW w:w="0" w:type="dxa"/>
            <w:vAlign w:val="bottom"/>
          </w:tcPr>
          <w:p>
            <w:pPr>
              <w:spacing w:after="0"/>
              <w:rPr>
                <w:sz w:val="1"/>
                <w:szCs w:val="1"/>
                <w:color w:val="auto"/>
              </w:rPr>
            </w:pPr>
          </w:p>
        </w:tc>
      </w:tr>
      <w:tr>
        <w:trPr>
          <w:trHeight w:val="20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Year ended December 31, 2019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104,976</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9"/>
              <w:spacing w:after="0"/>
              <w:rPr>
                <w:sz w:val="20"/>
                <w:szCs w:val="20"/>
                <w:color w:val="auto"/>
              </w:rPr>
            </w:pPr>
            <w:r>
              <w:rPr>
                <w:rFonts w:ascii="Arial" w:cs="Arial" w:eastAsia="Arial" w:hAnsi="Arial"/>
                <w:sz w:val="16"/>
                <w:szCs w:val="16"/>
                <w:color w:val="auto"/>
              </w:rPr>
              <w:t>39,643</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144,619</w:t>
            </w:r>
          </w:p>
        </w:tc>
        <w:tc>
          <w:tcPr>
            <w:tcW w:w="0" w:type="dxa"/>
            <w:vAlign w:val="bottom"/>
          </w:tcPr>
          <w:p>
            <w:pPr>
              <w:spacing w:after="0"/>
              <w:rPr>
                <w:sz w:val="1"/>
                <w:szCs w:val="1"/>
                <w:color w:val="auto"/>
              </w:rPr>
            </w:pPr>
          </w:p>
        </w:tc>
      </w:tr>
      <w:tr>
        <w:trPr>
          <w:trHeight w:val="211"/>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144,619</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9"/>
              <w:spacing w:after="0"/>
              <w:rPr>
                <w:sz w:val="20"/>
                <w:szCs w:val="20"/>
                <w:color w:val="auto"/>
              </w:rPr>
            </w:pPr>
            <w:r>
              <w:rPr>
                <w:rFonts w:ascii="Arial" w:cs="Arial" w:eastAsia="Arial" w:hAnsi="Arial"/>
                <w:sz w:val="16"/>
                <w:szCs w:val="16"/>
                <w:color w:val="auto"/>
              </w:rPr>
              <w:t>18,585</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163,204</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September 30, 2021</w:t>
            </w:r>
          </w:p>
        </w:tc>
        <w:tc>
          <w:tcPr>
            <w:tcW w:w="180" w:type="dxa"/>
            <w:vAlign w:val="bottom"/>
          </w:tcPr>
          <w:p>
            <w:pPr>
              <w:spacing w:after="0"/>
              <w:rPr>
                <w:sz w:val="13"/>
                <w:szCs w:val="13"/>
                <w:color w:val="auto"/>
              </w:rPr>
            </w:pPr>
          </w:p>
        </w:tc>
        <w:tc>
          <w:tcPr>
            <w:tcW w:w="138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92,348</w:t>
            </w: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4,098</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securities, available-for sale (Amortized cost: 2021: $21,139; 2020: $0)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Investment securities, held-to-maturity (Fair value: 2021: $308; 2020: $266)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retrospective premiums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34,829</w:t>
            </w: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11,368</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Healthcare receivable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38,745</w:t>
            </w:r>
          </w:p>
        </w:tc>
        <w:tc>
          <w:tcPr>
            <w:tcW w:w="0" w:type="dxa"/>
            <w:vAlign w:val="bottom"/>
          </w:tcPr>
          <w:p>
            <w:pPr>
              <w:spacing w:after="0"/>
              <w:rPr>
                <w:sz w:val="1"/>
                <w:szCs w:val="1"/>
                <w:color w:val="auto"/>
              </w:rPr>
            </w:pPr>
          </w:p>
        </w:tc>
      </w:tr>
      <w:tr>
        <w:trPr>
          <w:trHeight w:val="210"/>
        </w:trPr>
        <w:tc>
          <w:tcPr>
            <w:tcW w:w="8020" w:type="dxa"/>
            <w:vAlign w:val="bottom"/>
          </w:tcPr>
          <w:p>
            <w:pPr>
              <w:ind w:left="220"/>
              <w:spacing w:after="0"/>
              <w:rPr>
                <w:sz w:val="20"/>
                <w:szCs w:val="20"/>
                <w:color w:val="auto"/>
              </w:rPr>
            </w:pPr>
            <w:r>
              <w:rPr>
                <w:rFonts w:ascii="Arial" w:cs="Arial" w:eastAsia="Arial" w:hAnsi="Arial"/>
                <w:sz w:val="16"/>
                <w:szCs w:val="16"/>
                <w:color w:val="auto"/>
              </w:rPr>
              <w:t>Surety bonds and deposits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7,830</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 current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559,281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189,782</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Direct Contracting performance year receivable</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220,738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securities, available-for sale (Amortized cost: 2021: $146,796; 2020: $53,953)</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53,963</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Investment securities, held-to-maturity (Fair value: 2021: $419; 2020: $471)</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7,882</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other intangible 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952,478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267,252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September 30, 2021</w:t>
            </w:r>
          </w:p>
        </w:tc>
        <w:tc>
          <w:tcPr>
            <w:tcW w:w="180" w:type="dxa"/>
            <w:vAlign w:val="bottom"/>
          </w:tcPr>
          <w:p>
            <w:pPr>
              <w:spacing w:after="0"/>
              <w:rPr>
                <w:sz w:val="13"/>
                <w:szCs w:val="13"/>
                <w:color w:val="auto"/>
              </w:rPr>
            </w:pPr>
          </w:p>
        </w:tc>
        <w:tc>
          <w:tcPr>
            <w:tcW w:w="138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w w:val="95"/>
              </w:rPr>
              <w:t>December 31, 2020</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180"/>
              <w:spacing w:after="0"/>
              <w:rPr>
                <w:sz w:val="20"/>
                <w:szCs w:val="20"/>
                <w:color w:val="auto"/>
              </w:rPr>
            </w:pPr>
            <w:r>
              <w:rPr>
                <w:rFonts w:ascii="Arial" w:cs="Arial" w:eastAsia="Arial" w:hAnsi="Arial"/>
                <w:sz w:val="16"/>
                <w:szCs w:val="16"/>
                <w:color w:val="auto"/>
              </w:rPr>
              <w:t>Unpaid claims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140,210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103,976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30,671</w:t>
            </w:r>
          </w:p>
        </w:tc>
        <w:tc>
          <w:tcPr>
            <w:tcW w:w="0" w:type="dxa"/>
            <w:vAlign w:val="bottom"/>
          </w:tcPr>
          <w:p>
            <w:pPr>
              <w:spacing w:after="0"/>
              <w:rPr>
                <w:sz w:val="1"/>
                <w:szCs w:val="1"/>
                <w:color w:val="auto"/>
              </w:rPr>
            </w:pPr>
          </w:p>
        </w:tc>
      </w:tr>
      <w:tr>
        <w:trPr>
          <w:trHeight w:val="210"/>
        </w:trPr>
        <w:tc>
          <w:tcPr>
            <w:tcW w:w="8020" w:type="dxa"/>
            <w:vAlign w:val="bottom"/>
          </w:tcPr>
          <w:p>
            <w:pPr>
              <w:ind w:left="180"/>
              <w:spacing w:after="0"/>
              <w:rPr>
                <w:sz w:val="20"/>
                <w:szCs w:val="20"/>
                <w:color w:val="auto"/>
              </w:rPr>
            </w:pPr>
            <w:r>
              <w:rPr>
                <w:rFonts w:ascii="Arial" w:cs="Arial" w:eastAsia="Arial" w:hAnsi="Arial"/>
                <w:sz w:val="16"/>
                <w:szCs w:val="16"/>
                <w:color w:val="auto"/>
              </w:rPr>
              <w:t>Accrued salaries and benefits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210"/>
        </w:trPr>
        <w:tc>
          <w:tcPr>
            <w:tcW w:w="8020" w:type="dxa"/>
            <w:vAlign w:val="bottom"/>
          </w:tcPr>
          <w:p>
            <w:pPr>
              <w:ind w:left="180"/>
              <w:spacing w:after="0"/>
              <w:rPr>
                <w:sz w:val="20"/>
                <w:szCs w:val="20"/>
                <w:color w:val="auto"/>
              </w:rPr>
            </w:pPr>
            <w:r>
              <w:rPr>
                <w:rFonts w:ascii="Arial" w:cs="Arial" w:eastAsia="Arial" w:hAnsi="Arial"/>
                <w:sz w:val="16"/>
                <w:szCs w:val="16"/>
                <w:color w:val="auto"/>
              </w:rPr>
              <w:t>Current portion of notes and securities payable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20,803</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Premium deficiency reserve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 current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164,228</w:t>
            </w:r>
          </w:p>
        </w:tc>
        <w:tc>
          <w:tcPr>
            <w:tcW w:w="0" w:type="dxa"/>
            <w:vAlign w:val="bottom"/>
          </w:tcPr>
          <w:p>
            <w:pPr>
              <w:spacing w:after="0"/>
              <w:rPr>
                <w:sz w:val="1"/>
                <w:szCs w:val="1"/>
                <w:color w:val="auto"/>
              </w:rPr>
            </w:pPr>
          </w:p>
        </w:tc>
      </w:tr>
      <w:tr>
        <w:trPr>
          <w:trHeight w:val="202"/>
        </w:trPr>
        <w:tc>
          <w:tcPr>
            <w:tcW w:w="8020" w:type="dxa"/>
            <w:vAlign w:val="bottom"/>
          </w:tcPr>
          <w:p>
            <w:pPr>
              <w:ind w:left="180"/>
              <w:spacing w:after="0"/>
              <w:rPr>
                <w:sz w:val="20"/>
                <w:szCs w:val="20"/>
                <w:color w:val="auto"/>
              </w:rPr>
            </w:pPr>
            <w:r>
              <w:rPr>
                <w:rFonts w:ascii="Arial" w:cs="Arial" w:eastAsia="Arial" w:hAnsi="Arial"/>
                <w:sz w:val="16"/>
                <w:szCs w:val="16"/>
                <w:color w:val="auto"/>
              </w:rPr>
              <w:t>Direct Contracting performance year obligation</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244,599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and securities payable, net of discounts and deferred issuance costs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106,413</w:t>
            </w:r>
          </w:p>
        </w:tc>
        <w:tc>
          <w:tcPr>
            <w:tcW w:w="0" w:type="dxa"/>
            <w:vAlign w:val="bottom"/>
          </w:tcPr>
          <w:p>
            <w:pPr>
              <w:spacing w:after="0"/>
              <w:rPr>
                <w:sz w:val="1"/>
                <w:szCs w:val="1"/>
                <w:color w:val="auto"/>
              </w:rPr>
            </w:pPr>
          </w:p>
        </w:tc>
      </w:tr>
      <w:tr>
        <w:trPr>
          <w:trHeight w:val="210"/>
        </w:trPr>
        <w:tc>
          <w:tcPr>
            <w:tcW w:w="8020" w:type="dxa"/>
            <w:vAlign w:val="bottom"/>
          </w:tcPr>
          <w:p>
            <w:pPr>
              <w:ind w:left="180"/>
              <w:spacing w:after="0"/>
              <w:rPr>
                <w:sz w:val="20"/>
                <w:szCs w:val="20"/>
                <w:color w:val="auto"/>
              </w:rPr>
            </w:pPr>
            <w:r>
              <w:rPr>
                <w:rFonts w:ascii="Arial" w:cs="Arial" w:eastAsia="Arial" w:hAnsi="Arial"/>
                <w:sz w:val="16"/>
                <w:szCs w:val="16"/>
                <w:color w:val="auto"/>
              </w:rPr>
              <w:t>Derivative liabilities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44,810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Warrants payable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97,782</w:t>
            </w:r>
          </w:p>
        </w:tc>
        <w:tc>
          <w:tcPr>
            <w:tcW w:w="0" w:type="dxa"/>
            <w:vAlign w:val="bottom"/>
          </w:tcPr>
          <w:p>
            <w:pPr>
              <w:spacing w:after="0"/>
              <w:rPr>
                <w:sz w:val="1"/>
                <w:szCs w:val="1"/>
                <w:color w:val="auto"/>
              </w:rPr>
            </w:pPr>
          </w:p>
        </w:tc>
      </w:tr>
      <w:tr>
        <w:trPr>
          <w:trHeight w:val="210"/>
        </w:trPr>
        <w:tc>
          <w:tcPr>
            <w:tcW w:w="8020" w:type="dxa"/>
            <w:vAlign w:val="bottom"/>
          </w:tcPr>
          <w:p>
            <w:pPr>
              <w:ind w:left="18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6,349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 non-current</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13,116</w:t>
            </w: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432,698</w:t>
            </w: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18)</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20" w:type="dxa"/>
            <w:vAlign w:val="bottom"/>
          </w:tcPr>
          <w:p>
            <w:pPr>
              <w:ind w:left="20"/>
              <w:spacing w:after="0" w:line="161" w:lineRule="exact"/>
              <w:rPr>
                <w:sz w:val="20"/>
                <w:szCs w:val="20"/>
                <w:color w:val="auto"/>
              </w:rPr>
            </w:pPr>
            <w:r>
              <w:rPr>
                <w:rFonts w:ascii="Arial" w:cs="Arial" w:eastAsia="Arial" w:hAnsi="Arial"/>
                <w:sz w:val="16"/>
                <w:szCs w:val="16"/>
                <w:color w:val="auto"/>
                <w:w w:val="94"/>
              </w:rPr>
              <w:t>Convertible Preferred stock (Series Seed A, A-1, B, C, and D), $0.0001 par value; 0 and 155,387,025 shares authorized</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20" w:type="dxa"/>
            <w:vAlign w:val="bottom"/>
          </w:tcPr>
          <w:p>
            <w:pPr>
              <w:ind w:left="20"/>
              <w:spacing w:after="0" w:line="161" w:lineRule="exact"/>
              <w:rPr>
                <w:sz w:val="20"/>
                <w:szCs w:val="20"/>
                <w:color w:val="auto"/>
              </w:rPr>
            </w:pPr>
            <w:r>
              <w:rPr>
                <w:rFonts w:ascii="Arial" w:cs="Arial" w:eastAsia="Arial" w:hAnsi="Arial"/>
                <w:sz w:val="16"/>
                <w:szCs w:val="16"/>
                <w:color w:val="auto"/>
                <w:w w:val="92"/>
              </w:rPr>
              <w:t>as of September 30, 2021, and December 31, 2020, respectively; 0 and 139,444,346 shares issued and outstanding as of</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20" w:type="dxa"/>
            <w:vAlign w:val="bottom"/>
          </w:tcPr>
          <w:p>
            <w:pPr>
              <w:ind w:left="20"/>
              <w:spacing w:after="0" w:line="161" w:lineRule="exact"/>
              <w:rPr>
                <w:sz w:val="20"/>
                <w:szCs w:val="20"/>
                <w:color w:val="auto"/>
              </w:rPr>
            </w:pPr>
            <w:r>
              <w:rPr>
                <w:rFonts w:ascii="Arial" w:cs="Arial" w:eastAsia="Arial" w:hAnsi="Arial"/>
                <w:sz w:val="16"/>
                <w:szCs w:val="16"/>
                <w:color w:val="auto"/>
                <w:w w:val="95"/>
              </w:rPr>
              <w:t>September 30, 2021, and December 31, 2020, respectively; aggregate liquidation preference of $0 and $470,256 as of</w:t>
            </w:r>
          </w:p>
        </w:tc>
        <w:tc>
          <w:tcPr>
            <w:tcW w:w="160" w:type="dxa"/>
            <w:vAlign w:val="bottom"/>
          </w:tcPr>
          <w:p>
            <w:pPr>
              <w:spacing w:after="0"/>
              <w:rPr>
                <w:sz w:val="13"/>
                <w:szCs w:val="13"/>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447,747</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September 30, 2021, and December 31, 2020, respectively (1)</w:t>
            </w: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tcPr>
          <w:p>
            <w:pPr>
              <w:ind w:left="20"/>
              <w:spacing w:after="0" w:line="161" w:lineRule="exact"/>
              <w:rPr>
                <w:sz w:val="20"/>
                <w:szCs w:val="20"/>
                <w:color w:val="auto"/>
              </w:rPr>
            </w:pPr>
            <w:r>
              <w:rPr>
                <w:rFonts w:ascii="Arial" w:cs="Arial" w:eastAsia="Arial" w:hAnsi="Arial"/>
                <w:sz w:val="16"/>
                <w:szCs w:val="16"/>
                <w:color w:val="auto"/>
                <w:w w:val="97"/>
              </w:rPr>
              <w:t>Class A Common Stock, $0.0001 par value; 2,500,000,000 and 0 shares authorized as of September 30, 2021, and</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20" w:type="dxa"/>
            <w:vAlign w:val="bottom"/>
          </w:tcPr>
          <w:p>
            <w:pPr>
              <w:ind w:left="160"/>
              <w:spacing w:after="0" w:line="161" w:lineRule="exact"/>
              <w:rPr>
                <w:sz w:val="20"/>
                <w:szCs w:val="20"/>
                <w:color w:val="auto"/>
              </w:rPr>
            </w:pPr>
            <w:r>
              <w:rPr>
                <w:rFonts w:ascii="Arial" w:cs="Arial" w:eastAsia="Arial" w:hAnsi="Arial"/>
                <w:sz w:val="16"/>
                <w:szCs w:val="16"/>
                <w:color w:val="auto"/>
              </w:rPr>
              <w:t>December 31, 2020, respectively; 278,308,964 and 0 issued and outstanding as of September 30, 2021, and</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160"/>
              <w:spacing w:after="0"/>
              <w:rPr>
                <w:sz w:val="20"/>
                <w:szCs w:val="20"/>
                <w:color w:val="auto"/>
              </w:rPr>
            </w:pPr>
            <w:r>
              <w:rPr>
                <w:rFonts w:ascii="Arial" w:cs="Arial" w:eastAsia="Arial" w:hAnsi="Arial"/>
                <w:sz w:val="16"/>
                <w:szCs w:val="16"/>
                <w:color w:val="auto"/>
              </w:rPr>
              <w:t>December 31, 2020, respectively</w:t>
            </w:r>
          </w:p>
        </w:tc>
        <w:tc>
          <w:tcPr>
            <w:tcW w:w="1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Class B Common Stock, $0.0001 par value; 500,000,000 and 351,572,668 shares authorized; 142,318,711 and</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60"/>
              <w:spacing w:after="0" w:line="210" w:lineRule="exact"/>
              <w:rPr>
                <w:sz w:val="20"/>
                <w:szCs w:val="20"/>
                <w:color w:val="auto"/>
              </w:rPr>
            </w:pPr>
            <w:r>
              <w:rPr>
                <w:rFonts w:ascii="Arial" w:cs="Arial" w:eastAsia="Arial" w:hAnsi="Arial"/>
                <w:sz w:val="16"/>
                <w:szCs w:val="16"/>
                <w:color w:val="auto"/>
              </w:rPr>
              <w:t xml:space="preserve">89,206,266 issued and outstanding as of September 30, 2021, and December 31, 2020, respectively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1,838,639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411,867</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(1,429,537)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(1,028,982)</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Less: Treasury stock, at cost; 14,730 and 0 shares held as of September 30, 2021, and December 31, 2020, respectively</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Clover stockholders’ equity (deficit)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408,387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(617,096)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 (deficit)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(613,193)</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convertible preferred stock and stockholders’ equity</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952,478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267,252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100" w:hanging="301"/>
        <w:spacing w:after="0" w:line="247" w:lineRule="auto"/>
        <w:tabs>
          <w:tab w:leader="none" w:pos="29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6"/>
          <w:szCs w:val="16"/>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OPERATIONS AND COMPREHENSIVE LOSS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160" w:type="dxa"/>
            <w:vAlign w:val="bottom"/>
          </w:tcPr>
          <w:p>
            <w:pPr>
              <w:ind w:left="220"/>
              <w:spacing w:after="0" w:line="161" w:lineRule="exact"/>
              <w:rPr>
                <w:sz w:val="20"/>
                <w:szCs w:val="20"/>
                <w:color w:val="auto"/>
              </w:rPr>
            </w:pPr>
            <w:r>
              <w:rPr>
                <w:rFonts w:ascii="Arial" w:cs="Arial" w:eastAsia="Arial" w:hAnsi="Arial"/>
                <w:sz w:val="16"/>
                <w:szCs w:val="16"/>
                <w:color w:val="auto"/>
                <w:w w:val="96"/>
              </w:rPr>
              <w:t>Premiums earned, net (Net of ceded premiums of $120 and $126 for the</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60" w:type="dxa"/>
            <w:vAlign w:val="bottom"/>
          </w:tcPr>
          <w:p>
            <w:pPr>
              <w:ind w:left="360"/>
              <w:spacing w:after="0" w:line="161" w:lineRule="exact"/>
              <w:rPr>
                <w:sz w:val="20"/>
                <w:szCs w:val="20"/>
                <w:color w:val="auto"/>
              </w:rPr>
            </w:pPr>
            <w:r>
              <w:rPr>
                <w:rFonts w:ascii="Arial" w:cs="Arial" w:eastAsia="Arial" w:hAnsi="Arial"/>
                <w:sz w:val="16"/>
                <w:szCs w:val="16"/>
                <w:color w:val="auto"/>
                <w:w w:val="94"/>
              </w:rPr>
              <w:t>three months ended September 30, 2021 and 2020, respectively; net of</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60" w:type="dxa"/>
            <w:vAlign w:val="bottom"/>
          </w:tcPr>
          <w:p>
            <w:pPr>
              <w:ind w:left="360"/>
              <w:spacing w:after="0" w:line="161" w:lineRule="exact"/>
              <w:rPr>
                <w:sz w:val="20"/>
                <w:szCs w:val="20"/>
                <w:color w:val="auto"/>
              </w:rPr>
            </w:pPr>
            <w:r>
              <w:rPr>
                <w:rFonts w:ascii="Arial" w:cs="Arial" w:eastAsia="Arial" w:hAnsi="Arial"/>
                <w:sz w:val="16"/>
                <w:szCs w:val="16"/>
                <w:color w:val="auto"/>
              </w:rPr>
              <w:t>ceded premiums of $370 and $383 for the nine months ended</w:t>
            </w:r>
          </w:p>
        </w:tc>
        <w:tc>
          <w:tcPr>
            <w:tcW w:w="340" w:type="dxa"/>
            <w:vAlign w:val="bottom"/>
            <w:vMerge w:val="restart"/>
          </w:tcPr>
          <w:p>
            <w:pPr>
              <w:jc w:val="right"/>
              <w:ind w:right="158"/>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203,657</w:t>
            </w:r>
          </w:p>
        </w:tc>
        <w:tc>
          <w:tcPr>
            <w:tcW w:w="100" w:type="dxa"/>
            <w:vAlign w:val="bottom"/>
          </w:tcPr>
          <w:p>
            <w:pPr>
              <w:spacing w:after="0"/>
              <w:rPr>
                <w:sz w:val="13"/>
                <w:szCs w:val="13"/>
                <w:color w:val="auto"/>
              </w:rPr>
            </w:pPr>
          </w:p>
        </w:tc>
        <w:tc>
          <w:tcPr>
            <w:tcW w:w="540" w:type="dxa"/>
            <w:vAlign w:val="bottom"/>
            <w:vMerge w:val="restart"/>
          </w:tcPr>
          <w:p>
            <w:pPr>
              <w:jc w:val="right"/>
              <w:ind w:right="358"/>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167,075</w:t>
            </w:r>
          </w:p>
        </w:tc>
        <w:tc>
          <w:tcPr>
            <w:tcW w:w="100" w:type="dxa"/>
            <w:vAlign w:val="bottom"/>
          </w:tcPr>
          <w:p>
            <w:pPr>
              <w:spacing w:after="0"/>
              <w:rPr>
                <w:sz w:val="13"/>
                <w:szCs w:val="13"/>
                <w:color w:val="auto"/>
              </w:rPr>
            </w:pPr>
          </w:p>
        </w:tc>
        <w:tc>
          <w:tcPr>
            <w:tcW w:w="320" w:type="dxa"/>
            <w:vAlign w:val="bottom"/>
            <w:vMerge w:val="restart"/>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598,390</w:t>
            </w:r>
          </w:p>
        </w:tc>
        <w:tc>
          <w:tcPr>
            <w:tcW w:w="100" w:type="dxa"/>
            <w:vAlign w:val="bottom"/>
          </w:tcPr>
          <w:p>
            <w:pPr>
              <w:spacing w:after="0"/>
              <w:rPr>
                <w:sz w:val="13"/>
                <w:szCs w:val="13"/>
                <w:color w:val="auto"/>
              </w:rPr>
            </w:pPr>
          </w:p>
        </w:tc>
        <w:tc>
          <w:tcPr>
            <w:tcW w:w="560" w:type="dxa"/>
            <w:vAlign w:val="bottom"/>
            <w:vMerge w:val="restart"/>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501,100</w:t>
            </w:r>
          </w:p>
        </w:tc>
        <w:tc>
          <w:tcPr>
            <w:tcW w:w="0" w:type="dxa"/>
            <w:vAlign w:val="bottom"/>
          </w:tcPr>
          <w:p>
            <w:pPr>
              <w:spacing w:after="0"/>
              <w:rPr>
                <w:sz w:val="1"/>
                <w:szCs w:val="1"/>
                <w:color w:val="auto"/>
              </w:rPr>
            </w:pPr>
          </w:p>
        </w:tc>
      </w:tr>
      <w:tr>
        <w:trPr>
          <w:trHeight w:val="210"/>
        </w:trPr>
        <w:tc>
          <w:tcPr>
            <w:tcW w:w="5160" w:type="dxa"/>
            <w:vAlign w:val="bottom"/>
          </w:tcPr>
          <w:p>
            <w:pPr>
              <w:ind w:left="360"/>
              <w:spacing w:after="0"/>
              <w:rPr>
                <w:sz w:val="20"/>
                <w:szCs w:val="20"/>
                <w:color w:val="auto"/>
              </w:rPr>
            </w:pPr>
            <w:r>
              <w:rPr>
                <w:rFonts w:ascii="Arial" w:cs="Arial" w:eastAsia="Arial" w:hAnsi="Arial"/>
                <w:sz w:val="16"/>
                <w:szCs w:val="16"/>
                <w:color w:val="auto"/>
              </w:rPr>
              <w:t>September 30, 2021 and 2020, respectively)</w:t>
            </w: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Contracting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427,163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1,039,960</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506,655</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Arial" w:cs="Arial" w:eastAsia="Arial" w:hAnsi="Arial"/>
                <w:sz w:val="16"/>
                <w:szCs w:val="16"/>
                <w:color w:val="auto"/>
              </w:rPr>
              <w:t>Net medical claims incurred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436,422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144,846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1,109,375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410,540</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Salaries and benefits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57,339</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45,749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79,798</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deficiency reserve expense (benefit)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576,416</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190,687</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1,490,163</w:t>
            </w: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531,733</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(149,253)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(450,203)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(25,078)</w:t>
            </w:r>
          </w:p>
        </w:tc>
        <w:tc>
          <w:tcPr>
            <w:tcW w:w="0" w:type="dxa"/>
            <w:vAlign w:val="bottom"/>
          </w:tcPr>
          <w:p>
            <w:pPr>
              <w:spacing w:after="0"/>
              <w:rPr>
                <w:sz w:val="1"/>
                <w:szCs w:val="1"/>
                <w:color w:val="auto"/>
              </w:rPr>
            </w:pPr>
          </w:p>
        </w:tc>
      </w:tr>
      <w:tr>
        <w:trPr>
          <w:trHeight w:val="136"/>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warrants payable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31,903</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25,560</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notes and securities discounts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14,935</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Gain on derivative</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(87,475)</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income</w:t>
            </w: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line="210" w:lineRule="exact"/>
              <w:rPr>
                <w:sz w:val="20"/>
                <w:szCs w:val="20"/>
                <w:color w:val="auto"/>
              </w:rPr>
            </w:pPr>
            <w:r>
              <w:rPr>
                <w:rFonts w:ascii="Arial" w:cs="Arial" w:eastAsia="Arial" w:hAnsi="Arial"/>
                <w:sz w:val="16"/>
                <w:szCs w:val="16"/>
                <w:color w:val="auto"/>
                <w:w w:val="95"/>
              </w:rPr>
              <w:t xml:space="preserve">Net (loss) income per share attributable to common stockholders – basic </w:t>
            </w:r>
            <w:r>
              <w:rPr>
                <w:rFonts w:ascii="Arial" w:cs="Arial" w:eastAsia="Arial" w:hAnsi="Arial"/>
                <w:sz w:val="21"/>
                <w:szCs w:val="21"/>
                <w:color w:val="auto"/>
                <w:w w:val="95"/>
                <w:vertAlign w:val="superscript"/>
              </w:rPr>
              <w:t>(1)</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18"/>
                <w:szCs w:val="18"/>
                <w:color w:val="auto"/>
              </w:rPr>
            </w:pPr>
          </w:p>
        </w:tc>
        <w:tc>
          <w:tcPr>
            <w:tcW w:w="560" w:type="dxa"/>
            <w:vAlign w:val="bottom"/>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w w:val="94"/>
              </w:rPr>
              <w:t xml:space="preserve">Net (loss) income per share attributable to common stockholders – diluted </w:t>
            </w:r>
            <w:r>
              <w:rPr>
                <w:rFonts w:ascii="Arial" w:cs="Arial" w:eastAsia="Arial" w:hAnsi="Arial"/>
                <w:sz w:val="21"/>
                <w:szCs w:val="21"/>
                <w:color w:val="auto"/>
                <w:w w:val="94"/>
                <w:vertAlign w:val="superscript"/>
              </w:rPr>
              <w:t>(1)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6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Basic weighted average number of common shares and common share</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414,572,706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88,863,244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410,417,493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88,616,116</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160"/>
              <w:spacing w:after="0" w:line="210" w:lineRule="exact"/>
              <w:rPr>
                <w:sz w:val="20"/>
                <w:szCs w:val="20"/>
                <w:color w:val="auto"/>
              </w:rPr>
            </w:pPr>
            <w:r>
              <w:rPr>
                <w:rFonts w:ascii="Arial" w:cs="Arial" w:eastAsia="Arial" w:hAnsi="Arial"/>
                <w:sz w:val="16"/>
                <w:szCs w:val="16"/>
                <w:color w:val="auto"/>
              </w:rPr>
              <w:t xml:space="preserve">equivalents outstanding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60" w:type="dxa"/>
            <w:vAlign w:val="bottom"/>
          </w:tcPr>
          <w:p>
            <w:pPr>
              <w:ind w:left="20"/>
              <w:spacing w:after="0" w:line="161" w:lineRule="exact"/>
              <w:rPr>
                <w:sz w:val="20"/>
                <w:szCs w:val="20"/>
                <w:color w:val="auto"/>
              </w:rPr>
            </w:pPr>
            <w:r>
              <w:rPr>
                <w:rFonts w:ascii="Arial" w:cs="Arial" w:eastAsia="Arial" w:hAnsi="Arial"/>
                <w:sz w:val="16"/>
                <w:szCs w:val="16"/>
                <w:color w:val="auto"/>
                <w:w w:val="99"/>
              </w:rPr>
              <w:t>Diluted weighted average number of common shares and common share</w:t>
            </w: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414,572,706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w w:val="92"/>
              </w:rPr>
              <w:t>248,133,335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410,417,493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9"/>
              </w:rPr>
              <w:t>88,616,116</w:t>
            </w:r>
          </w:p>
        </w:tc>
        <w:tc>
          <w:tcPr>
            <w:tcW w:w="0" w:type="dxa"/>
            <w:vAlign w:val="bottom"/>
          </w:tcPr>
          <w:p>
            <w:pPr>
              <w:spacing w:after="0"/>
              <w:rPr>
                <w:sz w:val="1"/>
                <w:szCs w:val="1"/>
                <w:color w:val="auto"/>
              </w:rPr>
            </w:pPr>
          </w:p>
        </w:tc>
      </w:tr>
      <w:tr>
        <w:trPr>
          <w:trHeight w:val="210"/>
        </w:trPr>
        <w:tc>
          <w:tcPr>
            <w:tcW w:w="5160" w:type="dxa"/>
            <w:vAlign w:val="bottom"/>
          </w:tcPr>
          <w:p>
            <w:pPr>
              <w:ind w:left="160"/>
              <w:spacing w:after="0" w:line="210" w:lineRule="exact"/>
              <w:rPr>
                <w:sz w:val="20"/>
                <w:szCs w:val="20"/>
                <w:color w:val="auto"/>
              </w:rPr>
            </w:pPr>
            <w:r>
              <w:rPr>
                <w:rFonts w:ascii="Arial" w:cs="Arial" w:eastAsia="Arial" w:hAnsi="Arial"/>
                <w:sz w:val="16"/>
                <w:szCs w:val="16"/>
                <w:color w:val="auto"/>
              </w:rPr>
              <w:t xml:space="preserve">equivalents outstanding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51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Unrealized (loss) gain on available-for-sale investments</w:t>
            </w: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(401,175)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-4552315</wp:posOffset>
            </wp:positionV>
            <wp:extent cx="6286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5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120" w:hanging="301"/>
        <w:spacing w:after="0" w:line="268" w:lineRule="auto"/>
        <w:tabs>
          <w:tab w:leader="none" w:pos="294" w:val="left"/>
        </w:tabs>
        <w:numPr>
          <w:ilvl w:val="0"/>
          <w:numId w:val="115"/>
        </w:numPr>
        <w:rPr>
          <w:rFonts w:ascii="Arial" w:cs="Arial" w:eastAsia="Arial" w:hAnsi="Arial"/>
          <w:sz w:val="12"/>
          <w:szCs w:val="12"/>
          <w:color w:val="auto"/>
        </w:rPr>
      </w:pPr>
      <w:r>
        <w:rPr>
          <w:rFonts w:ascii="Arial" w:cs="Arial" w:eastAsia="Arial" w:hAnsi="Arial"/>
          <w:sz w:val="12"/>
          <w:szCs w:val="12"/>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 Because the Corporation had a net loss during the three and nine months ended September 30, 2021, and a net loss during the nine months ended September 30,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CHANGES IN CONVERTIBLE PREFERRED STOCK AND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381"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Accumulated</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center"/>
              <w:ind w:right="10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540" w:type="dxa"/>
            <w:vAlign w:val="bottom"/>
            <w:tcBorders>
              <w:right w:val="single" w:sz="8" w:color="auto"/>
            </w:tcBorders>
            <w:gridSpan w:val="4"/>
            <w:vMerge w:val="restart"/>
          </w:tcPr>
          <w:p>
            <w:pPr>
              <w:jc w:val="right"/>
              <w:ind w:right="163"/>
              <w:spacing w:after="0"/>
              <w:rPr>
                <w:sz w:val="20"/>
                <w:szCs w:val="20"/>
                <w:color w:val="auto"/>
              </w:rPr>
            </w:pPr>
            <w:r>
              <w:rPr>
                <w:rFonts w:ascii="Arial" w:cs="Arial" w:eastAsia="Arial" w:hAnsi="Arial"/>
                <w:sz w:val="10"/>
                <w:szCs w:val="10"/>
                <w:b w:val="1"/>
                <w:bCs w:val="1"/>
                <w:color w:val="auto"/>
                <w:w w:val="99"/>
              </w:rPr>
              <w:t>Convertible Preferred stock</w:t>
            </w:r>
          </w:p>
        </w:tc>
        <w:tc>
          <w:tcPr>
            <w:tcW w:w="60" w:type="dxa"/>
            <w:vAlign w:val="bottom"/>
          </w:tcPr>
          <w:p>
            <w:pPr>
              <w:spacing w:after="0"/>
              <w:rPr>
                <w:sz w:val="8"/>
                <w:szCs w:val="8"/>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0"/>
                <w:szCs w:val="10"/>
                <w:b w:val="1"/>
                <w:bCs w:val="1"/>
                <w:color w:val="auto"/>
              </w:rPr>
              <w:t>Class A Common Stock</w:t>
            </w:r>
          </w:p>
        </w:tc>
        <w:tc>
          <w:tcPr>
            <w:tcW w:w="1620" w:type="dxa"/>
            <w:vAlign w:val="bottom"/>
            <w:gridSpan w:val="5"/>
            <w:vMerge w:val="restart"/>
          </w:tcPr>
          <w:p>
            <w:pPr>
              <w:ind w:left="280"/>
              <w:spacing w:after="0"/>
              <w:rPr>
                <w:sz w:val="20"/>
                <w:szCs w:val="20"/>
                <w:color w:val="auto"/>
              </w:rPr>
            </w:pPr>
            <w:r>
              <w:rPr>
                <w:rFonts w:ascii="Arial" w:cs="Arial" w:eastAsia="Arial" w:hAnsi="Arial"/>
                <w:sz w:val="10"/>
                <w:szCs w:val="10"/>
                <w:b w:val="1"/>
                <w:bCs w:val="1"/>
                <w:color w:val="auto"/>
              </w:rPr>
              <w:t>Class B Common Stock</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95"/>
              </w:rPr>
              <w:t>other</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1540" w:type="dxa"/>
            <w:vAlign w:val="bottom"/>
            <w:tcBorders>
              <w:right w:val="single" w:sz="8" w:color="auto"/>
            </w:tcBorders>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180"/>
              <w:spacing w:after="0" w:line="79" w:lineRule="exact"/>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5"/>
                <w:szCs w:val="5"/>
                <w:color w:val="auto"/>
              </w:rPr>
            </w:pPr>
          </w:p>
        </w:tc>
        <w:tc>
          <w:tcPr>
            <w:tcW w:w="720" w:type="dxa"/>
            <w:vAlign w:val="bottom"/>
            <w:gridSpan w:val="2"/>
            <w:vMerge w:val="restart"/>
          </w:tcPr>
          <w:p>
            <w:pPr>
              <w:jc w:val="center"/>
              <w:ind w:right="160"/>
              <w:spacing w:after="0" w:line="79" w:lineRule="exact"/>
              <w:rPr>
                <w:sz w:val="20"/>
                <w:szCs w:val="20"/>
                <w:color w:val="auto"/>
              </w:rPr>
            </w:pPr>
            <w:r>
              <w:rPr>
                <w:rFonts w:ascii="Arial" w:cs="Arial" w:eastAsia="Arial" w:hAnsi="Arial"/>
                <w:sz w:val="9"/>
                <w:szCs w:val="9"/>
                <w:b w:val="1"/>
                <w:bCs w:val="1"/>
                <w:color w:val="auto"/>
                <w:w w:val="99"/>
              </w:rPr>
              <w:t>Accumulated</w:t>
            </w: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jc w:val="center"/>
              <w:ind w:right="60"/>
              <w:spacing w:after="0" w:line="79" w:lineRule="exact"/>
              <w:rPr>
                <w:sz w:val="20"/>
                <w:szCs w:val="20"/>
                <w:color w:val="auto"/>
              </w:rPr>
            </w:pPr>
            <w:r>
              <w:rPr>
                <w:rFonts w:ascii="Arial" w:cs="Arial" w:eastAsia="Arial" w:hAnsi="Arial"/>
                <w:sz w:val="9"/>
                <w:szCs w:val="9"/>
                <w:b w:val="1"/>
                <w:bCs w:val="1"/>
                <w:color w:val="auto"/>
                <w:w w:val="96"/>
              </w:rPr>
              <w:t>comprehensive</w:t>
            </w:r>
          </w:p>
        </w:tc>
        <w:tc>
          <w:tcPr>
            <w:tcW w:w="780" w:type="dxa"/>
            <w:vAlign w:val="bottom"/>
            <w:gridSpan w:val="3"/>
            <w:vMerge w:val="restart"/>
          </w:tcPr>
          <w:p>
            <w:pPr>
              <w:jc w:val="center"/>
              <w:ind w:right="60"/>
              <w:spacing w:after="0" w:line="79" w:lineRule="exact"/>
              <w:rPr>
                <w:sz w:val="20"/>
                <w:szCs w:val="20"/>
                <w:color w:val="auto"/>
              </w:rPr>
            </w:pPr>
            <w:r>
              <w:rPr>
                <w:rFonts w:ascii="Arial" w:cs="Arial" w:eastAsia="Arial" w:hAnsi="Arial"/>
                <w:sz w:val="9"/>
                <w:szCs w:val="9"/>
                <w:b w:val="1"/>
                <w:bCs w:val="1"/>
                <w:color w:val="auto"/>
                <w:w w:val="99"/>
              </w:rPr>
              <w:t>Noncontrolling</w:t>
            </w:r>
          </w:p>
        </w:tc>
        <w:tc>
          <w:tcPr>
            <w:tcW w:w="700" w:type="dxa"/>
            <w:vAlign w:val="bottom"/>
            <w:gridSpan w:val="2"/>
            <w:vMerge w:val="restart"/>
          </w:tcPr>
          <w:p>
            <w:pPr>
              <w:jc w:val="center"/>
              <w:spacing w:after="0" w:line="79" w:lineRule="exact"/>
              <w:rPr>
                <w:sz w:val="20"/>
                <w:szCs w:val="20"/>
                <w:color w:val="auto"/>
              </w:rPr>
            </w:pPr>
            <w:r>
              <w:rPr>
                <w:rFonts w:ascii="Arial" w:cs="Arial" w:eastAsia="Arial" w:hAnsi="Arial"/>
                <w:sz w:val="9"/>
                <w:szCs w:val="9"/>
                <w:b w:val="1"/>
                <w:bCs w:val="1"/>
                <w:color w:val="auto"/>
                <w:w w:val="95"/>
              </w:rPr>
              <w:t>stockholders’</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w w:val="96"/>
              </w:rPr>
              <w:t>Treasury Stock</w:t>
            </w:r>
          </w:p>
        </w:tc>
        <w:tc>
          <w:tcPr>
            <w:tcW w:w="780" w:type="dxa"/>
            <w:vAlign w:val="bottom"/>
            <w:gridSpan w:val="3"/>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 xml:space="preserve">Shares </w:t>
            </w:r>
            <w:r>
              <w:rPr>
                <w:rFonts w:ascii="Arial" w:cs="Arial" w:eastAsia="Arial" w:hAnsi="Arial"/>
                <w:sz w:val="12"/>
                <w:szCs w:val="12"/>
                <w:b w:val="1"/>
                <w:bCs w:val="1"/>
                <w:color w:val="auto"/>
                <w:vertAlign w:val="superscript"/>
              </w:rPr>
              <w:t>(1)</w:t>
            </w:r>
          </w:p>
        </w:tc>
        <w:tc>
          <w:tcPr>
            <w:tcW w:w="120" w:type="dxa"/>
            <w:vAlign w:val="bottom"/>
          </w:tcPr>
          <w:p>
            <w:pPr>
              <w:spacing w:after="0"/>
              <w:rPr>
                <w:sz w:val="12"/>
                <w:szCs w:val="12"/>
                <w:color w:val="auto"/>
              </w:rPr>
            </w:pPr>
          </w:p>
        </w:tc>
        <w:tc>
          <w:tcPr>
            <w:tcW w:w="640" w:type="dxa"/>
            <w:vAlign w:val="bottom"/>
            <w:tcBorders>
              <w:right w:val="single" w:sz="8" w:color="auto"/>
            </w:tcBorders>
          </w:tcPr>
          <w:p>
            <w:pPr>
              <w:jc w:val="right"/>
              <w:ind w:right="203"/>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 xml:space="preserve">Shares </w:t>
            </w:r>
            <w:r>
              <w:rPr>
                <w:rFonts w:ascii="Arial" w:cs="Arial" w:eastAsia="Arial" w:hAnsi="Arial"/>
                <w:sz w:val="12"/>
                <w:szCs w:val="12"/>
                <w:b w:val="1"/>
                <w:bCs w:val="1"/>
                <w:color w:val="auto"/>
                <w:vertAlign w:val="superscript"/>
              </w:rPr>
              <w:t>(1)</w:t>
            </w:r>
          </w:p>
        </w:tc>
        <w:tc>
          <w:tcPr>
            <w:tcW w:w="14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7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2"/>
              </w:rPr>
              <w:t>paid-in capital</w:t>
            </w:r>
          </w:p>
        </w:tc>
        <w:tc>
          <w:tcPr>
            <w:tcW w:w="6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deficit</w:t>
            </w: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6"/>
              </w:rPr>
              <w:t>income (loss)</w:t>
            </w:r>
          </w:p>
        </w:tc>
        <w:tc>
          <w:tcPr>
            <w:tcW w:w="14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interest</w:t>
            </w:r>
          </w:p>
        </w:tc>
        <w:tc>
          <w:tcPr>
            <w:tcW w:w="7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0"/>
              </w:rPr>
              <w:t>equity (deficit)</w:t>
            </w:r>
          </w:p>
        </w:tc>
        <w:tc>
          <w:tcPr>
            <w:tcW w:w="0" w:type="dxa"/>
            <w:vAlign w:val="bottom"/>
          </w:tcPr>
          <w:p>
            <w:pPr>
              <w:spacing w:after="0"/>
              <w:rPr>
                <w:sz w:val="1"/>
                <w:szCs w:val="1"/>
                <w:color w:val="auto"/>
              </w:rPr>
            </w:pPr>
          </w:p>
        </w:tc>
      </w:tr>
      <w:tr>
        <w:trPr>
          <w:trHeight w:val="153"/>
        </w:trPr>
        <w:tc>
          <w:tcPr>
            <w:tcW w:w="19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2"/>
                <w:szCs w:val="12"/>
                <w:color w:val="auto"/>
              </w:rPr>
              <w:t>Balance, June 30, 2020</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w w:val="92"/>
              </w:rPr>
              <w:t>139,444,346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447,747</w:t>
            </w:r>
          </w:p>
        </w:tc>
        <w:tc>
          <w:tcPr>
            <w:tcW w:w="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88,786,712</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407,115</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(914,392)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1,375</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(501,990)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rPr>
              <w:t>Stock issuance for exercise of stock</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3"/>
              <w:spacing w:after="0"/>
              <w:rPr>
                <w:sz w:val="20"/>
                <w:szCs w:val="20"/>
                <w:color w:val="auto"/>
              </w:rPr>
            </w:pPr>
            <w:r>
              <w:rPr>
                <w:rFonts w:ascii="Arial" w:cs="Arial" w:eastAsia="Arial" w:hAnsi="Arial"/>
                <w:sz w:val="12"/>
                <w:szCs w:val="12"/>
                <w:color w:val="auto"/>
              </w:rPr>
              <w:t>240,998</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329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329</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w w:val="92"/>
              </w:rPr>
              <w:t>options, net of early exercise liability</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92"/>
              </w:rPr>
              <w:t>Unrealized holdings loss on investment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(611)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(611)</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securities, available-for-sale</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12,758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12,758</w:t>
            </w:r>
          </w:p>
        </w:tc>
        <w:tc>
          <w:tcPr>
            <w:tcW w:w="0" w:type="dxa"/>
            <w:vAlign w:val="bottom"/>
          </w:tcPr>
          <w:p>
            <w:pPr>
              <w:spacing w:after="0"/>
              <w:rPr>
                <w:sz w:val="1"/>
                <w:szCs w:val="1"/>
                <w:color w:val="auto"/>
              </w:rPr>
            </w:pPr>
          </w:p>
        </w:tc>
      </w:tr>
      <w:tr>
        <w:trPr>
          <w:trHeight w:val="146"/>
        </w:trPr>
        <w:tc>
          <w:tcPr>
            <w:tcW w:w="1960" w:type="dxa"/>
            <w:vAlign w:val="bottom"/>
          </w:tcPr>
          <w:p>
            <w:pPr>
              <w:ind w:left="20"/>
              <w:spacing w:after="0" w:line="127" w:lineRule="exact"/>
              <w:rPr>
                <w:sz w:val="20"/>
                <w:szCs w:val="20"/>
                <w:color w:val="auto"/>
              </w:rPr>
            </w:pPr>
            <w:r>
              <w:rPr>
                <w:rFonts w:ascii="Arial" w:cs="Arial" w:eastAsia="Arial" w:hAnsi="Arial"/>
                <w:sz w:val="12"/>
                <w:szCs w:val="12"/>
                <w:color w:val="auto"/>
              </w:rPr>
              <w:t>Balance, September 30, 2020</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2"/>
              </w:rPr>
              <w:t>139,444,346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2"/>
                <w:szCs w:val="12"/>
                <w:color w:val="auto"/>
              </w:rPr>
              <w:t>447,747</w:t>
            </w: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89,027,710</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408,944</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(901,634)</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2"/>
                <w:szCs w:val="12"/>
                <w:color w:val="auto"/>
              </w:rPr>
              <w:t>764</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(488,014)</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96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Balance, June 30, 2021</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148,560,977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w w:val="95"/>
              </w:rPr>
              <w:t>259,744,474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w w:val="97"/>
              </w:rPr>
              <w:t>1,706,334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(1,395,010)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314,855</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rPr>
              <w:t>Stock issuance for exercise of stock</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2,893,802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3,830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3,830</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w w:val="92"/>
              </w:rPr>
              <w:t>options, net of early exercise liability</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46,803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46,803</w:t>
            </w:r>
          </w:p>
        </w:tc>
        <w:tc>
          <w:tcPr>
            <w:tcW w:w="0" w:type="dxa"/>
            <w:vAlign w:val="bottom"/>
          </w:tcPr>
          <w:p>
            <w:pPr>
              <w:spacing w:after="0"/>
              <w:rPr>
                <w:sz w:val="1"/>
                <w:szCs w:val="1"/>
                <w:color w:val="auto"/>
              </w:rPr>
            </w:pPr>
          </w:p>
        </w:tc>
      </w:tr>
      <w:tr>
        <w:trPr>
          <w:trHeight w:val="154"/>
        </w:trPr>
        <w:tc>
          <w:tcPr>
            <w:tcW w:w="1960" w:type="dxa"/>
            <w:vAlign w:val="bottom"/>
          </w:tcPr>
          <w:p>
            <w:pPr>
              <w:ind w:left="20"/>
              <w:spacing w:after="0"/>
              <w:rPr>
                <w:sz w:val="20"/>
                <w:szCs w:val="20"/>
                <w:color w:val="auto"/>
              </w:rPr>
            </w:pPr>
            <w:r>
              <w:rPr>
                <w:rFonts w:ascii="Arial" w:cs="Arial" w:eastAsia="Arial" w:hAnsi="Arial"/>
                <w:sz w:val="12"/>
                <w:szCs w:val="12"/>
                <w:color w:val="auto"/>
              </w:rPr>
              <w:t>Vested restricted stock units</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20,158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5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w w:val="91"/>
              </w:rPr>
              <w:t>Unrealized holdings gain on investment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4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securities, available-for-sale</w:t>
            </w: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88"/>
              </w:rPr>
              <w:t>Conversion from Class B Common Stock</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4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w w:val="95"/>
              </w:rPr>
              <w:t>117,425,763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w w:val="88"/>
              </w:rPr>
              <w:t>(117,425,763)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to Class A Common Stock</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w w:val="98"/>
              </w:rPr>
              <w:t>Issuance of common stock related to</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960" w:type="dxa"/>
            <w:vAlign w:val="bottom"/>
            <w:shd w:val="clear" w:color="auto" w:fill="CCEEFF"/>
          </w:tcPr>
          <w:p>
            <w:pPr>
              <w:ind w:left="160"/>
              <w:spacing w:after="0" w:line="111" w:lineRule="exact"/>
              <w:rPr>
                <w:sz w:val="20"/>
                <w:szCs w:val="20"/>
                <w:color w:val="auto"/>
              </w:rPr>
            </w:pPr>
            <w:r>
              <w:rPr>
                <w:rFonts w:ascii="Arial" w:cs="Arial" w:eastAsia="Arial" w:hAnsi="Arial"/>
                <w:sz w:val="12"/>
                <w:szCs w:val="12"/>
                <w:color w:val="auto"/>
              </w:rPr>
              <w:t>exercises of Public and Private</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9,408,264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81,672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81,673</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Placement Warrants</w:t>
            </w: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60" w:type="dxa"/>
            <w:vAlign w:val="bottom"/>
          </w:tcPr>
          <w:p>
            <w:pPr>
              <w:ind w:left="20"/>
              <w:spacing w:after="0"/>
              <w:rPr>
                <w:sz w:val="20"/>
                <w:szCs w:val="20"/>
                <w:color w:val="auto"/>
              </w:rPr>
            </w:pPr>
            <w:r>
              <w:rPr>
                <w:rFonts w:ascii="Arial" w:cs="Arial" w:eastAsia="Arial" w:hAnsi="Arial"/>
                <w:sz w:val="12"/>
                <w:szCs w:val="12"/>
                <w:color w:val="auto"/>
              </w:rPr>
              <w:t>Treasury stock acquired</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40" w:type="dxa"/>
            <w:vAlign w:val="bottom"/>
          </w:tcPr>
          <w:p>
            <w:pPr>
              <w:ind w:left="160"/>
              <w:spacing w:after="0"/>
              <w:rPr>
                <w:sz w:val="20"/>
                <w:szCs w:val="20"/>
                <w:color w:val="auto"/>
              </w:rPr>
            </w:pPr>
            <w:r>
              <w:rPr>
                <w:rFonts w:ascii="Arial" w:cs="Arial" w:eastAsia="Arial" w:hAnsi="Arial"/>
                <w:sz w:val="12"/>
                <w:szCs w:val="12"/>
                <w:color w:val="auto"/>
                <w:w w:val="92"/>
              </w:rPr>
              <w:t>(147)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(34,527)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(34,527)</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line="127" w:lineRule="exact"/>
              <w:rPr>
                <w:sz w:val="20"/>
                <w:szCs w:val="20"/>
                <w:color w:val="auto"/>
              </w:rPr>
            </w:pPr>
            <w:r>
              <w:rPr>
                <w:rFonts w:ascii="Arial" w:cs="Arial" w:eastAsia="Arial" w:hAnsi="Arial"/>
                <w:sz w:val="12"/>
                <w:szCs w:val="12"/>
                <w:color w:val="auto"/>
              </w:rPr>
              <w:t>Balance, September 30, 2021</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5"/>
              </w:rPr>
              <w:t>278,308,964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5"/>
              </w:rPr>
              <w:t>142,318,711</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7"/>
              </w:rPr>
              <w:t>1,838,639</w:t>
            </w:r>
          </w:p>
        </w:tc>
        <w:tc>
          <w:tcPr>
            <w:tcW w:w="8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(1,429,537)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w w:val="92"/>
              </w:rPr>
              <w:t>(147)</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(610)</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412,290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120" w:hanging="301"/>
        <w:spacing w:after="0" w:line="247" w:lineRule="auto"/>
        <w:tabs>
          <w:tab w:leader="none" w:pos="29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CHANGES IN CONVERTIBLE PREFERRED STOCK AND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 except share amounts)</w:t>
      </w:r>
    </w:p>
    <w:p>
      <w:pPr>
        <w:spacing w:after="0" w:line="200" w:lineRule="exact"/>
        <w:rPr>
          <w:sz w:val="20"/>
          <w:szCs w:val="20"/>
          <w:color w:val="auto"/>
        </w:rPr>
      </w:pPr>
    </w:p>
    <w:p>
      <w:pPr>
        <w:spacing w:after="0" w:line="381"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Accumulated</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center"/>
              <w:ind w:right="10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9"/>
        </w:trPr>
        <w:tc>
          <w:tcPr>
            <w:tcW w:w="1960" w:type="dxa"/>
            <w:vAlign w:val="bottom"/>
          </w:tcPr>
          <w:p>
            <w:pPr>
              <w:spacing w:after="0"/>
              <w:rPr>
                <w:sz w:val="8"/>
                <w:szCs w:val="8"/>
                <w:color w:val="auto"/>
              </w:rPr>
            </w:pPr>
          </w:p>
        </w:tc>
        <w:tc>
          <w:tcPr>
            <w:tcW w:w="1560" w:type="dxa"/>
            <w:vAlign w:val="bottom"/>
            <w:tcBorders>
              <w:right w:val="single" w:sz="8" w:color="auto"/>
            </w:tcBorders>
            <w:gridSpan w:val="5"/>
            <w:vMerge w:val="restart"/>
          </w:tcPr>
          <w:p>
            <w:pPr>
              <w:ind w:left="140"/>
              <w:spacing w:after="0"/>
              <w:rPr>
                <w:sz w:val="20"/>
                <w:szCs w:val="20"/>
                <w:color w:val="auto"/>
              </w:rPr>
            </w:pPr>
            <w:r>
              <w:rPr>
                <w:rFonts w:ascii="Arial" w:cs="Arial" w:eastAsia="Arial" w:hAnsi="Arial"/>
                <w:sz w:val="10"/>
                <w:szCs w:val="10"/>
                <w:b w:val="1"/>
                <w:bCs w:val="1"/>
                <w:color w:val="auto"/>
              </w:rPr>
              <w:t>Convertible Preferred stock</w:t>
            </w:r>
          </w:p>
        </w:tc>
        <w:tc>
          <w:tcPr>
            <w:tcW w:w="60" w:type="dxa"/>
            <w:vAlign w:val="bottom"/>
          </w:tcPr>
          <w:p>
            <w:pPr>
              <w:spacing w:after="0"/>
              <w:rPr>
                <w:sz w:val="8"/>
                <w:szCs w:val="8"/>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0"/>
                <w:szCs w:val="10"/>
                <w:b w:val="1"/>
                <w:bCs w:val="1"/>
                <w:color w:val="auto"/>
              </w:rPr>
              <w:t>Class A Common Stock</w:t>
            </w:r>
          </w:p>
        </w:tc>
        <w:tc>
          <w:tcPr>
            <w:tcW w:w="1600" w:type="dxa"/>
            <w:vAlign w:val="bottom"/>
            <w:gridSpan w:val="5"/>
            <w:vMerge w:val="restart"/>
          </w:tcPr>
          <w:p>
            <w:pPr>
              <w:ind w:left="260"/>
              <w:spacing w:after="0"/>
              <w:rPr>
                <w:sz w:val="20"/>
                <w:szCs w:val="20"/>
                <w:color w:val="auto"/>
              </w:rPr>
            </w:pPr>
            <w:r>
              <w:rPr>
                <w:rFonts w:ascii="Arial" w:cs="Arial" w:eastAsia="Arial" w:hAnsi="Arial"/>
                <w:sz w:val="10"/>
                <w:szCs w:val="10"/>
                <w:b w:val="1"/>
                <w:bCs w:val="1"/>
                <w:color w:val="auto"/>
              </w:rPr>
              <w:t>Class B Common Stock</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95"/>
              </w:rPr>
              <w:t>other</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1560" w:type="dxa"/>
            <w:vAlign w:val="bottom"/>
            <w:tcBorders>
              <w:right w:val="single" w:sz="8" w:color="auto"/>
            </w:tcBorders>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180"/>
              <w:spacing w:after="0" w:line="79" w:lineRule="exact"/>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5"/>
                <w:szCs w:val="5"/>
                <w:color w:val="auto"/>
              </w:rPr>
            </w:pPr>
          </w:p>
        </w:tc>
        <w:tc>
          <w:tcPr>
            <w:tcW w:w="720" w:type="dxa"/>
            <w:vAlign w:val="bottom"/>
            <w:gridSpan w:val="2"/>
            <w:vMerge w:val="restart"/>
          </w:tcPr>
          <w:p>
            <w:pPr>
              <w:spacing w:after="0" w:line="79" w:lineRule="exact"/>
              <w:rPr>
                <w:sz w:val="20"/>
                <w:szCs w:val="20"/>
                <w:color w:val="auto"/>
              </w:rPr>
            </w:pPr>
            <w:r>
              <w:rPr>
                <w:rFonts w:ascii="Arial" w:cs="Arial" w:eastAsia="Arial" w:hAnsi="Arial"/>
                <w:sz w:val="9"/>
                <w:szCs w:val="9"/>
                <w:b w:val="1"/>
                <w:bCs w:val="1"/>
                <w:color w:val="auto"/>
              </w:rPr>
              <w:t>Accumulated</w:t>
            </w: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jc w:val="center"/>
              <w:ind w:right="60"/>
              <w:spacing w:after="0" w:line="79" w:lineRule="exact"/>
              <w:rPr>
                <w:sz w:val="20"/>
                <w:szCs w:val="20"/>
                <w:color w:val="auto"/>
              </w:rPr>
            </w:pPr>
            <w:r>
              <w:rPr>
                <w:rFonts w:ascii="Arial" w:cs="Arial" w:eastAsia="Arial" w:hAnsi="Arial"/>
                <w:sz w:val="9"/>
                <w:szCs w:val="9"/>
                <w:b w:val="1"/>
                <w:bCs w:val="1"/>
                <w:color w:val="auto"/>
                <w:w w:val="96"/>
              </w:rPr>
              <w:t>comprehensive</w:t>
            </w:r>
          </w:p>
        </w:tc>
        <w:tc>
          <w:tcPr>
            <w:tcW w:w="780" w:type="dxa"/>
            <w:vAlign w:val="bottom"/>
            <w:gridSpan w:val="3"/>
            <w:vMerge w:val="restart"/>
          </w:tcPr>
          <w:p>
            <w:pPr>
              <w:jc w:val="center"/>
              <w:ind w:right="60"/>
              <w:spacing w:after="0" w:line="79" w:lineRule="exact"/>
              <w:rPr>
                <w:sz w:val="20"/>
                <w:szCs w:val="20"/>
                <w:color w:val="auto"/>
              </w:rPr>
            </w:pPr>
            <w:r>
              <w:rPr>
                <w:rFonts w:ascii="Arial" w:cs="Arial" w:eastAsia="Arial" w:hAnsi="Arial"/>
                <w:sz w:val="9"/>
                <w:szCs w:val="9"/>
                <w:b w:val="1"/>
                <w:bCs w:val="1"/>
                <w:color w:val="auto"/>
                <w:w w:val="99"/>
              </w:rPr>
              <w:t>Noncontrolling</w:t>
            </w:r>
          </w:p>
        </w:tc>
        <w:tc>
          <w:tcPr>
            <w:tcW w:w="700" w:type="dxa"/>
            <w:vAlign w:val="bottom"/>
            <w:gridSpan w:val="2"/>
            <w:vMerge w:val="restart"/>
          </w:tcPr>
          <w:p>
            <w:pPr>
              <w:jc w:val="center"/>
              <w:spacing w:after="0" w:line="79" w:lineRule="exact"/>
              <w:rPr>
                <w:sz w:val="20"/>
                <w:szCs w:val="20"/>
                <w:color w:val="auto"/>
              </w:rPr>
            </w:pPr>
            <w:r>
              <w:rPr>
                <w:rFonts w:ascii="Arial" w:cs="Arial" w:eastAsia="Arial" w:hAnsi="Arial"/>
                <w:sz w:val="9"/>
                <w:szCs w:val="9"/>
                <w:b w:val="1"/>
                <w:bCs w:val="1"/>
                <w:color w:val="auto"/>
                <w:w w:val="95"/>
              </w:rPr>
              <w:t>stockholders’</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w w:val="96"/>
              </w:rPr>
              <w:t>Treasury Stock</w:t>
            </w:r>
          </w:p>
        </w:tc>
        <w:tc>
          <w:tcPr>
            <w:tcW w:w="780" w:type="dxa"/>
            <w:vAlign w:val="bottom"/>
            <w:gridSpan w:val="3"/>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 xml:space="preserve">Shares </w:t>
            </w:r>
            <w:r>
              <w:rPr>
                <w:rFonts w:ascii="Arial" w:cs="Arial" w:eastAsia="Arial" w:hAnsi="Arial"/>
                <w:sz w:val="12"/>
                <w:szCs w:val="12"/>
                <w:b w:val="1"/>
                <w:bCs w:val="1"/>
                <w:color w:val="auto"/>
                <w:vertAlign w:val="superscript"/>
              </w:rPr>
              <w:t>(1)</w:t>
            </w:r>
          </w:p>
        </w:tc>
        <w:tc>
          <w:tcPr>
            <w:tcW w:w="120" w:type="dxa"/>
            <w:vAlign w:val="bottom"/>
          </w:tcPr>
          <w:p>
            <w:pPr>
              <w:spacing w:after="0"/>
              <w:rPr>
                <w:sz w:val="12"/>
                <w:szCs w:val="12"/>
                <w:color w:val="auto"/>
              </w:rPr>
            </w:pPr>
          </w:p>
        </w:tc>
        <w:tc>
          <w:tcPr>
            <w:tcW w:w="660" w:type="dxa"/>
            <w:vAlign w:val="bottom"/>
            <w:tcBorders>
              <w:right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 xml:space="preserve">Shares </w:t>
            </w:r>
            <w:r>
              <w:rPr>
                <w:rFonts w:ascii="Arial" w:cs="Arial" w:eastAsia="Arial" w:hAnsi="Arial"/>
                <w:sz w:val="12"/>
                <w:szCs w:val="12"/>
                <w:b w:val="1"/>
                <w:bCs w:val="1"/>
                <w:color w:val="auto"/>
                <w:vertAlign w:val="superscript"/>
              </w:rPr>
              <w:t>(1)</w:t>
            </w:r>
          </w:p>
        </w:tc>
        <w:tc>
          <w:tcPr>
            <w:tcW w:w="14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7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2"/>
              </w:rPr>
              <w:t>paid-in capital</w:t>
            </w:r>
          </w:p>
        </w:tc>
        <w:tc>
          <w:tcPr>
            <w:tcW w:w="6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deficit</w:t>
            </w: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6"/>
              </w:rPr>
              <w:t>income (loss)</w:t>
            </w:r>
          </w:p>
        </w:tc>
        <w:tc>
          <w:tcPr>
            <w:tcW w:w="14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interest</w:t>
            </w:r>
          </w:p>
        </w:tc>
        <w:tc>
          <w:tcPr>
            <w:tcW w:w="7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0"/>
              </w:rPr>
              <w:t>equity (deficit)</w:t>
            </w:r>
          </w:p>
        </w:tc>
        <w:tc>
          <w:tcPr>
            <w:tcW w:w="0" w:type="dxa"/>
            <w:vAlign w:val="bottom"/>
          </w:tcPr>
          <w:p>
            <w:pPr>
              <w:spacing w:after="0"/>
              <w:rPr>
                <w:sz w:val="1"/>
                <w:szCs w:val="1"/>
                <w:color w:val="auto"/>
              </w:rPr>
            </w:pPr>
          </w:p>
        </w:tc>
      </w:tr>
      <w:tr>
        <w:trPr>
          <w:trHeight w:val="153"/>
        </w:trPr>
        <w:tc>
          <w:tcPr>
            <w:tcW w:w="196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2"/>
                <w:szCs w:val="12"/>
                <w:color w:val="auto"/>
              </w:rPr>
              <w:t>Balance,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139,444,346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447,747</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88,279,119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403,041</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(891,633)</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46</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(488,537)</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rPr>
              <w:t>Stock issuance for exercise of stock</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748,591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954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w w:val="92"/>
              </w:rPr>
              <w:t>options, net of early exercise liability</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4,949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4,949</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91"/>
              </w:rPr>
              <w:t>Unrealized holdings gain on investment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2"/>
                <w:szCs w:val="12"/>
                <w:color w:val="auto"/>
              </w:rPr>
              <w:t>718</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718</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securities, available-for-sale</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 issued</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3,903</w:t>
            </w:r>
          </w:p>
        </w:tc>
        <w:tc>
          <w:tcPr>
            <w:tcW w:w="0" w:type="dxa"/>
            <w:vAlign w:val="bottom"/>
          </w:tcPr>
          <w:p>
            <w:pPr>
              <w:spacing w:after="0"/>
              <w:rPr>
                <w:sz w:val="1"/>
                <w:szCs w:val="1"/>
                <w:color w:val="auto"/>
              </w:rPr>
            </w:pPr>
          </w:p>
        </w:tc>
      </w:tr>
      <w:tr>
        <w:trPr>
          <w:trHeight w:val="154"/>
        </w:trPr>
        <w:tc>
          <w:tcPr>
            <w:tcW w:w="1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(10,001)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(10,001)</w:t>
            </w:r>
          </w:p>
        </w:tc>
        <w:tc>
          <w:tcPr>
            <w:tcW w:w="0" w:type="dxa"/>
            <w:vAlign w:val="bottom"/>
          </w:tcPr>
          <w:p>
            <w:pPr>
              <w:spacing w:after="0"/>
              <w:rPr>
                <w:sz w:val="1"/>
                <w:szCs w:val="1"/>
                <w:color w:val="auto"/>
              </w:rPr>
            </w:pPr>
          </w:p>
        </w:tc>
      </w:tr>
      <w:tr>
        <w:trPr>
          <w:trHeight w:val="178"/>
        </w:trPr>
        <w:tc>
          <w:tcPr>
            <w:tcW w:w="1960" w:type="dxa"/>
            <w:vAlign w:val="bottom"/>
            <w:tcBorders>
              <w:top w:val="single" w:sz="8" w:color="CCEEFF"/>
              <w:bottom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Balance, September 30,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139,444,346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447,747</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89,027,710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408,944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(901,634)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764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(488,014)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Balance, December 31, 2020</w:t>
            </w: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960" w:type="dxa"/>
            <w:vAlign w:val="bottom"/>
            <w:tcBorders>
              <w:top w:val="single" w:sz="8" w:color="CCEEFF"/>
            </w:tcBorders>
            <w:vMerge w:val="continue"/>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w w:val="95"/>
              </w:rPr>
              <w:t>139,444,346</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rPr>
              <w:t>447,747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ind w:right="3"/>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rPr>
              <w:t>89,206,266</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2"/>
              <w:spacing w:after="0" w:line="130"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3"/>
              <w:spacing w:after="0" w:line="130" w:lineRule="exact"/>
              <w:rPr>
                <w:sz w:val="20"/>
                <w:szCs w:val="20"/>
                <w:color w:val="auto"/>
              </w:rPr>
            </w:pPr>
            <w:r>
              <w:rPr>
                <w:rFonts w:ascii="Arial" w:cs="Arial" w:eastAsia="Arial" w:hAnsi="Arial"/>
                <w:sz w:val="12"/>
                <w:szCs w:val="12"/>
                <w:color w:val="auto"/>
              </w:rPr>
              <w:t>9</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3"/>
              <w:spacing w:after="0" w:line="130" w:lineRule="exact"/>
              <w:rPr>
                <w:sz w:val="20"/>
                <w:szCs w:val="20"/>
                <w:color w:val="auto"/>
              </w:rPr>
            </w:pPr>
            <w:r>
              <w:rPr>
                <w:rFonts w:ascii="Arial" w:cs="Arial" w:eastAsia="Arial" w:hAnsi="Arial"/>
                <w:sz w:val="12"/>
                <w:szCs w:val="12"/>
                <w:color w:val="auto"/>
              </w:rPr>
              <w:t>411,867</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w w:val="97"/>
              </w:rPr>
              <w:t>(1,028,982)</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26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3"/>
              <w:spacing w:after="0" w:line="130" w:lineRule="exact"/>
              <w:rPr>
                <w:sz w:val="20"/>
                <w:szCs w:val="20"/>
                <w:color w:val="auto"/>
              </w:rPr>
            </w:pPr>
            <w:r>
              <w:rPr>
                <w:rFonts w:ascii="Arial" w:cs="Arial" w:eastAsia="Arial" w:hAnsi="Arial"/>
                <w:sz w:val="12"/>
                <w:szCs w:val="12"/>
                <w:color w:val="auto"/>
              </w:rPr>
              <w:t>10</w:t>
            </w: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5"/>
              <w:spacing w:after="0" w:line="130"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3"/>
              <w:spacing w:after="0" w:line="130" w:lineRule="exact"/>
              <w:rPr>
                <w:sz w:val="20"/>
                <w:szCs w:val="20"/>
                <w:color w:val="auto"/>
              </w:rPr>
            </w:pPr>
            <w:r>
              <w:rPr>
                <w:rFonts w:ascii="Arial" w:cs="Arial" w:eastAsia="Arial" w:hAnsi="Arial"/>
                <w:sz w:val="12"/>
                <w:szCs w:val="12"/>
                <w:color w:val="auto"/>
              </w:rPr>
              <w:t>3,903</w:t>
            </w:r>
          </w:p>
        </w:tc>
        <w:tc>
          <w:tcPr>
            <w:tcW w:w="60" w:type="dxa"/>
            <w:vAlign w:val="bottom"/>
          </w:tcPr>
          <w:p>
            <w:pPr>
              <w:spacing w:after="0"/>
              <w:rPr>
                <w:sz w:val="11"/>
                <w:szCs w:val="11"/>
                <w:color w:val="auto"/>
              </w:rPr>
            </w:pPr>
          </w:p>
        </w:tc>
        <w:tc>
          <w:tcPr>
            <w:tcW w:w="160" w:type="dxa"/>
            <w:vAlign w:val="bottom"/>
            <w:tcBorders>
              <w:top w:val="single" w:sz="8" w:color="auto"/>
            </w:tcBorders>
          </w:tcPr>
          <w:p>
            <w:pPr>
              <w:jc w:val="right"/>
              <w:ind w:right="26"/>
              <w:spacing w:after="0" w:line="130" w:lineRule="exact"/>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w w:val="97"/>
              </w:rPr>
              <w:t>(613,193)</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Stock issuance for exercise of stock</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3,859,648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5,547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5,547</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2"/>
              </w:rPr>
              <w:t>options, net of early exercise liability</w:t>
            </w: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132,542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5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132,542</w:t>
            </w: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Vested restricted stock units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20,158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92"/>
              </w:rPr>
              <w:t>Unrealized holdings loss on investment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(620)</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(620)</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securities, available-for-sale</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stock conversion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(139,444,346)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(447,747)</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139,444,346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447,733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447,747</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98"/>
              </w:rPr>
              <w:t>Issuance of common stock related to</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7,205,490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97,781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97,782</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exercises of legacy warrants</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w w:val="94"/>
              </w:rPr>
              <w:t>Convertible debt conversion and other</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75,084,703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16,052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16,059</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issuances</w:t>
            </w: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88"/>
              </w:rPr>
              <w:t>Issuance of common stock in connection</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160"/>
              <w:spacing w:after="0" w:line="111" w:lineRule="exact"/>
              <w:rPr>
                <w:sz w:val="20"/>
                <w:szCs w:val="20"/>
                <w:color w:val="auto"/>
              </w:rPr>
            </w:pPr>
            <w:r>
              <w:rPr>
                <w:rFonts w:ascii="Arial" w:cs="Arial" w:eastAsia="Arial" w:hAnsi="Arial"/>
                <w:sz w:val="12"/>
                <w:szCs w:val="12"/>
                <w:color w:val="auto"/>
                <w:w w:val="89"/>
              </w:rPr>
              <w:t>with Business Combination and PIPE</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w w:val="92"/>
              </w:rPr>
              <w:t>146,373,904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w w:val="96"/>
              </w:rPr>
              <w:t>(49,975,104)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666,232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666,242</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offering</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w w:val="88"/>
              </w:rPr>
              <w:t>Conversion from Class B Common Stock</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w w:val="92"/>
              </w:rPr>
              <w:t>118,646,990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8"/>
              </w:rPr>
              <w:t>(118,646,990)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 Class A Common Stock</w:t>
            </w: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94"/>
              </w:rPr>
              <w:t>Capital contribution for extinguishment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126,795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126,795</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of debt</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8" w:lineRule="exact"/>
              <w:rPr>
                <w:sz w:val="20"/>
                <w:szCs w:val="20"/>
                <w:color w:val="auto"/>
              </w:rPr>
            </w:pPr>
            <w:r>
              <w:rPr>
                <w:rFonts w:ascii="Arial" w:cs="Arial" w:eastAsia="Arial" w:hAnsi="Arial"/>
                <w:sz w:val="12"/>
                <w:szCs w:val="12"/>
                <w:color w:val="auto"/>
              </w:rPr>
              <w:t>Acquisition of Public and Private</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(147,582)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7"/>
              </w:rPr>
              <w:t>(147,582)</w:t>
            </w: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Placement Warrants</w:t>
            </w: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line="111" w:lineRule="exact"/>
              <w:rPr>
                <w:sz w:val="20"/>
                <w:szCs w:val="20"/>
                <w:color w:val="auto"/>
              </w:rPr>
            </w:pPr>
            <w:r>
              <w:rPr>
                <w:rFonts w:ascii="Arial" w:cs="Arial" w:eastAsia="Arial" w:hAnsi="Arial"/>
                <w:sz w:val="12"/>
                <w:szCs w:val="12"/>
                <w:color w:val="auto"/>
                <w:w w:val="98"/>
              </w:rPr>
              <w:t>Issuance of common stock related to</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160"/>
              <w:spacing w:after="0" w:line="111" w:lineRule="exact"/>
              <w:rPr>
                <w:sz w:val="20"/>
                <w:szCs w:val="20"/>
                <w:color w:val="auto"/>
              </w:rPr>
            </w:pPr>
            <w:r>
              <w:rPr>
                <w:rFonts w:ascii="Arial" w:cs="Arial" w:eastAsia="Arial" w:hAnsi="Arial"/>
                <w:sz w:val="12"/>
                <w:szCs w:val="12"/>
                <w:color w:val="auto"/>
              </w:rPr>
              <w:t>exercises of Public and Private</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2"/>
                <w:szCs w:val="12"/>
                <w:color w:val="auto"/>
              </w:rPr>
              <w:t>9,408,264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2"/>
                <w:szCs w:val="12"/>
                <w:color w:val="auto"/>
              </w:rPr>
              <w:t>81,672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50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81,673</w:t>
            </w:r>
          </w:p>
        </w:tc>
        <w:tc>
          <w:tcPr>
            <w:tcW w:w="0" w:type="dxa"/>
            <w:vAlign w:val="bottom"/>
          </w:tcPr>
          <w:p>
            <w:pPr>
              <w:spacing w:after="0"/>
              <w:rPr>
                <w:sz w:val="1"/>
                <w:szCs w:val="1"/>
                <w:color w:val="auto"/>
              </w:rPr>
            </w:pPr>
          </w:p>
        </w:tc>
      </w:tr>
      <w:tr>
        <w:trPr>
          <w:trHeight w:val="154"/>
        </w:trPr>
        <w:tc>
          <w:tcPr>
            <w:tcW w:w="1960" w:type="dxa"/>
            <w:vAlign w:val="bottom"/>
          </w:tcPr>
          <w:p>
            <w:pPr>
              <w:ind w:left="160"/>
              <w:spacing w:after="0"/>
              <w:rPr>
                <w:sz w:val="20"/>
                <w:szCs w:val="20"/>
                <w:color w:val="auto"/>
              </w:rPr>
            </w:pPr>
            <w:r>
              <w:rPr>
                <w:rFonts w:ascii="Arial" w:cs="Arial" w:eastAsia="Arial" w:hAnsi="Arial"/>
                <w:sz w:val="12"/>
                <w:szCs w:val="12"/>
                <w:color w:val="auto"/>
              </w:rPr>
              <w:t>Placement Warrants</w:t>
            </w: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Treasury stock acquired</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2"/>
              </w:rPr>
              <w:t>(147)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54"/>
        </w:trPr>
        <w:tc>
          <w:tcPr>
            <w:tcW w:w="1960" w:type="dxa"/>
            <w:vAlign w:val="bottom"/>
          </w:tcPr>
          <w:p>
            <w:pPr>
              <w:ind w:left="20"/>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(400,555)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(400,555)</w:t>
            </w:r>
          </w:p>
        </w:tc>
        <w:tc>
          <w:tcPr>
            <w:tcW w:w="0" w:type="dxa"/>
            <w:vAlign w:val="bottom"/>
          </w:tcPr>
          <w:p>
            <w:pPr>
              <w:spacing w:after="0"/>
              <w:rPr>
                <w:sz w:val="1"/>
                <w:szCs w:val="1"/>
                <w:color w:val="auto"/>
              </w:rPr>
            </w:pPr>
          </w:p>
        </w:tc>
      </w:tr>
      <w:tr>
        <w:trPr>
          <w:trHeight w:val="178"/>
        </w:trPr>
        <w:tc>
          <w:tcPr>
            <w:tcW w:w="1960" w:type="dxa"/>
            <w:vAlign w:val="bottom"/>
            <w:tcBorders>
              <w:top w:val="single" w:sz="8" w:color="CCEEFF"/>
              <w:bottom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Balance, September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w w:val="92"/>
              </w:rPr>
              <w:t>278,308,964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142,318,711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w w:val="97"/>
              </w:rPr>
              <w:t>1,838,639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(1,429,537)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2"/>
              </w:rPr>
              <w:t>(147)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3,903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412,290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100" w:hanging="301"/>
        <w:spacing w:after="0" w:line="247" w:lineRule="auto"/>
        <w:tabs>
          <w:tab w:leader="none" w:pos="294" w:val="left"/>
        </w:tabs>
        <w:numPr>
          <w:ilvl w:val="0"/>
          <w:numId w:val="117"/>
        </w:numPr>
        <w:rPr>
          <w:rFonts w:ascii="Arial" w:cs="Arial" w:eastAsia="Arial" w:hAnsi="Arial"/>
          <w:sz w:val="13"/>
          <w:szCs w:val="13"/>
          <w:color w:val="auto"/>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3"/>
          <w:szCs w:val="13"/>
          <w:color w:val="auto"/>
        </w:rPr>
        <w:t>CLOVER HEALTH INVESTMENTS,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CONDENSED CONSOLIDATED STATEMENTS OF CASH FLOWS (Unaudited)</w:t>
      </w:r>
    </w:p>
    <w:p>
      <w:pPr>
        <w:jc w:val="center"/>
        <w:spacing w:after="0"/>
        <w:rPr>
          <w:sz w:val="20"/>
          <w:szCs w:val="20"/>
          <w:color w:val="auto"/>
        </w:rPr>
      </w:pPr>
      <w:r>
        <w:rPr>
          <w:rFonts w:ascii="Arial" w:cs="Arial" w:eastAsia="Arial" w:hAnsi="Arial"/>
          <w:sz w:val="13"/>
          <w:szCs w:val="13"/>
          <w:color w:val="auto"/>
        </w:rPr>
        <w:t>(Dollars in thousands)</w:t>
      </w:r>
    </w:p>
    <w:p>
      <w:pPr>
        <w:spacing w:after="0" w:line="12" w:lineRule="exact"/>
        <w:rPr>
          <w:sz w:val="20"/>
          <w:szCs w:val="20"/>
          <w:color w:val="auto"/>
        </w:rPr>
      </w:pPr>
    </w:p>
    <w:p>
      <w:pPr>
        <w:jc w:val="center"/>
        <w:ind w:left="8240"/>
        <w:spacing w:after="0"/>
        <w:rPr>
          <w:sz w:val="20"/>
          <w:szCs w:val="20"/>
          <w:color w:val="auto"/>
        </w:rPr>
      </w:pPr>
      <w:r>
        <w:rPr>
          <w:rFonts w:ascii="Arial" w:cs="Arial" w:eastAsia="Arial" w:hAnsi="Arial"/>
          <w:sz w:val="12"/>
          <w:szCs w:val="12"/>
          <w:b w:val="1"/>
          <w:bCs w:val="1"/>
          <w:color w:val="auto"/>
        </w:rPr>
        <w:t>Nine Months Ended</w:t>
      </w:r>
    </w:p>
    <w:p>
      <w:pPr>
        <w:jc w:val="center"/>
        <w:ind w:left="8240"/>
        <w:spacing w:after="0" w:line="237" w:lineRule="auto"/>
        <w:rPr>
          <w:sz w:val="20"/>
          <w:szCs w:val="20"/>
          <w:color w:val="auto"/>
        </w:rPr>
      </w:pPr>
      <w:r>
        <w:rPr>
          <w:rFonts w:ascii="Arial" w:cs="Arial" w:eastAsia="Arial" w:hAnsi="Arial"/>
          <w:sz w:val="12"/>
          <w:szCs w:val="12"/>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6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7"/>
        </w:trPr>
        <w:tc>
          <w:tcPr>
            <w:tcW w:w="82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Cash flows from operating activities: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60" w:type="dxa"/>
            <w:vAlign w:val="bottom"/>
          </w:tcPr>
          <w:p>
            <w:pPr>
              <w:ind w:left="220"/>
              <w:spacing w:after="0"/>
              <w:rPr>
                <w:sz w:val="20"/>
                <w:szCs w:val="20"/>
                <w:color w:val="auto"/>
              </w:rPr>
            </w:pPr>
            <w:r>
              <w:rPr>
                <w:rFonts w:ascii="Arial" w:cs="Arial" w:eastAsia="Arial" w:hAnsi="Arial"/>
                <w:sz w:val="12"/>
                <w:szCs w:val="12"/>
                <w:color w:val="auto"/>
              </w:rPr>
              <w:t>Net loss</w:t>
            </w:r>
          </w:p>
        </w:tc>
        <w:tc>
          <w:tcPr>
            <w:tcW w:w="900" w:type="dxa"/>
            <w:vAlign w:val="bottom"/>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(400,555)</w:t>
            </w:r>
          </w:p>
        </w:tc>
        <w:tc>
          <w:tcPr>
            <w:tcW w:w="100" w:type="dxa"/>
            <w:vAlign w:val="bottom"/>
          </w:tcPr>
          <w:p>
            <w:pPr>
              <w:spacing w:after="0"/>
              <w:rPr>
                <w:sz w:val="13"/>
                <w:szCs w:val="13"/>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(10,001)</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Depreciation and amortization expense</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Amortization of notes and securities discounts and debt issuance costs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14,935</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Stock-based compensation expense</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132,542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4,949</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Paid-in-kind interest</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18,769</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Change in fair value of warrants payable and amortization of warrants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(66,146)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31,903</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Change in derivative liabilities</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(87,475)</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Accretion, net of amortization</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Net realized gains (losses) on available-for-sale securities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Changes in operating assets and liabilities: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Accrued retrospective premiums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(14,653)</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Other receivables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(9,759)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(9,838)</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Reinsurance recoverable</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Performance year receivable</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(220,738)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Surety bonds and deposits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Prepaid expenses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(6,296)</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Other assets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Healthcare receivables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(8,506)</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Operating lease right-of-use assets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2,437</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Unpaid claims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36,234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15,729</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Accounts payable and accrued expenses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5,937</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Accrued salaries and benefits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9,458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662</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Premium deficiency reserve</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(16,356)</w:t>
            </w:r>
          </w:p>
        </w:tc>
        <w:tc>
          <w:tcPr>
            <w:tcW w:w="0" w:type="dxa"/>
            <w:vAlign w:val="bottom"/>
          </w:tcPr>
          <w:p>
            <w:pPr>
              <w:spacing w:after="0"/>
              <w:rPr>
                <w:sz w:val="1"/>
                <w:szCs w:val="1"/>
                <w:color w:val="auto"/>
              </w:rPr>
            </w:pPr>
          </w:p>
        </w:tc>
      </w:tr>
      <w:tr>
        <w:trPr>
          <w:trHeight w:val="154"/>
        </w:trPr>
        <w:tc>
          <w:tcPr>
            <w:tcW w:w="8260" w:type="dxa"/>
            <w:vAlign w:val="bottom"/>
          </w:tcPr>
          <w:p>
            <w:pPr>
              <w:ind w:left="600"/>
              <w:spacing w:after="0"/>
              <w:rPr>
                <w:sz w:val="20"/>
                <w:szCs w:val="20"/>
                <w:color w:val="auto"/>
              </w:rPr>
            </w:pPr>
            <w:r>
              <w:rPr>
                <w:rFonts w:ascii="Arial" w:cs="Arial" w:eastAsia="Arial" w:hAnsi="Arial"/>
                <w:sz w:val="12"/>
                <w:szCs w:val="12"/>
                <w:color w:val="auto"/>
              </w:rPr>
              <w:t>Other liabilities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27,477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1,414</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Performance year obligation</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Operating lease liabilities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(2,761)</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Net cash used in operating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(202,150)</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(58,594)</w:t>
            </w:r>
          </w:p>
        </w:tc>
        <w:tc>
          <w:tcPr>
            <w:tcW w:w="0" w:type="dxa"/>
            <w:vAlign w:val="bottom"/>
          </w:tcPr>
          <w:p>
            <w:pPr>
              <w:spacing w:after="0"/>
              <w:rPr>
                <w:sz w:val="1"/>
                <w:szCs w:val="1"/>
                <w:color w:val="auto"/>
              </w:rPr>
            </w:pPr>
          </w:p>
        </w:tc>
      </w:tr>
      <w:tr>
        <w:trPr>
          <w:trHeight w:val="134"/>
        </w:trPr>
        <w:tc>
          <w:tcPr>
            <w:tcW w:w="8260" w:type="dxa"/>
            <w:vAlign w:val="bottom"/>
          </w:tcPr>
          <w:p>
            <w:pPr>
              <w:ind w:left="20"/>
              <w:spacing w:after="0" w:line="127" w:lineRule="exact"/>
              <w:rPr>
                <w:sz w:val="20"/>
                <w:szCs w:val="20"/>
                <w:color w:val="auto"/>
              </w:rPr>
            </w:pPr>
            <w:r>
              <w:rPr>
                <w:rFonts w:ascii="Arial" w:cs="Arial" w:eastAsia="Arial" w:hAnsi="Arial"/>
                <w:sz w:val="12"/>
                <w:szCs w:val="12"/>
                <w:color w:val="auto"/>
              </w:rPr>
              <w:t>Cash flows from investing activities: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Purchases of short-term investments and available-for-sale securities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(705,598)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(152,248)</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Proceeds from sales of short-term investments and available-for-sale securities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126,862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166,024</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Proceeds from maturities of short-term investments and available-for-sale securities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56,701</w:t>
            </w:r>
          </w:p>
        </w:tc>
        <w:tc>
          <w:tcPr>
            <w:tcW w:w="0" w:type="dxa"/>
            <w:vAlign w:val="bottom"/>
          </w:tcPr>
          <w:p>
            <w:pPr>
              <w:spacing w:after="0"/>
              <w:rPr>
                <w:sz w:val="1"/>
                <w:szCs w:val="1"/>
                <w:color w:val="auto"/>
              </w:rPr>
            </w:pPr>
          </w:p>
        </w:tc>
      </w:tr>
      <w:tr>
        <w:trPr>
          <w:trHeight w:val="154"/>
        </w:trPr>
        <w:tc>
          <w:tcPr>
            <w:tcW w:w="826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Purchases of property and equipment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Net cash (used in) provided by investing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(328,956)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69,847</w:t>
            </w:r>
          </w:p>
        </w:tc>
        <w:tc>
          <w:tcPr>
            <w:tcW w:w="0" w:type="dxa"/>
            <w:vAlign w:val="bottom"/>
          </w:tcPr>
          <w:p>
            <w:pPr>
              <w:spacing w:after="0"/>
              <w:rPr>
                <w:sz w:val="1"/>
                <w:szCs w:val="1"/>
                <w:color w:val="auto"/>
              </w:rPr>
            </w:pPr>
          </w:p>
        </w:tc>
      </w:tr>
      <w:tr>
        <w:trPr>
          <w:trHeight w:val="134"/>
        </w:trPr>
        <w:tc>
          <w:tcPr>
            <w:tcW w:w="8260" w:type="dxa"/>
            <w:vAlign w:val="bottom"/>
          </w:tcPr>
          <w:p>
            <w:pPr>
              <w:ind w:left="20"/>
              <w:spacing w:after="0" w:line="127" w:lineRule="exact"/>
              <w:rPr>
                <w:sz w:val="20"/>
                <w:szCs w:val="20"/>
                <w:color w:val="auto"/>
              </w:rPr>
            </w:pPr>
            <w:r>
              <w:rPr>
                <w:rFonts w:ascii="Arial" w:cs="Arial" w:eastAsia="Arial" w:hAnsi="Arial"/>
                <w:sz w:val="12"/>
                <w:szCs w:val="12"/>
                <w:color w:val="auto"/>
              </w:rPr>
              <w:t>Cash flows from financing activities: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Proceeds from issuance of convertible notes</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Deferred financing costs</w:t>
            </w:r>
          </w:p>
        </w:tc>
        <w:tc>
          <w:tcPr>
            <w:tcW w:w="9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Payment of notes payable principal</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(13,868)</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Issuance of common stock, net of early exercise liability</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Proceeds from reverse recapitalization, net of transaction costs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666,242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Proceeds received for the exercise of Public and Private Warrants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Payment for the redemptions of Public Warrants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Pr>
          <w:p>
            <w:pPr>
              <w:ind w:left="420"/>
              <w:spacing w:after="0"/>
              <w:rPr>
                <w:sz w:val="20"/>
                <w:szCs w:val="20"/>
                <w:color w:val="auto"/>
              </w:rPr>
            </w:pPr>
            <w:r>
              <w:rPr>
                <w:rFonts w:ascii="Arial" w:cs="Arial" w:eastAsia="Arial" w:hAnsi="Arial"/>
                <w:sz w:val="12"/>
                <w:szCs w:val="12"/>
                <w:color w:val="auto"/>
              </w:rPr>
              <w:t>Treasury stock acquired</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Acquisition of noncontrolling interest</w:t>
            </w:r>
          </w:p>
        </w:tc>
        <w:tc>
          <w:tcPr>
            <w:tcW w:w="9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3,903</w:t>
            </w:r>
          </w:p>
        </w:tc>
        <w:tc>
          <w:tcPr>
            <w:tcW w:w="0" w:type="dxa"/>
            <w:vAlign w:val="bottom"/>
          </w:tcPr>
          <w:p>
            <w:pPr>
              <w:spacing w:after="0"/>
              <w:rPr>
                <w:sz w:val="1"/>
                <w:szCs w:val="1"/>
                <w:color w:val="auto"/>
              </w:rPr>
            </w:pPr>
          </w:p>
        </w:tc>
      </w:tr>
      <w:tr>
        <w:trPr>
          <w:trHeight w:val="146"/>
        </w:trPr>
        <w:tc>
          <w:tcPr>
            <w:tcW w:w="8260" w:type="dxa"/>
            <w:vAlign w:val="bottom"/>
            <w:tcBorders>
              <w:bottom w:val="single" w:sz="8" w:color="CCEEFF"/>
            </w:tcBorders>
          </w:tcPr>
          <w:p>
            <w:pPr>
              <w:ind w:left="20"/>
              <w:spacing w:after="0" w:line="127" w:lineRule="exact"/>
              <w:rPr>
                <w:sz w:val="20"/>
                <w:szCs w:val="20"/>
                <w:color w:val="auto"/>
              </w:rPr>
            </w:pPr>
            <w:r>
              <w:rPr>
                <w:rFonts w:ascii="Arial" w:cs="Arial" w:eastAsia="Arial" w:hAnsi="Arial"/>
                <w:sz w:val="12"/>
                <w:szCs w:val="12"/>
                <w:color w:val="auto"/>
              </w:rPr>
              <w:t>Net cash provided by financing activities</w:t>
            </w:r>
          </w:p>
        </w:tc>
        <w:tc>
          <w:tcPr>
            <w:tcW w:w="9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641,022</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10,881</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Net increase in cash and cash equivalents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109,916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22,134</w:t>
            </w:r>
          </w:p>
        </w:tc>
        <w:tc>
          <w:tcPr>
            <w:tcW w:w="0" w:type="dxa"/>
            <w:vAlign w:val="bottom"/>
          </w:tcPr>
          <w:p>
            <w:pPr>
              <w:spacing w:after="0"/>
              <w:rPr>
                <w:sz w:val="1"/>
                <w:szCs w:val="1"/>
                <w:color w:val="auto"/>
              </w:rPr>
            </w:pPr>
          </w:p>
        </w:tc>
      </w:tr>
      <w:tr>
        <w:trPr>
          <w:trHeight w:val="15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92,348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67,598</w:t>
            </w:r>
          </w:p>
        </w:tc>
        <w:tc>
          <w:tcPr>
            <w:tcW w:w="0" w:type="dxa"/>
            <w:vAlign w:val="bottom"/>
          </w:tcPr>
          <w:p>
            <w:pPr>
              <w:spacing w:after="0"/>
              <w:rPr>
                <w:sz w:val="1"/>
                <w:szCs w:val="1"/>
                <w:color w:val="auto"/>
              </w:rPr>
            </w:pPr>
          </w:p>
        </w:tc>
      </w:tr>
      <w:tr>
        <w:trPr>
          <w:trHeight w:val="178"/>
        </w:trPr>
        <w:tc>
          <w:tcPr>
            <w:tcW w:w="8260" w:type="dxa"/>
            <w:vAlign w:val="bottom"/>
            <w:tcBorders>
              <w:bottom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Cash and cash equivalents, end of period</w:t>
            </w:r>
          </w:p>
        </w:tc>
        <w:tc>
          <w:tcPr>
            <w:tcW w:w="90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202,264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89,732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Supplemental cash flow disclosures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82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during the period for interest</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3,524</w:t>
            </w:r>
          </w:p>
        </w:tc>
        <w:tc>
          <w:tcPr>
            <w:tcW w:w="0" w:type="dxa"/>
            <w:vAlign w:val="bottom"/>
          </w:tcPr>
          <w:p>
            <w:pPr>
              <w:spacing w:after="0"/>
              <w:rPr>
                <w:sz w:val="1"/>
                <w:szCs w:val="1"/>
                <w:color w:val="auto"/>
              </w:rPr>
            </w:pPr>
          </w:p>
        </w:tc>
      </w:tr>
      <w:tr>
        <w:trPr>
          <w:trHeight w:val="154"/>
        </w:trPr>
        <w:tc>
          <w:tcPr>
            <w:tcW w:w="8260" w:type="dxa"/>
            <w:vAlign w:val="bottom"/>
          </w:tcPr>
          <w:p>
            <w:pPr>
              <w:ind w:left="20"/>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Conversion of preferred stock to common stock</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447,747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Pr>
          <w:p>
            <w:pPr>
              <w:ind w:left="220"/>
              <w:spacing w:after="0"/>
              <w:rPr>
                <w:sz w:val="20"/>
                <w:szCs w:val="20"/>
                <w:color w:val="auto"/>
              </w:rPr>
            </w:pPr>
            <w:r>
              <w:rPr>
                <w:rFonts w:ascii="Arial" w:cs="Arial" w:eastAsia="Arial" w:hAnsi="Arial"/>
                <w:sz w:val="12"/>
                <w:szCs w:val="12"/>
                <w:color w:val="auto"/>
              </w:rPr>
              <w:t>Issuance of common stock related to convertible debt</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16,059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Capital contribution for extinguishment of debt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Pr>
          <w:p>
            <w:pPr>
              <w:ind w:left="220"/>
              <w:spacing w:after="0"/>
              <w:rPr>
                <w:sz w:val="20"/>
                <w:szCs w:val="20"/>
                <w:color w:val="auto"/>
              </w:rPr>
            </w:pPr>
            <w:r>
              <w:rPr>
                <w:rFonts w:ascii="Arial" w:cs="Arial" w:eastAsia="Arial" w:hAnsi="Arial"/>
                <w:sz w:val="12"/>
                <w:szCs w:val="12"/>
                <w:color w:val="auto"/>
              </w:rPr>
              <w:t>Issuance of common stock related to warrants exercised</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97,782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 of Public and Private Warrants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8260" w:type="dxa"/>
            <w:vAlign w:val="bottom"/>
          </w:tcPr>
          <w:p>
            <w:pPr>
              <w:ind w:left="220"/>
              <w:spacing w:after="0"/>
              <w:rPr>
                <w:sz w:val="20"/>
                <w:szCs w:val="20"/>
                <w:color w:val="auto"/>
              </w:rPr>
            </w:pPr>
            <w:r>
              <w:rPr>
                <w:rFonts w:ascii="Arial" w:cs="Arial" w:eastAsia="Arial" w:hAnsi="Arial"/>
                <w:sz w:val="12"/>
                <w:szCs w:val="12"/>
                <w:color w:val="auto"/>
              </w:rPr>
              <w:t>Issuance of common stock related to the exercise of Public and Private Warrants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81,283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Right-of-use assets obtained in exchange for lease liabilities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238" w:name="page239"/>
    <w:bookmarkEnd w:id="238"/>
    <w:p>
      <w:pPr>
        <w:jc w:val="center"/>
        <w:ind w:right="-5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66" w:lineRule="exact"/>
        <w:rPr>
          <w:sz w:val="20"/>
          <w:szCs w:val="20"/>
          <w:color w:val="auto"/>
        </w:rPr>
      </w:pPr>
    </w:p>
    <w:p>
      <w:pPr>
        <w:ind w:right="80" w:firstLine="297"/>
        <w:spacing w:after="0" w:line="274" w:lineRule="auto"/>
        <w:rPr>
          <w:sz w:val="20"/>
          <w:szCs w:val="20"/>
          <w:color w:val="auto"/>
        </w:rPr>
      </w:pPr>
      <w:r>
        <w:rPr>
          <w:rFonts w:ascii="Arial" w:cs="Arial" w:eastAsia="Arial" w:hAnsi="Arial"/>
          <w:sz w:val="16"/>
          <w:szCs w:val="16"/>
          <w:color w:val="auto"/>
        </w:rPr>
        <w:t>Clover Health Investments, Corp. (collectively with its affiliates and subsidiaries, “Clover” or the “Corporation”) is singularly focused on creating great, sustainable healthcare to improve every life. Clover has centered its strategy on building and deploying technology through its flagship software platform, the Clover Assistant, to help America’s seniors receive better care at lower costs.</w:t>
      </w:r>
    </w:p>
    <w:p>
      <w:pPr>
        <w:spacing w:after="0" w:line="112"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1, 2021, the Corporation’s subsidiary Clover Health Partners, LLC, began participating as a Direct Contracting Entity (DCE) in the Global and Professional Direct Contracting Model (DC Model) of the Centers for Medicare and Medicaid Services (CMS), an agency of the United States Department of Health and Human Services.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22" w:lineRule="exact"/>
        <w:rPr>
          <w:sz w:val="20"/>
          <w:szCs w:val="20"/>
          <w:color w:val="auto"/>
        </w:rPr>
      </w:pPr>
    </w:p>
    <w:p>
      <w:pPr>
        <w:ind w:right="60" w:firstLine="297"/>
        <w:spacing w:after="0" w:line="283" w:lineRule="auto"/>
        <w:rPr>
          <w:sz w:val="20"/>
          <w:szCs w:val="20"/>
          <w:color w:val="auto"/>
        </w:rPr>
      </w:pPr>
      <w:r>
        <w:rPr>
          <w:rFonts w:ascii="Arial" w:cs="Arial" w:eastAsia="Arial" w:hAnsi="Arial"/>
          <w:sz w:val="15"/>
          <w:szCs w:val="15"/>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Clover's DCE, which assumes full risk (i.e., 100.0% shared savings and shared losses) for the total cost of care of aligned Original Medicare beneficiaries (DCE Beneficiaries), focuses on its technology platform to enhance healthcare delivery, reduce expenditures, and improve care for DCE Beneficiaries.</w:t>
      </w:r>
    </w:p>
    <w:p>
      <w:pPr>
        <w:spacing w:after="0" w:line="109"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Clover was originally incorporated as a Cayman Islands exempted company on October 18, 2019,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 owned subsidiary of SCH (Merger Sub), was merged with and into Legacy Clover. Upon consummation of the business combination, the separate corporate existence of Merger Sub ceased, the Corporation survived and merged with and into SCH, with SCH as the surviving corporation, and SCH was redomesticated as a Delaware corporation and renamed Clover Health Investments, Corp. (the “Business Combination”). The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are disclosed in periodic reports filed with the SEC. As a result of the Business Combination, there were simultaneous changes to Legacy Clover’s convertible securities, warrants, and convertible preferred stock. See Note 9 (Notes and Securities Payable), Note 10 (Warrants Payable), and Note 14 (Convertible Preferred Stock) for additional information regarding these changes. See also Note 3 (Business Combination) for additional information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62"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The Corporation’s interim Condensed Consolidated Financial Statements have been prepared in conformity with GAAP and include the accounts of the Corporation and its wholly owned subsidiaries. In the opinion of management, the Corporation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years ended December 31, 2020 and 2019 included in Exhibit 99.5 of Amendment No. 1 to the Current Report on Form 8-K (the “Form 8-K/A”) filed with the Securities and Exchange Commission (SEC) on April 1, 2021.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16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To conform to the current period presentation, prepaid expenses, which were previously included in other assets, current, are presented as a separate line item in the prior year’s Condensed Consolidated Balance Sheet. Certain amounts in the prior year period’s Condensed Consolidated Statement of Cash Flows have been reclassified to conform to the current year period’s presentation, primarily related to the amortization of warrants, amortization of debt issuance costs, and paid-in-kind interest. These reclassifications had no effect on the previously reported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6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amounts reported in the Condensed Consolidated Financial Statements and accompanying notes.</w:t>
      </w:r>
    </w:p>
    <w:p>
      <w:pPr>
        <w:spacing w:after="0" w:line="99"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reinsurance, the premium deficiency reserve, warrants, the embedded derivative related to the convertible securities, stock-based compensation, recoveries from third parties for coordination of benefits, the Direct Contracting benchmark specifically cost trend and risk score estimates that can develop over time, and final determination of medical cost adjustment pools.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guarantees</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Certain of the Corporation’s arrangements with third-party providers require it to guarantee the performance of its care network to CMS. As a result of the Corporation’s participation in the DC Model, the Corporation determined that it was making a performance guarantee with respect to providers of DCE Beneficiaries that should be recognized in the financial statements. Accordingly, a liability for the performance guarantee was recorded on the Condensed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87" w:lineRule="auto"/>
        <w:rPr>
          <w:sz w:val="20"/>
          <w:szCs w:val="20"/>
          <w:color w:val="auto"/>
        </w:rPr>
      </w:pPr>
      <w:r>
        <w:rPr>
          <w:rFonts w:ascii="Arial" w:cs="Arial" w:eastAsia="Arial" w:hAnsi="Arial"/>
          <w:sz w:val="15"/>
          <w:szCs w:val="15"/>
          <w:color w:val="auto"/>
        </w:rPr>
        <w:t>Contracting performance obligation if the Corporation is in a probable loss position. Direct Contracting revenue is also known in the DC Model as CMS’s performance year expenditures and is the primary component used to calculate shared savings or shared loss versus the performance year benchmark. Direct Contracting revenue is representative of CMS’s total expenditures incurred for medical services provided on behalf of DCE Beneficiaries during months in which those beneficiaries were alignment-eligible and aligned to the DCE. Direct Contracting revenue is calculated by taking the sum of the capitation payments made to the Corporation for services within the scope of the Corporation’s capitation arrangement and fee-for-service (FFS) payments made to providers directly from CMS.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software development costs - cloud computing arrangements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Corporation’s cloud computing arrangements mostly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in other assets, and are generally amortized over the fixed, non-cancelable term of the associated hosting arrangement on a straight-line basis.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acquisition costs</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September 30, 2021, there were no deferred acquisition costs as a result of the acceleration of amortization for deferred acquisition costs due to the recognition of a premium deficiency reserve during the three and nine months ended September 30, 2021. For the three and nine months ended September 30, 2021, amortization expense of deferred acquisition costs of $1.1 million and $9.6 million, respectively, were recognized in general and administrative expenses. There was no amortization expense of deferred acquisition costs for the three and nine months ended September 30, 2020.</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16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societal and economic impact of the novel coronavirus (COVID-19) pandemic is continuing to evolve, and the ultimate impact on the Corporation’s business, results of operations, financial condition, and cash flows is uncertain and difficult to predict. The global pandemic has severely impacted businesses worldwide, including many in the health insurance sector. In response to the pandemic, the Corporation has implemented additional steps related to its care delivery, member support, and internal policies and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Emerging Growth Company</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Corporation currently qualifies as an “emerging growth company” under the Jumpstart Our Business Startups Act of 2012 (the “JOBS Act”). Accordingly, the Corporation has the option to adopt new or revised accounting guidance either (i) within the same periods as those otherwise applicable to non-emerging growth companies or (ii) within the same time periods applicable to private companies. 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162"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In August 2018, the Financial Accounting Standards Board (the “FASB”) issued Accounting Standard Update (ASU) 2018-13, Changes to Disclosure Requirements for Fair Value Measurements, the purpose of which is to improve the effectiveness of disclosure requirements for recurring and nonrecurring 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Cloud computing arrangements</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In August 2018, the FASB issued ASU 2018-15, Intangibles – Goodwill and Other (Topic 350) – Internal Use Software: Customer’s Accounting for Implementation Costs Incurred in a Cloud Computing Arrangement That Is a Service Contract. This update changes the accounting guidance for cloud computing arrangements. If a cloud computing arrangement includes a license to internal-use software, the software license is accounted for by the customer by recognizing an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Condensed Consolidated Balance Sheet in other assets, current and are amortized on a straight-line basis over the term of the underlying cloud computing hosting contract, which is the noncancelable term of the arrangement plus any reasonably certain renewal periods. As of September 30, 2021, $5.0 million was recorded in other assets, current, as deferred implementation costs. For both the three and nine months ended September 30, 2021, amortization expense associated with the Corporation’s cloud computing arrangements was $0.2 million. No impairment was recognized during the three and nine months ended September 30, 2021, as there were no events or changes in circumstances to indicate that the carrying amount of the Corporation’s cloud computing arrangements may not be recoverable.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effective in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losses</w:t>
      </w:r>
    </w:p>
    <w:p>
      <w:pPr>
        <w:spacing w:after="0" w:line="162"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was subsequently modified by several ASUs issued in 2018 and 2019. This standard introduces a new current 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and public entities beginning after December 15, 2019. Early adoption is permitted. The Corporation has evaluated the impact of ASU 2016-13 on the Consolidated Financial Statements and expects the impact to be immaterial.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other intangible assets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2" w:name="page243"/>
    <w:bookmarkEnd w:id="242"/>
    <w:p>
      <w:pPr>
        <w:jc w:val="center"/>
        <w:ind w:right="-3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80"/>
        <w:spacing w:after="0" w:line="274" w:lineRule="auto"/>
        <w:rPr>
          <w:sz w:val="20"/>
          <w:szCs w:val="20"/>
          <w:color w:val="auto"/>
        </w:rPr>
      </w:pPr>
      <w:r>
        <w:rPr>
          <w:rFonts w:ascii="Arial" w:cs="Arial" w:eastAsia="Arial" w:hAnsi="Arial"/>
          <w:sz w:val="16"/>
          <w:szCs w:val="16"/>
          <w:color w:val="auto"/>
        </w:rPr>
        <w:t>after December 15, 2021, and public entities beginning after December 15, 2019. Early adoption is permitted for interim or annual goodwill impairment tests performed on testing dates after January 1, 2017. The Corporation is currently evaluating the impact of the adoption of ASU 2017-04 on the Consolidated Financial Statements, but does not expect for this to have a material impact on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In December 2019, the FASB issued ASU 2019-12, Income Taxes (Topic 740): Simplifying the Accounting for Income Taxes.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Consolidated Financial Statements, but does not expect for this to have a material impact on the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convertible instruments and contracts in an entity’s own equity</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 August 2020, the FASB issued ASU 2020-06, Debt—Debt with Conversion and Other Options (Subtopic 470-20) and Derivatives and Hedging—Contracts in Entity’s Own Equity (Subtopic 815-40). The amendments in ASU 2020-06 simplify the accounting for convertible instruments by removing 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 2021. The Corporation is currently evaluating the impact of the adoption of ASU 2020-06 on the Consolidated Financial Statements, but does not expect for this to have a material impact on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Business Combination</w:t>
      </w:r>
    </w:p>
    <w:p>
      <w:pPr>
        <w:spacing w:after="0" w:line="166" w:lineRule="exact"/>
        <w:rPr>
          <w:sz w:val="20"/>
          <w:szCs w:val="20"/>
          <w:color w:val="auto"/>
        </w:rPr>
      </w:pPr>
    </w:p>
    <w:p>
      <w:pPr>
        <w:ind w:right="380" w:firstLine="297"/>
        <w:spacing w:after="0" w:line="290" w:lineRule="auto"/>
        <w:rPr>
          <w:sz w:val="20"/>
          <w:szCs w:val="20"/>
          <w:color w:val="auto"/>
        </w:rPr>
      </w:pPr>
      <w:r>
        <w:rPr>
          <w:rFonts w:ascii="Arial" w:cs="Arial" w:eastAsia="Arial" w:hAnsi="Arial"/>
          <w:sz w:val="16"/>
          <w:szCs w:val="16"/>
          <w:color w:val="auto"/>
        </w:rPr>
        <w:t>On October 5, 2020, Legacy Clover entered into a Merger Agreement with SCH, a SPAC, and Merger Sub. On January 7, 2021, as contemplated by the Merger Agreement and following approval by SCH’s shareholders at an extraordinary general meeting held January 6, 2021 (the “Special Meeting”):</w:t>
      </w:r>
    </w:p>
    <w:p>
      <w:pPr>
        <w:spacing w:after="0" w:line="99" w:lineRule="exact"/>
        <w:rPr>
          <w:sz w:val="20"/>
          <w:szCs w:val="20"/>
          <w:color w:val="auto"/>
        </w:rPr>
      </w:pPr>
    </w:p>
    <w:p>
      <w:pPr>
        <w:ind w:left="600" w:right="40" w:hanging="304"/>
        <w:spacing w:after="0" w:line="274" w:lineRule="auto"/>
        <w:tabs>
          <w:tab w:leader="none" w:pos="59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111" w:lineRule="exact"/>
        <w:rPr>
          <w:rFonts w:ascii="Arial" w:cs="Arial" w:eastAsia="Arial" w:hAnsi="Arial"/>
          <w:sz w:val="16"/>
          <w:szCs w:val="16"/>
          <w:color w:val="auto"/>
        </w:rPr>
      </w:pPr>
    </w:p>
    <w:p>
      <w:pPr>
        <w:ind w:left="600" w:hanging="304"/>
        <w:spacing w:after="0" w:line="268" w:lineRule="auto"/>
        <w:tabs>
          <w:tab w:leader="none" w:pos="59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Merger Sub merged with and into Legacy Clover, the separate corporate existence of Merger Sub ceased and Legacy Clover became the surviving corporation and a wholly 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spacing w:after="0" w:line="118"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As a result of the Mergers, among other things, (i) all outstanding shares of common stock of Legacy Clover immediately prior to the effective time of the First Merger were canceled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09" w:lineRule="exact"/>
        <w:rPr>
          <w:sz w:val="20"/>
          <w:szCs w:val="20"/>
          <w:color w:val="auto"/>
        </w:rPr>
      </w:pPr>
    </w:p>
    <w:p>
      <w:pPr>
        <w:ind w:right="60" w:firstLine="297"/>
        <w:spacing w:after="0" w:line="279" w:lineRule="auto"/>
        <w:rPr>
          <w:sz w:val="20"/>
          <w:szCs w:val="20"/>
          <w:color w:val="auto"/>
        </w:rPr>
      </w:pPr>
      <w:r>
        <w:rPr>
          <w:rFonts w:ascii="Arial" w:cs="Arial" w:eastAsia="Arial" w:hAnsi="Arial"/>
          <w:sz w:val="15"/>
          <w:szCs w:val="15"/>
          <w:color w:val="auto"/>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had not been previously separated into the underlying Class A ordinary share and underlying warrant of SCH upon the request of the holder thereof, was canceled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and, together with the Public Warrants, the “Warrants”). Each whole Warrant entitled the registered holder to purchase one whole share of Class A Common Stock at a price of $11.50 per share, subject to adjustment at any time commencing on April 24, 2021, which is 12 months from the closing of SCH's initial public offering.</w:t>
      </w:r>
    </w:p>
    <w:p>
      <w:pPr>
        <w:spacing w:after="0" w:line="116" w:lineRule="exact"/>
        <w:rPr>
          <w:sz w:val="20"/>
          <w:szCs w:val="20"/>
          <w:color w:val="auto"/>
        </w:rPr>
      </w:pPr>
    </w:p>
    <w:p>
      <w:pPr>
        <w:ind w:firstLine="297"/>
        <w:spacing w:after="0" w:line="268" w:lineRule="auto"/>
        <w:rPr>
          <w:sz w:val="20"/>
          <w:szCs w:val="20"/>
          <w:color w:val="auto"/>
        </w:rPr>
      </w:pPr>
      <w:r>
        <w:rPr>
          <w:rFonts w:ascii="Arial" w:cs="Arial" w:eastAsia="Arial" w:hAnsi="Arial"/>
          <w:sz w:val="16"/>
          <w:szCs w:val="16"/>
          <w:color w:val="auto"/>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spacing w:after="0" w:line="118" w:lineRule="exact"/>
        <w:rPr>
          <w:sz w:val="20"/>
          <w:szCs w:val="20"/>
          <w:color w:val="auto"/>
        </w:rPr>
      </w:pPr>
    </w:p>
    <w:p>
      <w:pPr>
        <w:ind w:right="160" w:firstLine="297"/>
        <w:spacing w:after="0" w:line="263" w:lineRule="auto"/>
        <w:rPr>
          <w:sz w:val="20"/>
          <w:szCs w:val="20"/>
          <w:color w:val="auto"/>
        </w:rPr>
      </w:pPr>
      <w:r>
        <w:rPr>
          <w:rFonts w:ascii="Arial" w:cs="Arial" w:eastAsia="Arial" w:hAnsi="Arial"/>
          <w:sz w:val="16"/>
          <w:szCs w:val="16"/>
          <w:color w:val="auto"/>
        </w:rPr>
        <w:t>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 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spacing w:after="0" w:line="122" w:lineRule="exact"/>
        <w:rPr>
          <w:sz w:val="20"/>
          <w:szCs w:val="20"/>
          <w:color w:val="auto"/>
        </w:rPr>
      </w:pPr>
    </w:p>
    <w:p>
      <w:pPr>
        <w:ind w:right="20" w:firstLine="297"/>
        <w:spacing w:after="0" w:line="366" w:lineRule="auto"/>
        <w:rPr>
          <w:sz w:val="20"/>
          <w:szCs w:val="20"/>
          <w:color w:val="auto"/>
        </w:rPr>
      </w:pPr>
      <w:r>
        <w:rPr>
          <w:rFonts w:ascii="Arial" w:cs="Arial" w:eastAsia="Arial" w:hAnsi="Arial"/>
          <w:sz w:val="14"/>
          <w:szCs w:val="14"/>
          <w:color w:val="auto"/>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spacing w:after="0" w:line="53"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The Corporation is authorized to issue 25,000,000 shares of preferred stock having a par value of $0.0001 per share, and the Corporation's board of directors has the authority to determine the rights, preferences, privileges,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restrictions, including voting rights, of those shares. As of September 30, 2021, there were no shares of preferred stock issued and outstanding.</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Business Combination was accounted for as a reverse recapitalization in accordance with GAAP. Under the guidance in ASC 805, Legacy Clover is treated as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“acquirer” for financial reporting purposes. As such, Legacy Clover is deemed the accounting predecessor of the combined business, and Clover, as the parent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company of the combined business, is the successor SEC registrant, meaning that Legacy Clover’s financial statements for previous periods are disclosed in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Corporation’s periodic reports filed with the SEC. The Business Combination will have a significant impact on the Corporation’s future reported financial position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results as a consequence of the reverse recapitalization. The most significant change in Clover’s future reported financial position and results is an estimated net increase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in cash (as compared to the Corporation’s consolidated balance sheet at December 31, 2020) of approximately $670.0 million. The redemption included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$400.0 million in proceeds from the PIPE Investment that was consummated substantially simultaneously with the Business Combination, offset by additional transaction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costs incurred in connection with the Business Combination. The estimated transaction costs for the Business Combination were approximately $61.0 million, of which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$29.0 million represents deferred underwriter fees related to SCH's initial public offering.</w:t>
      </w:r>
    </w:p>
    <w:p>
      <w:pPr>
        <w:spacing w:after="0" w:line="151" w:lineRule="exact"/>
        <w:rPr>
          <w:sz w:val="20"/>
          <w:szCs w:val="20"/>
          <w:color w:val="auto"/>
        </w:rPr>
      </w:pPr>
    </w:p>
    <w:p>
      <w:pPr>
        <w:ind w:right="80" w:firstLine="297"/>
        <w:spacing w:after="0" w:line="290" w:lineRule="auto"/>
        <w:rPr>
          <w:sz w:val="20"/>
          <w:szCs w:val="20"/>
          <w:color w:val="auto"/>
        </w:rPr>
      </w:pPr>
      <w:r>
        <w:rPr>
          <w:rFonts w:ascii="Arial" w:cs="Arial" w:eastAsia="Arial" w:hAnsi="Arial"/>
          <w:sz w:val="16"/>
          <w:szCs w:val="16"/>
          <w:color w:val="auto"/>
        </w:rPr>
        <w:t>The transaction closed on January 7, 2021,and on the following day the Corporation's Class A Common Stock and Public Warrants were listed on the Nasdaq Global Select Market (Nasdaq) under the symbols “CLOV” and “CLOVW,” respectively, for trading in the public market.</w:t>
      </w:r>
    </w:p>
    <w:p>
      <w:pPr>
        <w:spacing w:after="0" w:line="99" w:lineRule="exact"/>
        <w:rPr>
          <w:sz w:val="20"/>
          <w:szCs w:val="20"/>
          <w:color w:val="auto"/>
        </w:rPr>
      </w:pPr>
    </w:p>
    <w:p>
      <w:pPr>
        <w:ind w:right="40" w:firstLine="297"/>
        <w:spacing w:after="0" w:line="290" w:lineRule="auto"/>
        <w:rPr>
          <w:sz w:val="20"/>
          <w:szCs w:val="20"/>
          <w:color w:val="auto"/>
        </w:rPr>
      </w:pPr>
      <w:r>
        <w:rPr>
          <w:rFonts w:ascii="Arial" w:cs="Arial" w:eastAsia="Arial" w:hAnsi="Arial"/>
          <w:sz w:val="16"/>
          <w:szCs w:val="16"/>
          <w:color w:val="auto"/>
        </w:rPr>
        <w:t>See also Note 9 (Notes and Securities Payable), Note 10 (Warrants Payable), and Note 14 (Convertible Preferred Stock) for additional information regarding changes to the instruments as a result of the Business Combination.</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 Investment Securities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tables present amortized cost and fair values of investments as of September 30, 2021, and December 31, 2020,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Amortized cost</w:t>
            </w:r>
          </w:p>
        </w:tc>
        <w:tc>
          <w:tcPr>
            <w:tcW w:w="15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Accumulated unrealized</w:t>
            </w:r>
          </w:p>
        </w:tc>
        <w:tc>
          <w:tcPr>
            <w:tcW w:w="15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Accumulated unrealized</w:t>
            </w:r>
          </w:p>
        </w:tc>
        <w:tc>
          <w:tcPr>
            <w:tcW w:w="260" w:type="dxa"/>
            <w:vAlign w:val="bottom"/>
          </w:tcPr>
          <w:p>
            <w:pPr>
              <w:spacing w:after="0"/>
              <w:rPr>
                <w:sz w:val="13"/>
                <w:szCs w:val="13"/>
                <w:color w:val="auto"/>
              </w:rPr>
            </w:pPr>
          </w:p>
        </w:tc>
        <w:tc>
          <w:tcPr>
            <w:tcW w:w="1160" w:type="dxa"/>
            <w:vAlign w:val="bottom"/>
            <w:vMerge w:val="restart"/>
          </w:tcPr>
          <w:p>
            <w:pPr>
              <w:jc w:val="right"/>
              <w:ind w:right="342"/>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gains</w:t>
            </w:r>
          </w:p>
        </w:tc>
        <w:tc>
          <w:tcPr>
            <w:tcW w:w="48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78"/>
              </w:rPr>
              <w:t>losses</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right"/>
              <w:ind w:right="43"/>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held-to-maturity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19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available-for-sale</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167,325</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investment securities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168,052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Pr>
          <w:p>
            <w:pPr>
              <w:spacing w:after="0"/>
              <w:rPr>
                <w:sz w:val="24"/>
                <w:szCs w:val="2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Amortized cost</w:t>
            </w:r>
          </w:p>
        </w:tc>
        <w:tc>
          <w:tcPr>
            <w:tcW w:w="15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Accumulated unrealized</w:t>
            </w:r>
          </w:p>
        </w:tc>
        <w:tc>
          <w:tcPr>
            <w:tcW w:w="15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Accumulated unrealized</w:t>
            </w:r>
          </w:p>
        </w:tc>
        <w:tc>
          <w:tcPr>
            <w:tcW w:w="260" w:type="dxa"/>
            <w:vAlign w:val="bottom"/>
          </w:tcPr>
          <w:p>
            <w:pPr>
              <w:spacing w:after="0"/>
              <w:rPr>
                <w:sz w:val="24"/>
                <w:szCs w:val="24"/>
                <w:color w:val="auto"/>
              </w:rPr>
            </w:pPr>
          </w:p>
        </w:tc>
        <w:tc>
          <w:tcPr>
            <w:tcW w:w="1160" w:type="dxa"/>
            <w:vAlign w:val="bottom"/>
            <w:vMerge w:val="restart"/>
          </w:tcPr>
          <w:p>
            <w:pPr>
              <w:jc w:val="right"/>
              <w:ind w:right="342"/>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gains</w:t>
            </w:r>
          </w:p>
        </w:tc>
        <w:tc>
          <w:tcPr>
            <w:tcW w:w="48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78"/>
              </w:rPr>
              <w:t>losses</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right"/>
              <w:ind w:right="43"/>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held-to-maturity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91"/>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available-for-sale</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U.S. government and government agencies and authorities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53,963</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investment securities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presents the amortized cost and fair value of debt securities as of September 30, 2021, by contractual maturity: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5"/>
                <w:szCs w:val="15"/>
                <w:color w:val="auto"/>
              </w:rPr>
            </w:pPr>
          </w:p>
        </w:tc>
        <w:tc>
          <w:tcPr>
            <w:tcW w:w="2380" w:type="dxa"/>
            <w:vAlign w:val="bottom"/>
            <w:gridSpan w:val="3"/>
          </w:tcPr>
          <w:p>
            <w:pPr>
              <w:jc w:val="right"/>
              <w:ind w:right="523"/>
              <w:spacing w:after="0"/>
              <w:rPr>
                <w:sz w:val="20"/>
                <w:szCs w:val="20"/>
                <w:color w:val="auto"/>
              </w:rPr>
            </w:pPr>
            <w:r>
              <w:rPr>
                <w:rFonts w:ascii="Arial" w:cs="Arial" w:eastAsia="Arial" w:hAnsi="Arial"/>
                <w:sz w:val="13"/>
                <w:szCs w:val="13"/>
                <w:b w:val="1"/>
                <w:bCs w:val="1"/>
                <w:color w:val="auto"/>
              </w:rPr>
              <w:t>Held-to-maturity</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900"/>
              <w:spacing w:after="0"/>
              <w:rPr>
                <w:sz w:val="20"/>
                <w:szCs w:val="20"/>
                <w:color w:val="auto"/>
              </w:rPr>
            </w:pPr>
            <w:r>
              <w:rPr>
                <w:rFonts w:ascii="Arial" w:cs="Arial" w:eastAsia="Arial" w:hAnsi="Arial"/>
                <w:sz w:val="13"/>
                <w:szCs w:val="13"/>
                <w:b w:val="1"/>
                <w:bCs w:val="1"/>
                <w:color w:val="auto"/>
              </w:rPr>
              <w:t>Available-for-sale</w:t>
            </w:r>
          </w:p>
        </w:tc>
      </w:tr>
      <w:tr>
        <w:trPr>
          <w:trHeight w:val="169"/>
        </w:trPr>
        <w:tc>
          <w:tcPr>
            <w:tcW w:w="5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Amortized cost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Amortized cost</w:t>
            </w: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Fair value</w:t>
            </w:r>
          </w:p>
        </w:tc>
      </w:tr>
      <w:tr>
        <w:trPr>
          <w:trHeight w:val="165"/>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5"/>
          </w:tcPr>
          <w:p>
            <w:pPr>
              <w:ind w:left="4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21,142</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Due after one year through five years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141,835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141,352</w:t>
            </w:r>
          </w:p>
        </w:tc>
      </w:tr>
      <w:tr>
        <w:trPr>
          <w:trHeight w:val="21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4,831</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Due after ten years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2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167,325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80" w:firstLine="297"/>
        <w:spacing w:after="0" w:line="290" w:lineRule="auto"/>
        <w:rPr>
          <w:sz w:val="20"/>
          <w:szCs w:val="20"/>
          <w:color w:val="auto"/>
        </w:rPr>
      </w:pPr>
      <w:r>
        <w:rPr>
          <w:rFonts w:ascii="Arial" w:cs="Arial" w:eastAsia="Arial" w:hAnsi="Arial"/>
          <w:sz w:val="16"/>
          <w:szCs w:val="16"/>
          <w:color w:val="auto"/>
        </w:rPr>
        <w:t>For the three and nine months ended September 30, 2021 and 2020, respectively, net investment income, which is included within other income in the Condensed Consolidated Statements of Operations and Comprehensive Loss, was derived from the following sources: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gridSpan w:val="3"/>
          </w:tcPr>
          <w:p>
            <w:pPr>
              <w:jc w:val="right"/>
              <w:ind w:right="423"/>
              <w:spacing w:after="0"/>
              <w:rPr>
                <w:sz w:val="20"/>
                <w:szCs w:val="20"/>
                <w:color w:val="auto"/>
              </w:rPr>
            </w:pPr>
            <w:r>
              <w:rPr>
                <w:rFonts w:ascii="Arial" w:cs="Arial" w:eastAsia="Arial" w:hAnsi="Arial"/>
                <w:sz w:val="13"/>
                <w:szCs w:val="13"/>
                <w:b w:val="1"/>
                <w:bCs w:val="1"/>
                <w:color w:val="auto"/>
                <w:w w:val="96"/>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Arial" w:cs="Arial" w:eastAsia="Arial" w:hAnsi="Arial"/>
                <w:sz w:val="13"/>
                <w:szCs w:val="13"/>
                <w:b w:val="1"/>
                <w:bCs w:val="1"/>
                <w:color w:val="auto"/>
                <w:w w:val="97"/>
              </w:rPr>
              <w:t>Nine Months Ended</w:t>
            </w:r>
          </w:p>
        </w:tc>
        <w:tc>
          <w:tcPr>
            <w:tcW w:w="980" w:type="dxa"/>
            <w:vAlign w:val="bottom"/>
          </w:tcPr>
          <w:p>
            <w:pPr>
              <w:spacing w:after="0"/>
              <w:rPr>
                <w:sz w:val="13"/>
                <w:szCs w:val="13"/>
                <w:color w:val="auto"/>
              </w:rPr>
            </w:pPr>
          </w:p>
        </w:tc>
      </w:tr>
      <w:tr>
        <w:trPr>
          <w:trHeight w:val="171"/>
        </w:trPr>
        <w:tc>
          <w:tcPr>
            <w:tcW w:w="4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3"/>
                <w:szCs w:val="13"/>
                <w:b w:val="1"/>
                <w:bCs w:val="1"/>
                <w:color w:val="auto"/>
              </w:rPr>
              <w:t>September 30,</w:t>
            </w:r>
          </w:p>
        </w:tc>
        <w:tc>
          <w:tcPr>
            <w:tcW w:w="980" w:type="dxa"/>
            <w:vAlign w:val="bottom"/>
            <w:tcBorders>
              <w:bottom w:val="single" w:sz="8" w:color="auto"/>
            </w:tcBorders>
          </w:tcPr>
          <w:p>
            <w:pPr>
              <w:spacing w:after="0"/>
              <w:rPr>
                <w:sz w:val="14"/>
                <w:szCs w:val="14"/>
                <w:color w:val="auto"/>
              </w:rPr>
            </w:pPr>
          </w:p>
        </w:tc>
      </w:tr>
      <w:tr>
        <w:trPr>
          <w:trHeight w:val="165"/>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r>
      <w:tr>
        <w:trPr>
          <w:trHeight w:val="165"/>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3"/>
          </w:tcPr>
          <w:p>
            <w:pPr>
              <w:jc w:val="right"/>
              <w:ind w:right="543"/>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1,141</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securities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Investment income, net</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360" w:firstLine="297"/>
        <w:spacing w:after="0" w:line="290" w:lineRule="auto"/>
        <w:rPr>
          <w:sz w:val="20"/>
          <w:szCs w:val="20"/>
          <w:color w:val="auto"/>
        </w:rPr>
      </w:pPr>
      <w:r>
        <w:rPr>
          <w:rFonts w:ascii="Arial" w:cs="Arial" w:eastAsia="Arial" w:hAnsi="Arial"/>
          <w:sz w:val="16"/>
          <w:szCs w:val="16"/>
          <w:color w:val="auto"/>
        </w:rPr>
        <w:t>Gross unrealized losses and fair values aggregated by investment category and length of time that individual securities have been in a continuous unrealized loss position were as follows at September 30,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 2021</w:t>
            </w:r>
          </w:p>
        </w:tc>
        <w:tc>
          <w:tcPr>
            <w:tcW w:w="2580" w:type="dxa"/>
            <w:vAlign w:val="bottom"/>
            <w:gridSpan w:val="6"/>
          </w:tcPr>
          <w:p>
            <w:pPr>
              <w:ind w:left="660"/>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5"/>
                <w:szCs w:val="15"/>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1"/>
              </w:rPr>
              <w:t>Greater than 12 months</w:t>
            </w:r>
          </w:p>
        </w:tc>
        <w:tc>
          <w:tcPr>
            <w:tcW w:w="2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rPr>
              <w:t>Total</w:t>
            </w:r>
          </w:p>
        </w:tc>
        <w:tc>
          <w:tcPr>
            <w:tcW w:w="1060" w:type="dxa"/>
            <w:vAlign w:val="bottom"/>
          </w:tcPr>
          <w:p>
            <w:pPr>
              <w:spacing w:after="0"/>
              <w:rPr>
                <w:sz w:val="15"/>
                <w:szCs w:val="15"/>
                <w:color w:val="auto"/>
              </w:rPr>
            </w:pPr>
          </w:p>
        </w:tc>
      </w:tr>
      <w:tr>
        <w:trPr>
          <w:trHeight w:val="169"/>
        </w:trPr>
        <w:tc>
          <w:tcPr>
            <w:tcW w:w="3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Unrealized loss</w:t>
            </w:r>
          </w:p>
        </w:tc>
        <w:tc>
          <w:tcPr>
            <w:tcW w:w="10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90"/>
              </w:rPr>
              <w:t>Unrealized loss</w:t>
            </w:r>
          </w:p>
        </w:tc>
        <w:tc>
          <w:tcPr>
            <w:tcW w:w="8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w w:val="92"/>
              </w:rPr>
              <w:t>Unrealized loss</w:t>
            </w:r>
          </w:p>
        </w:tc>
      </w:tr>
      <w:tr>
        <w:trPr>
          <w:trHeight w:val="165"/>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9"/>
              </w:rPr>
              <w:t>(in thousands, except number of positions)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2"/>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and government agencies</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71,620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03"/>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71,620</w:t>
            </w:r>
          </w:p>
        </w:tc>
        <w:tc>
          <w:tcPr>
            <w:tcW w:w="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71,620</w:t>
            </w:r>
          </w:p>
        </w:tc>
        <w:tc>
          <w:tcPr>
            <w:tcW w:w="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Number of positions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222" w:lineRule="exact"/>
        <w:rPr>
          <w:sz w:val="20"/>
          <w:szCs w:val="20"/>
          <w:color w:val="auto"/>
        </w:rPr>
      </w:pPr>
    </w:p>
    <w:p>
      <w:pPr>
        <w:ind w:right="240" w:firstLine="297"/>
        <w:spacing w:after="0" w:line="274" w:lineRule="auto"/>
        <w:rPr>
          <w:sz w:val="20"/>
          <w:szCs w:val="20"/>
          <w:color w:val="auto"/>
        </w:rPr>
      </w:pPr>
      <w:r>
        <w:rPr>
          <w:rFonts w:ascii="Arial" w:cs="Arial" w:eastAsia="Arial" w:hAnsi="Arial"/>
          <w:sz w:val="16"/>
          <w:szCs w:val="16"/>
          <w:color w:val="auto"/>
        </w:rPr>
        <w:t>As of September 30,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September 30, 2021, were deemed to be temporary, based on, among other things:</w:t>
      </w:r>
    </w:p>
    <w:p>
      <w:pPr>
        <w:spacing w:after="0" w:line="112" w:lineRule="exact"/>
        <w:rPr>
          <w:sz w:val="20"/>
          <w:szCs w:val="20"/>
          <w:color w:val="auto"/>
        </w:rPr>
      </w:pPr>
    </w:p>
    <w:p>
      <w:pPr>
        <w:ind w:left="600" w:right="40" w:hanging="304"/>
        <w:spacing w:after="0" w:line="290" w:lineRule="auto"/>
        <w:tabs>
          <w:tab w:leader="none" w:pos="59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duration of time and the relative magnitude to which fair values of these securities have been below their amortized cost was not indicative of an other-than-temporary impairment loss;</w:t>
      </w:r>
    </w:p>
    <w:p>
      <w:pPr>
        <w:spacing w:after="0" w:line="99" w:lineRule="exact"/>
        <w:rPr>
          <w:rFonts w:ascii="Arial" w:cs="Arial" w:eastAsia="Arial" w:hAnsi="Arial"/>
          <w:sz w:val="16"/>
          <w:szCs w:val="16"/>
          <w:color w:val="auto"/>
        </w:rPr>
      </w:pPr>
    </w:p>
    <w:p>
      <w:pPr>
        <w:ind w:left="600" w:right="360" w:hanging="304"/>
        <w:spacing w:after="0" w:line="290" w:lineRule="auto"/>
        <w:tabs>
          <w:tab w:leader="none" w:pos="59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absence of compelling evidence that would cause the Corporation to call into question the financial condition or near-term prospects of the issuer of the applicable security; and</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Corporation’s ability and intent to hold the applicable security for a period of time sufficient to allow for any anticipated recovery.</w:t>
      </w:r>
    </w:p>
    <w:p>
      <w:pPr>
        <w:spacing w:after="0" w:line="162"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about financial condition, liquidity or future prospects, inadequacy of any underlying collateral, and unfavorable changes in economic conditions or social trends, interest rates or credit ratings.</w:t>
      </w:r>
    </w:p>
    <w:p>
      <w:pPr>
        <w:spacing w:after="0" w:line="99" w:lineRule="exact"/>
        <w:rPr>
          <w:sz w:val="20"/>
          <w:szCs w:val="20"/>
          <w:color w:val="auto"/>
        </w:rPr>
      </w:pPr>
    </w:p>
    <w:p>
      <w:pPr>
        <w:ind w:right="180" w:firstLine="297"/>
        <w:spacing w:after="0" w:line="274" w:lineRule="auto"/>
        <w:rPr>
          <w:sz w:val="20"/>
          <w:szCs w:val="20"/>
          <w:color w:val="auto"/>
        </w:rPr>
      </w:pPr>
      <w:r>
        <w:rPr>
          <w:rFonts w:ascii="Arial" w:cs="Arial" w:eastAsia="Arial" w:hAnsi="Arial"/>
          <w:sz w:val="16"/>
          <w:szCs w:val="16"/>
          <w:color w:val="auto"/>
        </w:rPr>
        <w:t>Proceeds from sales and maturities of investment securities, inclusive of short-term investments, and related gross realized gains (losses) which are included within other income in the Condensed Consolidated Statements of Operations and Comprehensive Loss, were as follows for the three and nine months ended September 30, 2021 and 2020,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40" w:type="dxa"/>
            <w:vAlign w:val="bottom"/>
            <w:gridSpan w:val="3"/>
          </w:tcPr>
          <w:p>
            <w:pPr>
              <w:jc w:val="right"/>
              <w:ind w:right="243"/>
              <w:spacing w:after="0"/>
              <w:rPr>
                <w:sz w:val="20"/>
                <w:szCs w:val="20"/>
                <w:color w:val="auto"/>
              </w:rPr>
            </w:pPr>
            <w:r>
              <w:rPr>
                <w:rFonts w:ascii="Arial" w:cs="Arial" w:eastAsia="Arial" w:hAnsi="Arial"/>
                <w:sz w:val="13"/>
                <w:szCs w:val="13"/>
                <w:b w:val="1"/>
                <w:bCs w:val="1"/>
                <w:color w:val="auto"/>
                <w:w w:val="93"/>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13"/>
                <w:szCs w:val="13"/>
                <w:color w:val="auto"/>
              </w:rPr>
            </w:pPr>
          </w:p>
        </w:tc>
      </w:tr>
      <w:tr>
        <w:trPr>
          <w:trHeight w:val="171"/>
        </w:trPr>
        <w:tc>
          <w:tcPr>
            <w:tcW w:w="5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4"/>
                <w:szCs w:val="14"/>
                <w:color w:val="auto"/>
              </w:rPr>
            </w:pPr>
          </w:p>
        </w:tc>
      </w:tr>
      <w:tr>
        <w:trPr>
          <w:trHeight w:val="165"/>
        </w:trPr>
        <w:tc>
          <w:tcPr>
            <w:tcW w:w="52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w w:val="96"/>
              </w:rPr>
              <w:t>2020</w:t>
            </w:r>
          </w:p>
        </w:tc>
      </w:tr>
      <w:tr>
        <w:trPr>
          <w:trHeight w:val="165"/>
        </w:trPr>
        <w:tc>
          <w:tcPr>
            <w:tcW w:w="5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3"/>
          </w:tcPr>
          <w:p>
            <w:pPr>
              <w:jc w:val="right"/>
              <w:ind w:right="38"/>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investment securities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89,997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71,049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166,024</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maturities of investment securities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50,000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250,265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56,701</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realized gains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Gross realized losses</w:t>
            </w:r>
          </w:p>
        </w:tc>
        <w:tc>
          <w:tcPr>
            <w:tcW w:w="8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realized gains (losses)</w:t>
            </w:r>
          </w:p>
        </w:tc>
        <w:tc>
          <w:tcPr>
            <w:tcW w:w="86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As of September 30, 2021, and December 31, 2020, the Corporation had $11.2 million and $7.5 million, respectively, in deposits with various states and regulatory bodies that are included as part of the Corporation's investment balances.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a summary of fair value measurements for financial instruments as of September 30, 2021, and December 31, 2020,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September 30, 2021</w:t>
            </w:r>
          </w:p>
        </w:tc>
        <w:tc>
          <w:tcPr>
            <w:tcW w:w="32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Level 1</w:t>
            </w:r>
          </w:p>
        </w:tc>
        <w:tc>
          <w:tcPr>
            <w:tcW w:w="30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Level 2</w:t>
            </w:r>
          </w:p>
        </w:tc>
        <w:tc>
          <w:tcPr>
            <w:tcW w:w="44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Level 3</w:t>
            </w:r>
          </w:p>
        </w:tc>
        <w:tc>
          <w:tcPr>
            <w:tcW w:w="280" w:type="dxa"/>
            <w:vAlign w:val="bottom"/>
          </w:tcPr>
          <w:p>
            <w:pPr>
              <w:spacing w:after="0"/>
              <w:rPr>
                <w:sz w:val="13"/>
                <w:szCs w:val="13"/>
                <w:color w:val="auto"/>
              </w:rPr>
            </w:pPr>
          </w:p>
        </w:tc>
        <w:tc>
          <w:tcPr>
            <w:tcW w:w="1160" w:type="dxa"/>
            <w:vAlign w:val="bottom"/>
          </w:tcPr>
          <w:p>
            <w:pPr>
              <w:jc w:val="center"/>
              <w:ind w:right="204"/>
              <w:spacing w:after="0"/>
              <w:rPr>
                <w:sz w:val="20"/>
                <w:szCs w:val="20"/>
                <w:color w:val="auto"/>
              </w:rPr>
            </w:pPr>
            <w:r>
              <w:rPr>
                <w:rFonts w:ascii="Arial" w:cs="Arial" w:eastAsia="Arial" w:hAnsi="Arial"/>
                <w:sz w:val="13"/>
                <w:szCs w:val="13"/>
                <w:b w:val="1"/>
                <w:bCs w:val="1"/>
                <w:color w:val="auto"/>
                <w:w w:val="94"/>
              </w:rPr>
              <w:t>Total fair</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84"/>
              <w:spacing w:after="0"/>
              <w:rPr>
                <w:sz w:val="20"/>
                <w:szCs w:val="20"/>
                <w:color w:val="auto"/>
              </w:rPr>
            </w:pPr>
            <w:r>
              <w:rPr>
                <w:rFonts w:ascii="Arial" w:cs="Arial" w:eastAsia="Arial" w:hAnsi="Arial"/>
                <w:sz w:val="13"/>
                <w:szCs w:val="13"/>
                <w:b w:val="1"/>
                <w:bCs w:val="1"/>
                <w:color w:val="auto"/>
                <w:w w:val="90"/>
              </w:rPr>
              <w:t>value</w:t>
            </w:r>
          </w:p>
        </w:tc>
        <w:tc>
          <w:tcPr>
            <w:tcW w:w="0" w:type="dxa"/>
            <w:vAlign w:val="bottom"/>
          </w:tcPr>
          <w:p>
            <w:pPr>
              <w:spacing w:after="0"/>
              <w:rPr>
                <w:sz w:val="1"/>
                <w:szCs w:val="1"/>
                <w:color w:val="auto"/>
              </w:rPr>
            </w:pPr>
          </w:p>
        </w:tc>
      </w:tr>
      <w:tr>
        <w:trPr>
          <w:trHeight w:val="165"/>
        </w:trPr>
        <w:tc>
          <w:tcPr>
            <w:tcW w:w="5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and government agencies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167,325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167,325</w:t>
            </w:r>
          </w:p>
        </w:tc>
        <w:tc>
          <w:tcPr>
            <w:tcW w:w="0" w:type="dxa"/>
            <w:vAlign w:val="bottom"/>
          </w:tcPr>
          <w:p>
            <w:pPr>
              <w:spacing w:after="0"/>
              <w:rPr>
                <w:sz w:val="1"/>
                <w:szCs w:val="1"/>
                <w:color w:val="auto"/>
              </w:rPr>
            </w:pPr>
          </w:p>
        </w:tc>
      </w:tr>
      <w:tr>
        <w:trPr>
          <w:trHeight w:val="203"/>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Total assets at fair value</w:t>
            </w: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167,325</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167,325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320" w:type="dxa"/>
            <w:vAlign w:val="bottom"/>
          </w:tcPr>
          <w:p>
            <w:pPr>
              <w:spacing w:after="0"/>
              <w:rPr>
                <w:sz w:val="24"/>
                <w:szCs w:val="2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Level 1</w:t>
            </w:r>
          </w:p>
        </w:tc>
        <w:tc>
          <w:tcPr>
            <w:tcW w:w="300" w:type="dxa"/>
            <w:vAlign w:val="bottom"/>
          </w:tcPr>
          <w:p>
            <w:pPr>
              <w:spacing w:after="0"/>
              <w:rPr>
                <w:sz w:val="24"/>
                <w:szCs w:val="24"/>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Level 2</w:t>
            </w:r>
          </w:p>
        </w:tc>
        <w:tc>
          <w:tcPr>
            <w:tcW w:w="440" w:type="dxa"/>
            <w:vAlign w:val="bottom"/>
          </w:tcPr>
          <w:p>
            <w:pPr>
              <w:spacing w:after="0"/>
              <w:rPr>
                <w:sz w:val="24"/>
                <w:szCs w:val="2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Level 3</w:t>
            </w:r>
          </w:p>
        </w:tc>
        <w:tc>
          <w:tcPr>
            <w:tcW w:w="280" w:type="dxa"/>
            <w:vAlign w:val="bottom"/>
          </w:tcPr>
          <w:p>
            <w:pPr>
              <w:spacing w:after="0"/>
              <w:rPr>
                <w:sz w:val="24"/>
                <w:szCs w:val="24"/>
                <w:color w:val="auto"/>
              </w:rPr>
            </w:pPr>
          </w:p>
        </w:tc>
        <w:tc>
          <w:tcPr>
            <w:tcW w:w="1160" w:type="dxa"/>
            <w:vAlign w:val="bottom"/>
          </w:tcPr>
          <w:p>
            <w:pPr>
              <w:jc w:val="center"/>
              <w:ind w:right="204"/>
              <w:spacing w:after="0"/>
              <w:rPr>
                <w:sz w:val="20"/>
                <w:szCs w:val="20"/>
                <w:color w:val="auto"/>
              </w:rPr>
            </w:pPr>
            <w:r>
              <w:rPr>
                <w:rFonts w:ascii="Arial" w:cs="Arial" w:eastAsia="Arial" w:hAnsi="Arial"/>
                <w:sz w:val="13"/>
                <w:szCs w:val="13"/>
                <w:b w:val="1"/>
                <w:bCs w:val="1"/>
                <w:color w:val="auto"/>
                <w:w w:val="94"/>
              </w:rPr>
              <w:t>Total fair</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84"/>
              <w:spacing w:after="0"/>
              <w:rPr>
                <w:sz w:val="20"/>
                <w:szCs w:val="20"/>
                <w:color w:val="auto"/>
              </w:rPr>
            </w:pPr>
            <w:r>
              <w:rPr>
                <w:rFonts w:ascii="Arial" w:cs="Arial" w:eastAsia="Arial" w:hAnsi="Arial"/>
                <w:sz w:val="13"/>
                <w:szCs w:val="13"/>
                <w:b w:val="1"/>
                <w:bCs w:val="1"/>
                <w:color w:val="auto"/>
                <w:w w:val="90"/>
              </w:rPr>
              <w:t>value</w:t>
            </w:r>
          </w:p>
        </w:tc>
        <w:tc>
          <w:tcPr>
            <w:tcW w:w="0" w:type="dxa"/>
            <w:vAlign w:val="bottom"/>
          </w:tcPr>
          <w:p>
            <w:pPr>
              <w:spacing w:after="0"/>
              <w:rPr>
                <w:sz w:val="1"/>
                <w:szCs w:val="1"/>
                <w:color w:val="auto"/>
              </w:rPr>
            </w:pPr>
          </w:p>
        </w:tc>
      </w:tr>
      <w:tr>
        <w:trPr>
          <w:trHeight w:val="165"/>
        </w:trPr>
        <w:tc>
          <w:tcPr>
            <w:tcW w:w="5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government and government agencies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53,963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53,963</w:t>
            </w:r>
          </w:p>
        </w:tc>
        <w:tc>
          <w:tcPr>
            <w:tcW w:w="0" w:type="dxa"/>
            <w:vAlign w:val="bottom"/>
          </w:tcPr>
          <w:p>
            <w:pPr>
              <w:spacing w:after="0"/>
              <w:rPr>
                <w:sz w:val="1"/>
                <w:szCs w:val="1"/>
                <w:color w:val="auto"/>
              </w:rPr>
            </w:pPr>
          </w:p>
        </w:tc>
      </w:tr>
      <w:tr>
        <w:trPr>
          <w:trHeight w:val="203"/>
        </w:trPr>
        <w:tc>
          <w:tcPr>
            <w:tcW w:w="5200" w:type="dxa"/>
            <w:vAlign w:val="bottom"/>
            <w:gridSpan w:val="2"/>
          </w:tcPr>
          <w:p>
            <w:pPr>
              <w:ind w:left="220"/>
              <w:spacing w:after="0"/>
              <w:rPr>
                <w:sz w:val="20"/>
                <w:szCs w:val="20"/>
                <w:color w:val="auto"/>
              </w:rPr>
            </w:pPr>
            <w:r>
              <w:rPr>
                <w:rFonts w:ascii="Arial" w:cs="Arial" w:eastAsia="Arial" w:hAnsi="Arial"/>
                <w:sz w:val="16"/>
                <w:szCs w:val="16"/>
                <w:color w:val="auto"/>
              </w:rPr>
              <w:t>Total assets at fair value</w:t>
            </w: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53,963</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53,963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44,810</w:t>
            </w:r>
          </w:p>
        </w:tc>
        <w:tc>
          <w:tcPr>
            <w:tcW w:w="0" w:type="dxa"/>
            <w:vAlign w:val="bottom"/>
          </w:tcPr>
          <w:p>
            <w:pPr>
              <w:spacing w:after="0"/>
              <w:rPr>
                <w:sz w:val="1"/>
                <w:szCs w:val="1"/>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Warrants payable</w:t>
            </w:r>
          </w:p>
        </w:tc>
        <w:tc>
          <w:tcPr>
            <w:tcW w:w="32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97,782</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 at fair value</w:t>
            </w: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142,592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Note 9 (Notes and Securities Payable), Note 10 (Warrants Payable), and Note 11 (Derivative Liabilities) for additional information regarding liabilities.</w:t>
      </w:r>
    </w:p>
    <w:p>
      <w:pPr>
        <w:spacing w:after="0" w:line="16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The fair value of the convertible securities was based on Level 3 inputs, which were unobservable and reflect management’s best estimate of what market participants would use when pricing the asset or liability, including assumptions about risk. There was no fair value associated with convertible securities at September 30, 2021, due to the conversion of the securities to shares of the Corporation’s common stock due to the completion of the Business Combination, and the estimated fair value of convertible securities was $949.6 million at December 31, 2020. The estimated fair value of the convertible securities and derivative liabilities at December 31, 2020, was calculated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 product of (i) the number of conversion shares at the valuation date and (ii) the marketable value per common share at the valuation date.</w:t>
      </w:r>
    </w:p>
    <w:p>
      <w:pPr>
        <w:spacing w:after="0" w:line="162" w:lineRule="exact"/>
        <w:rPr>
          <w:sz w:val="20"/>
          <w:szCs w:val="20"/>
          <w:color w:val="auto"/>
        </w:rPr>
      </w:pPr>
    </w:p>
    <w:p>
      <w:pPr>
        <w:ind w:right="100" w:firstLine="297"/>
        <w:spacing w:after="0" w:line="290" w:lineRule="auto"/>
        <w:rPr>
          <w:sz w:val="20"/>
          <w:szCs w:val="20"/>
          <w:color w:val="auto"/>
        </w:rPr>
      </w:pPr>
      <w:r>
        <w:rPr>
          <w:rFonts w:ascii="Arial" w:cs="Arial" w:eastAsia="Arial" w:hAnsi="Arial"/>
          <w:sz w:val="16"/>
          <w:szCs w:val="16"/>
          <w:color w:val="auto"/>
        </w:rPr>
        <w:t>The significant unobservable inputs used in the Black-Scholes model to measure the warrants payable that are categorized within Level 3 of the fair value hierarchy, as of the year ended December 31, 2020,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1780" w:type="dxa"/>
            <w:vAlign w:val="bottom"/>
            <w:gridSpan w:val="3"/>
          </w:tcPr>
          <w:p>
            <w:pPr>
              <w:ind w:left="80"/>
              <w:spacing w:after="0"/>
              <w:rPr>
                <w:sz w:val="20"/>
                <w:szCs w:val="20"/>
                <w:color w:val="auto"/>
              </w:rPr>
            </w:pPr>
            <w:r>
              <w:rPr>
                <w:rFonts w:ascii="Arial" w:cs="Arial" w:eastAsia="Arial" w:hAnsi="Arial"/>
                <w:sz w:val="13"/>
                <w:szCs w:val="13"/>
                <w:b w:val="1"/>
                <w:bCs w:val="1"/>
                <w:color w:val="auto"/>
              </w:rPr>
              <w:t>Preferred stock purchase</w:t>
            </w:r>
          </w:p>
        </w:tc>
        <w:tc>
          <w:tcPr>
            <w:tcW w:w="1560" w:type="dxa"/>
            <w:vAlign w:val="bottom"/>
          </w:tcPr>
          <w:p>
            <w:pPr>
              <w:jc w:val="right"/>
              <w:ind w:right="62"/>
              <w:spacing w:after="0"/>
              <w:rPr>
                <w:sz w:val="20"/>
                <w:szCs w:val="20"/>
                <w:color w:val="auto"/>
              </w:rPr>
            </w:pPr>
            <w:r>
              <w:rPr>
                <w:rFonts w:ascii="Arial" w:cs="Arial" w:eastAsia="Arial" w:hAnsi="Arial"/>
                <w:sz w:val="13"/>
                <w:szCs w:val="13"/>
                <w:b w:val="1"/>
                <w:bCs w:val="1"/>
                <w:color w:val="auto"/>
                <w:w w:val="90"/>
              </w:rPr>
              <w:t>Common stock purchase</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1780" w:type="dxa"/>
            <w:vAlign w:val="bottom"/>
            <w:gridSpan w:val="3"/>
          </w:tcPr>
          <w:p>
            <w:pPr>
              <w:ind w:left="520"/>
              <w:spacing w:after="0"/>
              <w:rPr>
                <w:sz w:val="20"/>
                <w:szCs w:val="20"/>
                <w:color w:val="auto"/>
              </w:rPr>
            </w:pPr>
            <w:r>
              <w:rPr>
                <w:rFonts w:ascii="Arial" w:cs="Arial" w:eastAsia="Arial" w:hAnsi="Arial"/>
                <w:sz w:val="13"/>
                <w:szCs w:val="13"/>
                <w:b w:val="1"/>
                <w:bCs w:val="1"/>
                <w:color w:val="auto"/>
              </w:rPr>
              <w:t>warrants</w:t>
            </w:r>
          </w:p>
        </w:tc>
        <w:tc>
          <w:tcPr>
            <w:tcW w:w="1560" w:type="dxa"/>
            <w:vAlign w:val="bottom"/>
          </w:tcPr>
          <w:p>
            <w:pPr>
              <w:jc w:val="right"/>
              <w:ind w:right="502"/>
              <w:spacing w:after="0"/>
              <w:rPr>
                <w:sz w:val="20"/>
                <w:szCs w:val="20"/>
                <w:color w:val="auto"/>
              </w:rPr>
            </w:pPr>
            <w:r>
              <w:rPr>
                <w:rFonts w:ascii="Arial" w:cs="Arial" w:eastAsia="Arial" w:hAnsi="Arial"/>
                <w:sz w:val="13"/>
                <w:szCs w:val="13"/>
                <w:b w:val="1"/>
                <w:bCs w:val="1"/>
                <w:color w:val="auto"/>
              </w:rPr>
              <w:t>warrants</w:t>
            </w:r>
          </w:p>
        </w:tc>
        <w:tc>
          <w:tcPr>
            <w:tcW w:w="0" w:type="dxa"/>
            <w:vAlign w:val="bottom"/>
          </w:tcPr>
          <w:p>
            <w:pPr>
              <w:spacing w:after="0"/>
              <w:rPr>
                <w:sz w:val="1"/>
                <w:szCs w:val="1"/>
                <w:color w:val="auto"/>
              </w:rPr>
            </w:pPr>
          </w:p>
        </w:tc>
      </w:tr>
      <w:tr>
        <w:trPr>
          <w:trHeight w:val="204"/>
        </w:trPr>
        <w:tc>
          <w:tcPr>
            <w:tcW w:w="7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Beginning stock price</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6"/>
                <w:szCs w:val="16"/>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0"/>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Strike price</w:t>
            </w:r>
          </w:p>
        </w:tc>
        <w:tc>
          <w:tcPr>
            <w:tcW w:w="1780" w:type="dxa"/>
            <w:vAlign w:val="bottom"/>
            <w:gridSpan w:val="3"/>
          </w:tcPr>
          <w:p>
            <w:pPr>
              <w:ind w:left="1260"/>
              <w:spacing w:after="0"/>
              <w:rPr>
                <w:sz w:val="20"/>
                <w:szCs w:val="20"/>
                <w:color w:val="auto"/>
              </w:rPr>
            </w:pPr>
            <w:r>
              <w:rPr>
                <w:rFonts w:ascii="Arial" w:cs="Arial" w:eastAsia="Arial" w:hAnsi="Arial"/>
                <w:sz w:val="16"/>
                <w:szCs w:val="16"/>
                <w:color w:val="auto"/>
              </w:rPr>
              <w:t>N/A</w:t>
            </w:r>
          </w:p>
        </w:tc>
        <w:tc>
          <w:tcPr>
            <w:tcW w:w="1560" w:type="dxa"/>
            <w:vAlign w:val="bottom"/>
          </w:tcPr>
          <w:p>
            <w:pPr>
              <w:jc w:val="right"/>
              <w:ind w:right="1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1"/>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780" w:type="dxa"/>
            <w:vAlign w:val="bottom"/>
            <w:gridSpan w:val="3"/>
            <w:shd w:val="clear" w:color="auto" w:fill="CCEEFF"/>
          </w:tcPr>
          <w:p>
            <w:pPr>
              <w:ind w:left="12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0" w:type="dxa"/>
            <w:vAlign w:val="bottom"/>
          </w:tcPr>
          <w:p>
            <w:pPr>
              <w:spacing w:after="0"/>
              <w:rPr>
                <w:sz w:val="1"/>
                <w:szCs w:val="1"/>
                <w:color w:val="auto"/>
              </w:rPr>
            </w:pPr>
          </w:p>
        </w:tc>
      </w:tr>
      <w:tr>
        <w:trPr>
          <w:trHeight w:val="210"/>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Expected term</w:t>
            </w:r>
          </w:p>
        </w:tc>
        <w:tc>
          <w:tcPr>
            <w:tcW w:w="1780" w:type="dxa"/>
            <w:vAlign w:val="bottom"/>
            <w:gridSpan w:val="3"/>
          </w:tcPr>
          <w:p>
            <w:pPr>
              <w:ind w:left="1260"/>
              <w:spacing w:after="0"/>
              <w:rPr>
                <w:sz w:val="20"/>
                <w:szCs w:val="20"/>
                <w:color w:val="auto"/>
              </w:rPr>
            </w:pPr>
            <w:r>
              <w:rPr>
                <w:rFonts w:ascii="Arial" w:cs="Arial" w:eastAsia="Arial" w:hAnsi="Arial"/>
                <w:sz w:val="16"/>
                <w:szCs w:val="16"/>
                <w:color w:val="auto"/>
              </w:rPr>
              <w:t>N/A</w:t>
            </w:r>
          </w:p>
        </w:tc>
        <w:tc>
          <w:tcPr>
            <w:tcW w:w="1560" w:type="dxa"/>
            <w:vAlign w:val="bottom"/>
          </w:tcPr>
          <w:p>
            <w:pPr>
              <w:jc w:val="right"/>
              <w:spacing w:after="0"/>
              <w:rPr>
                <w:sz w:val="20"/>
                <w:szCs w:val="20"/>
                <w:color w:val="auto"/>
              </w:rPr>
            </w:pPr>
            <w:r>
              <w:rPr>
                <w:rFonts w:ascii="Arial" w:cs="Arial" w:eastAsia="Arial" w:hAnsi="Arial"/>
                <w:sz w:val="16"/>
                <w:szCs w:val="16"/>
                <w:color w:val="auto"/>
              </w:rPr>
              <w:t>0.02 years</w:t>
            </w:r>
          </w:p>
        </w:tc>
        <w:tc>
          <w:tcPr>
            <w:tcW w:w="0" w:type="dxa"/>
            <w:vAlign w:val="bottom"/>
          </w:tcPr>
          <w:p>
            <w:pPr>
              <w:spacing w:after="0"/>
              <w:rPr>
                <w:sz w:val="1"/>
                <w:szCs w:val="1"/>
                <w:color w:val="auto"/>
              </w:rPr>
            </w:pPr>
          </w:p>
        </w:tc>
      </w:tr>
      <w:tr>
        <w:trPr>
          <w:trHeight w:val="211"/>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780" w:type="dxa"/>
            <w:vAlign w:val="bottom"/>
            <w:gridSpan w:val="3"/>
            <w:shd w:val="clear" w:color="auto" w:fill="CCEEFF"/>
          </w:tcPr>
          <w:p>
            <w:pPr>
              <w:ind w:left="12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9"/>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Discount factor</w:t>
            </w:r>
          </w:p>
        </w:tc>
        <w:tc>
          <w:tcPr>
            <w:tcW w:w="1780" w:type="dxa"/>
            <w:vAlign w:val="bottom"/>
            <w:gridSpan w:val="3"/>
          </w:tcPr>
          <w:p>
            <w:pPr>
              <w:ind w:left="1260"/>
              <w:spacing w:after="0"/>
              <w:rPr>
                <w:sz w:val="20"/>
                <w:szCs w:val="20"/>
                <w:color w:val="auto"/>
              </w:rPr>
            </w:pPr>
            <w:r>
              <w:rPr>
                <w:rFonts w:ascii="Arial" w:cs="Arial" w:eastAsia="Arial" w:hAnsi="Arial"/>
                <w:sz w:val="16"/>
                <w:szCs w:val="16"/>
                <w:color w:val="auto"/>
              </w:rPr>
              <w:t>N/A</w:t>
            </w:r>
          </w:p>
        </w:tc>
        <w:tc>
          <w:tcPr>
            <w:tcW w:w="1560" w:type="dxa"/>
            <w:vAlign w:val="bottom"/>
          </w:tcPr>
          <w:p>
            <w:pPr>
              <w:jc w:val="right"/>
              <w:ind w:right="122"/>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20" w:firstLine="297"/>
        <w:spacing w:after="0" w:line="325" w:lineRule="auto"/>
        <w:rPr>
          <w:sz w:val="20"/>
          <w:szCs w:val="20"/>
          <w:color w:val="auto"/>
        </w:rPr>
      </w:pPr>
      <w:r>
        <w:rPr>
          <w:rFonts w:ascii="Arial" w:cs="Arial" w:eastAsia="Arial" w:hAnsi="Arial"/>
          <w:sz w:val="15"/>
          <w:szCs w:val="15"/>
          <w:color w:val="auto"/>
        </w:rPr>
        <w:t>There were no changes in balances of Level 3 financial liabilities during the three months ended September 30, 2021. The changes in balances of Level 3 financial liabilities during the three months ended September 30, 2020, and the nine months ended September 30, 2021 and 2020, respectively,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Convertible securities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 liabilities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Warrants payable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Total</w:t>
            </w:r>
          </w:p>
        </w:tc>
      </w:tr>
      <w:tr>
        <w:trPr>
          <w:trHeight w:val="169"/>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ind w:left="96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433,757</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Issuances</w:t>
            </w:r>
          </w:p>
        </w:tc>
        <w:tc>
          <w:tcPr>
            <w:tcW w:w="10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Transfers in</w:t>
            </w:r>
          </w:p>
        </w:tc>
        <w:tc>
          <w:tcPr>
            <w:tcW w:w="10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out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realized losses (gains)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47,374</w:t>
            </w:r>
          </w:p>
        </w:tc>
      </w:tr>
      <w:tr>
        <w:trPr>
          <w:trHeight w:val="22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September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380,643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481,131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5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Convertible securities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 liabilities</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Warrants payable</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Total</w:t>
            </w:r>
          </w:p>
        </w:tc>
      </w:tr>
      <w:tr>
        <w:trPr>
          <w:trHeight w:val="169"/>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ind w:left="96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44,810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1,092,145</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Issuances</w:t>
            </w:r>
          </w:p>
        </w:tc>
        <w:tc>
          <w:tcPr>
            <w:tcW w:w="10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(1,092,145)</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Transfers in</w:t>
            </w:r>
          </w:p>
        </w:tc>
        <w:tc>
          <w:tcPr>
            <w:tcW w:w="10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out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Total realized losses (gains)</w:t>
            </w:r>
          </w:p>
        </w:tc>
        <w:tc>
          <w:tcPr>
            <w:tcW w:w="10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September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Convertible securities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Derivative liabilities</w:t>
            </w: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Warrants payable</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Total</w:t>
            </w:r>
          </w:p>
        </w:tc>
      </w:tr>
      <w:tr>
        <w:trPr>
          <w:trHeight w:val="169"/>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5"/>
          </w:tcPr>
          <w:p>
            <w:pPr>
              <w:ind w:left="1060"/>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408,118</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Transfers in</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out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realized losses (gains)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73,013</w:t>
            </w:r>
          </w:p>
        </w:tc>
      </w:tr>
      <w:tr>
        <w:trPr>
          <w:trHeight w:val="22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380,643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481,131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80" w:firstLine="297"/>
        <w:spacing w:after="0" w:line="266" w:lineRule="auto"/>
        <w:rPr>
          <w:sz w:val="20"/>
          <w:szCs w:val="20"/>
          <w:color w:val="auto"/>
        </w:rPr>
      </w:pPr>
      <w:r>
        <w:rPr>
          <w:rFonts w:ascii="Arial" w:cs="Arial" w:eastAsia="Arial" w:hAnsi="Arial"/>
          <w:sz w:val="16"/>
          <w:szCs w:val="16"/>
          <w:color w:val="auto"/>
        </w:rPr>
        <w:t>In addition to the Level 3 financial liabilities in the table above, on September 25, 2020, Seek Insurance Services, Inc., (Seek) a field marketing organization and an indirect wholly-owned subsidiary of the Corporation, entered into a note purchase agreement with a third-party investor and issued a note (the “Seek Convertible Note”) in the principal amount of $20.0 million. For additional information, see Note 9 (Notes and Securities Payable). As of September 30, 2021, and December 31, 2020, both the carrying values, which includes accrued interest, and the fair values of the 2020 Convertible Note were $21.6 million and $20.4 million, respectively, and these were considered Level 3 financial liabilities.</w:t>
      </w:r>
    </w:p>
    <w:p>
      <w:pPr>
        <w:spacing w:after="0" w:line="118" w:lineRule="exact"/>
        <w:rPr>
          <w:sz w:val="20"/>
          <w:szCs w:val="20"/>
          <w:color w:val="auto"/>
        </w:rPr>
      </w:pPr>
    </w:p>
    <w:p>
      <w:pPr>
        <w:ind w:left="300" w:right="1820"/>
        <w:spacing w:after="0" w:line="451" w:lineRule="auto"/>
        <w:rPr>
          <w:sz w:val="20"/>
          <w:szCs w:val="20"/>
          <w:color w:val="auto"/>
        </w:rPr>
      </w:pPr>
      <w:r>
        <w:rPr>
          <w:rFonts w:ascii="Arial" w:cs="Arial" w:eastAsia="Arial" w:hAnsi="Arial"/>
          <w:sz w:val="16"/>
          <w:szCs w:val="16"/>
          <w:color w:val="auto"/>
        </w:rPr>
        <w:t xml:space="preserve">There were no transfers in or out of Level 3 financial assets or liabilities for the three and nine months ended September 30, 2021 or 2020. </w:t>
      </w:r>
      <w:r>
        <w:rPr>
          <w:rFonts w:ascii="Arial" w:cs="Arial" w:eastAsia="Arial" w:hAnsi="Arial"/>
          <w:sz w:val="16"/>
          <w:szCs w:val="16"/>
          <w:b w:val="1"/>
          <w:bCs w:val="1"/>
          <w:i w:val="1"/>
          <w:iCs w:val="1"/>
          <w:color w:val="auto"/>
        </w:rPr>
        <w:t>Warrants</w:t>
      </w:r>
    </w:p>
    <w:p>
      <w:pPr>
        <w:spacing w:after="0" w:line="1" w:lineRule="exact"/>
        <w:rPr>
          <w:sz w:val="20"/>
          <w:szCs w:val="20"/>
          <w:color w:val="auto"/>
        </w:rPr>
      </w:pPr>
    </w:p>
    <w:p>
      <w:pPr>
        <w:ind w:right="60" w:firstLine="297"/>
        <w:spacing w:after="0" w:line="287" w:lineRule="auto"/>
        <w:rPr>
          <w:sz w:val="20"/>
          <w:szCs w:val="20"/>
          <w:color w:val="auto"/>
        </w:rPr>
      </w:pPr>
      <w:r>
        <w:rPr>
          <w:rFonts w:ascii="Arial" w:cs="Arial" w:eastAsia="Arial" w:hAnsi="Arial"/>
          <w:sz w:val="15"/>
          <w:szCs w:val="15"/>
          <w:color w:val="auto"/>
        </w:rPr>
        <w:t>The Warrants were accounted for as liabilities in accordance with ASC 815-40 and are presented within warrants payable on the Consolidated Balance Sheet. The warrant liabilities were measured at fair value at inception and measured on a recurring basis, with changes in fair value presented within change in fair value of warrants payable in the Consolidated Statement of Operations and Comprehensive Loss. On July 22, 2021, the Company issued a press release stating that it would redeem all of its Warrants. The end of the redemption period was September 9, 2021, at which time the Corporation redeemed all unexercised Warrants at a price of $0.10 per warrant. As of September 30, 2021, no Warrants were outstanding. For additional information, please see Note 10 (Warrants Payable).</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Liability Measurement</w:t>
      </w:r>
    </w:p>
    <w:p>
      <w:pPr>
        <w:spacing w:after="0" w:line="162" w:lineRule="exact"/>
        <w:rPr>
          <w:sz w:val="20"/>
          <w:szCs w:val="20"/>
          <w:color w:val="auto"/>
        </w:rPr>
      </w:pPr>
    </w:p>
    <w:p>
      <w:pPr>
        <w:ind w:right="20" w:firstLine="297"/>
        <w:spacing w:after="0" w:line="262" w:lineRule="auto"/>
        <w:rPr>
          <w:sz w:val="20"/>
          <w:szCs w:val="20"/>
          <w:color w:val="auto"/>
        </w:rPr>
      </w:pPr>
      <w:r>
        <w:rPr>
          <w:rFonts w:ascii="Arial" w:cs="Arial" w:eastAsia="Arial" w:hAnsi="Arial"/>
          <w:sz w:val="16"/>
          <w:szCs w:val="16"/>
          <w:color w:val="auto"/>
        </w:rPr>
        <w:t>The Warrants were measured at fair value on a recurring basis. The Corporation classified the Warrants as a liability due to certain settlement terms and provisions related to certain tender offers and indexation characteristics following the Business Combination and accounted for them as liability instruments in accordance with ASC 815, adjusting the fair value at the end of each reporting period. Additionally, the Corporation determined that the Public Warrants were classified within Level 1 of the fair value hierarchy as the fair value was equal to the publicly traded price of the Public Warrants, and the Private Placement Warrants were classified within Level 2 of the fair value hierarchy as the fair value was estimated using the price of the Public Warrants. In connection with the redemption, effective August 24, 2021, the Public Warrants were delisted and classified within Level 2 of the fair value hierarchy as the fair value of the Public Warrants was based on proportional changes in the price of the Corporation’s common stock. There were no Private Warrants outstanding at August 24, 2021. See Note 10 (Warrants Payable) for additional information on the exercises and redemption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following table presents the changes in the fair value of warrants payable:</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94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September 30, 2021</w:t>
            </w:r>
          </w:p>
        </w:tc>
        <w:tc>
          <w:tcPr>
            <w:tcW w:w="1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Public and Private Placement</w:t>
            </w:r>
          </w:p>
        </w:tc>
        <w:tc>
          <w:tcPr>
            <w:tcW w:w="0" w:type="dxa"/>
            <w:vAlign w:val="bottom"/>
          </w:tcPr>
          <w:p>
            <w:pPr>
              <w:spacing w:after="0"/>
              <w:rPr>
                <w:sz w:val="1"/>
                <w:szCs w:val="1"/>
                <w:color w:val="auto"/>
              </w:rPr>
            </w:pPr>
          </w:p>
        </w:tc>
      </w:tr>
      <w:tr>
        <w:trPr>
          <w:trHeight w:val="171"/>
        </w:trPr>
        <w:tc>
          <w:tcPr>
            <w:tcW w:w="9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center"/>
              <w:ind w:right="202"/>
              <w:spacing w:after="0"/>
              <w:rPr>
                <w:sz w:val="20"/>
                <w:szCs w:val="20"/>
                <w:color w:val="auto"/>
              </w:rPr>
            </w:pPr>
            <w:r>
              <w:rPr>
                <w:rFonts w:ascii="Arial" w:cs="Arial" w:eastAsia="Arial" w:hAnsi="Arial"/>
                <w:sz w:val="13"/>
                <w:szCs w:val="13"/>
                <w:b w:val="1"/>
                <w:bCs w:val="1"/>
                <w:color w:val="auto"/>
                <w:w w:val="95"/>
              </w:rPr>
              <w:t>Warrants</w:t>
            </w:r>
          </w:p>
        </w:tc>
        <w:tc>
          <w:tcPr>
            <w:tcW w:w="0" w:type="dxa"/>
            <w:vAlign w:val="bottom"/>
          </w:tcPr>
          <w:p>
            <w:pPr>
              <w:spacing w:after="0"/>
              <w:rPr>
                <w:sz w:val="1"/>
                <w:szCs w:val="1"/>
                <w:color w:val="auto"/>
              </w:rPr>
            </w:pPr>
          </w:p>
        </w:tc>
      </w:tr>
      <w:tr>
        <w:trPr>
          <w:trHeight w:val="165"/>
        </w:trPr>
        <w:tc>
          <w:tcPr>
            <w:tcW w:w="9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12"/>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Initial measurement, January 7, 2021</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147,582</w:t>
            </w:r>
          </w:p>
        </w:tc>
        <w:tc>
          <w:tcPr>
            <w:tcW w:w="0" w:type="dxa"/>
            <w:vAlign w:val="bottom"/>
          </w:tcPr>
          <w:p>
            <w:pPr>
              <w:spacing w:after="0"/>
              <w:rPr>
                <w:sz w:val="1"/>
                <w:szCs w:val="1"/>
                <w:color w:val="auto"/>
              </w:rPr>
            </w:pPr>
          </w:p>
        </w:tc>
      </w:tr>
      <w:tr>
        <w:trPr>
          <w:trHeight w:val="210"/>
        </w:trPr>
        <w:tc>
          <w:tcPr>
            <w:tcW w:w="9440" w:type="dxa"/>
            <w:vAlign w:val="bottom"/>
            <w:gridSpan w:val="2"/>
          </w:tcPr>
          <w:p>
            <w:pPr>
              <w:ind w:left="220"/>
              <w:spacing w:after="0"/>
              <w:rPr>
                <w:sz w:val="20"/>
                <w:szCs w:val="20"/>
                <w:color w:val="auto"/>
              </w:rPr>
            </w:pPr>
            <w:r>
              <w:rPr>
                <w:rFonts w:ascii="Arial" w:cs="Arial" w:eastAsia="Arial" w:hAnsi="Arial"/>
                <w:sz w:val="16"/>
                <w:szCs w:val="16"/>
                <w:color w:val="auto"/>
              </w:rPr>
              <w:t>Mark-to-market adjustment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(66,214)</w:t>
            </w:r>
          </w:p>
        </w:tc>
        <w:tc>
          <w:tcPr>
            <w:tcW w:w="0" w:type="dxa"/>
            <w:vAlign w:val="bottom"/>
          </w:tcPr>
          <w:p>
            <w:pPr>
              <w:spacing w:after="0"/>
              <w:rPr>
                <w:sz w:val="1"/>
                <w:szCs w:val="1"/>
                <w:color w:val="auto"/>
              </w:rPr>
            </w:pPr>
          </w:p>
        </w:tc>
      </w:tr>
      <w:tr>
        <w:trPr>
          <w:trHeight w:val="211"/>
        </w:trPr>
        <w:tc>
          <w:tcPr>
            <w:tcW w:w="9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Warrants exercised</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(81,283)</w:t>
            </w:r>
          </w:p>
        </w:tc>
        <w:tc>
          <w:tcPr>
            <w:tcW w:w="0" w:type="dxa"/>
            <w:vAlign w:val="bottom"/>
          </w:tcPr>
          <w:p>
            <w:pPr>
              <w:spacing w:after="0"/>
              <w:rPr>
                <w:sz w:val="1"/>
                <w:szCs w:val="1"/>
                <w:color w:val="auto"/>
              </w:rPr>
            </w:pPr>
          </w:p>
        </w:tc>
      </w:tr>
      <w:tr>
        <w:trPr>
          <w:trHeight w:val="210"/>
        </w:trPr>
        <w:tc>
          <w:tcPr>
            <w:tcW w:w="9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Warrants redeemed</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Warrants payable balance, September 30, 2021</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6. Healthcare Receivables</w:t>
      </w:r>
    </w:p>
    <w:p>
      <w:pPr>
        <w:spacing w:after="0" w:line="166" w:lineRule="exact"/>
        <w:rPr>
          <w:sz w:val="20"/>
          <w:szCs w:val="20"/>
          <w:color w:val="auto"/>
        </w:rPr>
      </w:pPr>
    </w:p>
    <w:p>
      <w:pPr>
        <w:ind w:left="1" w:right="80" w:firstLine="297"/>
        <w:spacing w:after="0" w:line="266" w:lineRule="auto"/>
        <w:rPr>
          <w:sz w:val="20"/>
          <w:szCs w:val="20"/>
          <w:color w:val="auto"/>
        </w:rPr>
      </w:pPr>
      <w:r>
        <w:rPr>
          <w:rFonts w:ascii="Arial" w:cs="Arial" w:eastAsia="Arial" w:hAnsi="Arial"/>
          <w:sz w:val="16"/>
          <w:szCs w:val="16"/>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September 30, 2021, and December 31, 2020, the Corporation recognized rebate receivables of approximately $30.2 million and $26.6 million, respectively. In addition to pharmaceutical rebates, Medicare Part D settlement receivables, member premium receivables and other CMS receivables included in healthcare receivables totaled $4.5 million and $12.1 million at September 30, 2021, and December 31, 2020, respectively.</w:t>
      </w:r>
    </w:p>
    <w:p>
      <w:pPr>
        <w:spacing w:after="0" w:line="114" w:lineRule="exact"/>
        <w:rPr>
          <w:sz w:val="20"/>
          <w:szCs w:val="20"/>
          <w:color w:val="auto"/>
        </w:rPr>
      </w:pPr>
    </w:p>
    <w:p>
      <w:pPr>
        <w:ind w:left="301" w:right="9160" w:hanging="301"/>
        <w:spacing w:after="0" w:line="519" w:lineRule="auto"/>
        <w:tabs>
          <w:tab w:leader="none" w:pos="169"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Related Party Transactions </w:t>
      </w:r>
      <w:r>
        <w:rPr>
          <w:rFonts w:ascii="Arial" w:cs="Arial" w:eastAsia="Arial" w:hAnsi="Arial"/>
          <w:sz w:val="14"/>
          <w:szCs w:val="14"/>
          <w:b w:val="1"/>
          <w:bCs w:val="1"/>
          <w:i w:val="1"/>
          <w:iCs w:val="1"/>
          <w:color w:val="auto"/>
        </w:rPr>
        <w:t>Related party agreements</w:t>
      </w:r>
    </w:p>
    <w:p>
      <w:pPr>
        <w:ind w:left="1" w:right="80" w:firstLine="297"/>
        <w:spacing w:after="0" w:line="285" w:lineRule="auto"/>
        <w:rPr>
          <w:sz w:val="20"/>
          <w:szCs w:val="20"/>
          <w:color w:val="auto"/>
        </w:rPr>
      </w:pPr>
      <w:r>
        <w:rPr>
          <w:rFonts w:ascii="Arial" w:cs="Arial" w:eastAsia="Arial" w:hAnsi="Arial"/>
          <w:sz w:val="15"/>
          <w:szCs w:val="15"/>
          <w:color w:val="auto"/>
        </w:rPr>
        <w:t>The Corporation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$1.7 million and $1.9 million for the three months ended September 30, 2021 and 2020, respectively, and $9.2 million and $5.3 million for the nine months ended September 30, 2021 and 2020, respectively.</w:t>
      </w:r>
    </w:p>
    <w:p>
      <w:pPr>
        <w:spacing w:after="0" w:line="106" w:lineRule="exact"/>
        <w:rPr>
          <w:sz w:val="20"/>
          <w:szCs w:val="20"/>
          <w:color w:val="auto"/>
        </w:rPr>
      </w:pPr>
    </w:p>
    <w:p>
      <w:pPr>
        <w:ind w:left="1" w:right="100" w:firstLine="297"/>
        <w:spacing w:after="0" w:line="330" w:lineRule="auto"/>
        <w:rPr>
          <w:sz w:val="20"/>
          <w:szCs w:val="20"/>
          <w:color w:val="auto"/>
        </w:rPr>
      </w:pPr>
      <w:r>
        <w:rPr>
          <w:rFonts w:ascii="Arial" w:cs="Arial" w:eastAsia="Arial" w:hAnsi="Arial"/>
          <w:sz w:val="14"/>
          <w:szCs w:val="14"/>
          <w:color w:val="auto"/>
        </w:rPr>
        <w:t>The Corporation has contracted with Rogue Trading, LLC (Rogue), a marketing services provider. The Corporation’s President and Chief Technology Officer, Andrew Toy, is related to the Chief Executive Officer of Rogue. Expenses and fees related to these contracts were immaterial and $0.3 million for the three and nine months ended September 30, 2021, respectively. Expenses and fees related to these contracts were $0.1 million for the three and nine months ended September 30, 2020.</w:t>
      </w:r>
    </w:p>
    <w:p>
      <w:pPr>
        <w:spacing w:after="0" w:line="78" w:lineRule="exact"/>
        <w:rPr>
          <w:sz w:val="20"/>
          <w:szCs w:val="20"/>
          <w:color w:val="auto"/>
        </w:rPr>
      </w:pPr>
    </w:p>
    <w:p>
      <w:pPr>
        <w:ind w:left="1" w:right="40" w:firstLine="297"/>
        <w:spacing w:after="0" w:line="330" w:lineRule="auto"/>
        <w:rPr>
          <w:sz w:val="20"/>
          <w:szCs w:val="20"/>
          <w:color w:val="auto"/>
        </w:rPr>
      </w:pPr>
      <w:r>
        <w:rPr>
          <w:rFonts w:ascii="Arial" w:cs="Arial" w:eastAsia="Arial" w:hAnsi="Arial"/>
          <w:sz w:val="14"/>
          <w:szCs w:val="14"/>
          <w:color w:val="auto"/>
        </w:rPr>
        <w:t>The Corporation has a contract with Medical Records Exchange, LLC (d/b/a ChartFast) pursuant to which we receive administrative services related to medical records via ChartFast’s electronic applications and web portal platform. ChartFast is ultimately owned and controlled by Mr. Garipalli. Expenses and fees incurred related to this agreement were $0.1 million for the three and nine months ended September 30, 2021, and $0.1 million for the three and nine months ended September 30, 2020.</w:t>
      </w:r>
    </w:p>
    <w:p>
      <w:pPr>
        <w:spacing w:after="0" w:line="78" w:lineRule="exact"/>
        <w:rPr>
          <w:sz w:val="20"/>
          <w:szCs w:val="20"/>
          <w:color w:val="auto"/>
        </w:rPr>
      </w:pPr>
    </w:p>
    <w:p>
      <w:pPr>
        <w:jc w:val="both"/>
        <w:ind w:left="1" w:firstLine="297"/>
        <w:spacing w:after="0" w:line="274" w:lineRule="auto"/>
        <w:rPr>
          <w:sz w:val="20"/>
          <w:szCs w:val="20"/>
          <w:color w:val="auto"/>
        </w:rPr>
      </w:pPr>
      <w:r>
        <w:rPr>
          <w:rFonts w:ascii="Arial" w:cs="Arial" w:eastAsia="Arial" w:hAnsi="Arial"/>
          <w:sz w:val="16"/>
          <w:szCs w:val="16"/>
          <w:color w:val="auto"/>
        </w:rPr>
        <w:t>On July 2, 2021, the Corporation signed a contract with Thyme Care, Inc. (Thyme Care), an oncology benefit management company, through which Thyme Care will provide concierge cancer coordination services to the Corporation’s Medicare Advantage members in New Jersey and develop a provider network to help ensure member access to high-value oncology care. Mr. Garipalli is a member of Thyme Care’s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Securities payable to related parties</w:t>
      </w:r>
    </w:p>
    <w:p>
      <w:pPr>
        <w:spacing w:after="0" w:line="162"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Corporation has entered into various securities payable with certain related parties as further discussed in Note 9 (Notes and Securities Payable).</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8. Unpaid Claims</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5"/>
          <w:szCs w:val="15"/>
          <w:color w:val="auto"/>
        </w:rPr>
        <w:t>Activity in the liability for unpaid claims, including claims adjustment expenses, for the nine months ended September 30, 2021 and 2020, is summarized as follows:</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gridSpan w:val="2"/>
          </w:tcPr>
          <w:p>
            <w:pPr>
              <w:ind w:left="20"/>
              <w:spacing w:after="0"/>
              <w:rPr>
                <w:sz w:val="20"/>
                <w:szCs w:val="20"/>
                <w:color w:val="auto"/>
              </w:rPr>
            </w:pPr>
            <w:r>
              <w:rPr>
                <w:rFonts w:ascii="Arial" w:cs="Arial" w:eastAsia="Arial" w:hAnsi="Arial"/>
                <w:sz w:val="13"/>
                <w:szCs w:val="13"/>
                <w:b w:val="1"/>
                <w:bCs w:val="1"/>
                <w:color w:val="auto"/>
              </w:rPr>
              <w:t>Nine Months Ended September 30,</w:t>
            </w:r>
          </w:p>
        </w:tc>
        <w:tc>
          <w:tcPr>
            <w:tcW w:w="360" w:type="dxa"/>
            <w:vAlign w:val="bottom"/>
          </w:tcPr>
          <w:p>
            <w:pPr>
              <w:spacing w:after="0"/>
              <w:rPr>
                <w:sz w:val="15"/>
                <w:szCs w:val="15"/>
                <w:color w:val="auto"/>
              </w:rPr>
            </w:pPr>
          </w:p>
        </w:tc>
        <w:tc>
          <w:tcPr>
            <w:tcW w:w="1200" w:type="dxa"/>
            <w:vAlign w:val="bottom"/>
          </w:tcPr>
          <w:p>
            <w:pPr>
              <w:jc w:val="right"/>
              <w:ind w:right="58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9"/>
              <w:spacing w:after="0"/>
              <w:rPr>
                <w:sz w:val="20"/>
                <w:szCs w:val="20"/>
                <w:color w:val="auto"/>
              </w:rPr>
            </w:pPr>
            <w:r>
              <w:rPr>
                <w:rFonts w:ascii="Arial" w:cs="Arial" w:eastAsia="Arial" w:hAnsi="Arial"/>
                <w:sz w:val="13"/>
                <w:szCs w:val="13"/>
                <w:b w:val="1"/>
                <w:bCs w:val="1"/>
                <w:color w:val="auto"/>
              </w:rPr>
              <w:t>2020</w:t>
            </w:r>
          </w:p>
        </w:tc>
      </w:tr>
      <w:tr>
        <w:trPr>
          <w:trHeight w:val="169"/>
        </w:trPr>
        <w:tc>
          <w:tcPr>
            <w:tcW w:w="7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Borders>
              <w:top w:val="single" w:sz="8" w:color="auto"/>
            </w:tcBorders>
          </w:tcPr>
          <w:p>
            <w:pPr>
              <w:spacing w:after="0"/>
              <w:rPr>
                <w:sz w:val="14"/>
                <w:szCs w:val="14"/>
                <w:color w:val="auto"/>
              </w:rPr>
            </w:pPr>
          </w:p>
        </w:tc>
      </w:tr>
      <w:tr>
        <w:trPr>
          <w:trHeight w:val="21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and net balance, beginning of period</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77,886</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Incurred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year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1,092,280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425,941</w:t>
            </w:r>
          </w:p>
        </w:tc>
      </w:tr>
      <w:tr>
        <w:trPr>
          <w:trHeight w:val="210"/>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Prior years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(15,401)</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incurred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1,109,375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410,540</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Paid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year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963,779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339,252</w:t>
            </w:r>
          </w:p>
        </w:tc>
      </w:tr>
      <w:tr>
        <w:trPr>
          <w:trHeight w:val="210"/>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Prior years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109,362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55,559</w:t>
            </w:r>
          </w:p>
        </w:tc>
      </w:tr>
      <w:tr>
        <w:trPr>
          <w:trHeight w:val="20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paid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1,073,141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394,811</w:t>
            </w:r>
          </w:p>
        </w:tc>
      </w:tr>
      <w:tr>
        <w:trPr>
          <w:trHeight w:val="202"/>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 and net balance, end of period</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140,210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93,615</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-313690</wp:posOffset>
            </wp:positionV>
            <wp:extent cx="6286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-855345</wp:posOffset>
            </wp:positionV>
            <wp:extent cx="6286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-1388745</wp:posOffset>
            </wp:positionV>
            <wp:extent cx="6286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202" w:lineRule="exact"/>
        <w:rPr>
          <w:sz w:val="20"/>
          <w:szCs w:val="20"/>
          <w:color w:val="auto"/>
        </w:rPr>
      </w:pPr>
    </w:p>
    <w:p>
      <w:pPr>
        <w:ind w:left="1" w:right="20" w:firstLine="297"/>
        <w:spacing w:after="0" w:line="262" w:lineRule="auto"/>
        <w:rPr>
          <w:sz w:val="20"/>
          <w:szCs w:val="20"/>
          <w:color w:val="auto"/>
        </w:rPr>
      </w:pPr>
      <w:r>
        <w:rPr>
          <w:rFonts w:ascii="Arial" w:cs="Arial" w:eastAsia="Arial" w:hAnsi="Arial"/>
          <w:sz w:val="16"/>
          <w:szCs w:val="16"/>
          <w:color w:val="auto"/>
        </w:rPr>
        <w:t>Unpaid claims as of September 30, 2021, were $140.2 million. During the nine months ended September 30, 2021, $109.4 million was paid for incurred claims attributable to insured events of prior years. An unfavorable development of $17.1 million was recognized during the nine months ended September 30, 2021, resulting from the Corporation’s claims experience, likely due to provider administrative challenges related to the COVID-19 pandemic. A favorable development of $15.4 million was recognized during the nine months ended September 30, 2020, resulting from the actualization of fee-for-service claims. Original estimates are increased or decreased, as additional information becomes known regarding individual claims. The ratio of current year medical claims paid as a percentage of current year net medical claims incurred was 88.2% for the nine months ended September 30, 2021, and 79.6% for the nine months ended September 30, 2020. This ratio serves as an indicator of claims processing speed, indicating that claims were processed at a faster rate during the nine months ended September 30, 2021, than during the nine months ended September 30, 2020. Beginning in second quarter 2021, the Corporation began participating in the DC Model, which accounted for approximately 42.4% of the Corporation’s total incurred claims as of September 30, 2021.</w:t>
      </w:r>
    </w:p>
    <w:p>
      <w:pPr>
        <w:spacing w:after="0" w:line="121" w:lineRule="exact"/>
        <w:rPr>
          <w:sz w:val="20"/>
          <w:szCs w:val="20"/>
          <w:color w:val="auto"/>
        </w:rPr>
      </w:pPr>
    </w:p>
    <w:p>
      <w:pPr>
        <w:ind w:left="1" w:right="20" w:firstLine="297"/>
        <w:spacing w:after="0" w:line="264" w:lineRule="auto"/>
        <w:rPr>
          <w:sz w:val="20"/>
          <w:szCs w:val="20"/>
          <w:color w:val="auto"/>
        </w:rPr>
      </w:pPr>
      <w:r>
        <w:rPr>
          <w:rFonts w:ascii="Arial" w:cs="Arial" w:eastAsia="Arial" w:hAnsi="Arial"/>
          <w:sz w:val="16"/>
          <w:szCs w:val="16"/>
          <w:color w:val="auto"/>
        </w:rPr>
        <w:t>The Corporation uses a variety of standard actuarial techniques to establish unpaid claims reserves. Management estimates are supported by the Corporation's actuarial analysis. The Corporation utilizes an internal actuarial team to review the adequacy of unpaid claim and unpaid claim adjustment expense. The estimation of claim costs is inherently difficult and requires significant judgment.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17" w:lineRule="exact"/>
        <w:rPr>
          <w:sz w:val="20"/>
          <w:szCs w:val="20"/>
          <w:color w:val="auto"/>
        </w:rPr>
      </w:pPr>
    </w:p>
    <w:p>
      <w:pPr>
        <w:ind w:left="301" w:right="9040" w:hanging="301"/>
        <w:spacing w:after="0" w:line="519" w:lineRule="auto"/>
        <w:tabs>
          <w:tab w:leader="none" w:pos="169"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Notes and Securities Payable </w:t>
      </w:r>
      <w:r>
        <w:rPr>
          <w:rFonts w:ascii="Arial" w:cs="Arial" w:eastAsia="Arial" w:hAnsi="Arial"/>
          <w:sz w:val="14"/>
          <w:szCs w:val="14"/>
          <w:b w:val="1"/>
          <w:bCs w:val="1"/>
          <w:i w:val="1"/>
          <w:iCs w:val="1"/>
          <w:color w:val="auto"/>
        </w:rPr>
        <w:t>Non-convertible Notes</w:t>
      </w:r>
    </w:p>
    <w:p>
      <w:pPr>
        <w:jc w:val="both"/>
        <w:ind w:left="1" w:right="260" w:firstLine="297"/>
        <w:spacing w:after="0" w:line="300" w:lineRule="auto"/>
        <w:rPr>
          <w:sz w:val="20"/>
          <w:szCs w:val="20"/>
          <w:color w:val="auto"/>
        </w:rPr>
      </w:pPr>
      <w:r>
        <w:rPr>
          <w:rFonts w:ascii="Arial" w:cs="Arial" w:eastAsia="Arial" w:hAnsi="Arial"/>
          <w:sz w:val="15"/>
          <w:szCs w:val="15"/>
          <w:color w:val="auto"/>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was secured by the assets of the Corporation. The initial obligation of $40.0 million had a maturity date of March 1, 2022, and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51" w:name="page252"/>
    <w:bookmarkEnd w:id="251"/>
    <w:p>
      <w:pPr>
        <w:jc w:val="center"/>
        <w:ind w:right="-3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subject to an interest rate of 11.0%, payable monthly, with the majority of principal payments commencing 36 months prior to the maturity date. The additional $20.0 million obligation had a maturity date of October 1, 2022, and was subject to an interest rate of 11.3%, payable monthly, with the majority of principal payments commencing 36 months prior to the maturity date. In conjunction with the Loan Facility, the Corporation issued warrants. See Note 10 (Warrants Payable) for additional information.</w:t>
      </w:r>
    </w:p>
    <w:p>
      <w:pPr>
        <w:spacing w:after="0" w:line="118" w:lineRule="exact"/>
        <w:rPr>
          <w:sz w:val="20"/>
          <w:szCs w:val="20"/>
          <w:color w:val="auto"/>
        </w:rPr>
      </w:pPr>
    </w:p>
    <w:p>
      <w:pPr>
        <w:ind w:left="300" w:right="440"/>
        <w:spacing w:after="0" w:line="451" w:lineRule="auto"/>
        <w:rPr>
          <w:sz w:val="20"/>
          <w:szCs w:val="20"/>
          <w:color w:val="auto"/>
        </w:rPr>
      </w:pPr>
      <w:r>
        <w:rPr>
          <w:rFonts w:ascii="Arial" w:cs="Arial" w:eastAsia="Arial" w:hAnsi="Arial"/>
          <w:sz w:val="16"/>
          <w:szCs w:val="16"/>
          <w:color w:val="auto"/>
        </w:rPr>
        <w:t xml:space="preserve">On June 29, 2021, the Corporation voluntarily paid the remaining principal of $20.7 million and interest of $0.2 million, thereby terminating the Loan Facility. </w:t>
      </w:r>
      <w:r>
        <w:rPr>
          <w:rFonts w:ascii="Arial" w:cs="Arial" w:eastAsia="Arial" w:hAnsi="Arial"/>
          <w:sz w:val="16"/>
          <w:szCs w:val="16"/>
          <w:b w:val="1"/>
          <w:bCs w:val="1"/>
          <w:i w:val="1"/>
          <w:iCs w:val="1"/>
          <w:color w:val="auto"/>
        </w:rPr>
        <w:t>Convertible Securities</w:t>
      </w:r>
    </w:p>
    <w:p>
      <w:pPr>
        <w:spacing w:after="0" w:line="1" w:lineRule="exact"/>
        <w:rPr>
          <w:sz w:val="20"/>
          <w:szCs w:val="20"/>
          <w:color w:val="auto"/>
        </w:rPr>
      </w:pPr>
    </w:p>
    <w:p>
      <w:pPr>
        <w:ind w:right="60" w:firstLine="297"/>
        <w:spacing w:after="0" w:line="282" w:lineRule="auto"/>
        <w:rPr>
          <w:sz w:val="20"/>
          <w:szCs w:val="20"/>
          <w:color w:val="auto"/>
        </w:rPr>
      </w:pPr>
      <w:r>
        <w:rPr>
          <w:rFonts w:ascii="Arial" w:cs="Arial" w:eastAsia="Arial" w:hAnsi="Arial"/>
          <w:sz w:val="15"/>
          <w:szCs w:val="15"/>
          <w:color w:val="auto"/>
        </w:rPr>
        <w:t>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w:t>
      </w:r>
    </w:p>
    <w:p>
      <w:pPr>
        <w:spacing w:after="0" w:line="109" w:lineRule="exact"/>
        <w:rPr>
          <w:sz w:val="20"/>
          <w:szCs w:val="20"/>
          <w:color w:val="auto"/>
        </w:rPr>
      </w:pPr>
    </w:p>
    <w:p>
      <w:pPr>
        <w:ind w:left="600" w:right="100" w:hanging="304"/>
        <w:spacing w:after="0" w:line="277" w:lineRule="auto"/>
        <w:tabs>
          <w:tab w:leader="none" w:pos="59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w:t>
      </w:r>
    </w:p>
    <w:p>
      <w:pPr>
        <w:spacing w:after="0" w:line="2"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color w:val="auto"/>
        </w:rPr>
        <w:t>$74.6 million, (b) accrued interest of $7.4 million, and (c) the fair value of the embedded derivative of $44.8 million.</w:t>
      </w:r>
    </w:p>
    <w:p>
      <w:pPr>
        <w:spacing w:after="0" w:line="151" w:lineRule="exact"/>
        <w:rPr>
          <w:rFonts w:ascii="Arial" w:cs="Arial" w:eastAsia="Arial" w:hAnsi="Arial"/>
          <w:sz w:val="15"/>
          <w:szCs w:val="15"/>
          <w:color w:val="auto"/>
        </w:rPr>
      </w:pPr>
    </w:p>
    <w:p>
      <w:pPr>
        <w:ind w:left="600" w:hanging="304"/>
        <w:spacing w:after="0" w:line="268" w:lineRule="auto"/>
        <w:tabs>
          <w:tab w:leader="none" w:pos="59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spacing w:after="0" w:line="118" w:lineRule="exact"/>
        <w:rPr>
          <w:sz w:val="20"/>
          <w:szCs w:val="20"/>
          <w:color w:val="auto"/>
        </w:rPr>
      </w:pPr>
    </w:p>
    <w:p>
      <w:pPr>
        <w:ind w:right="260" w:firstLine="297"/>
        <w:spacing w:after="0" w:line="274" w:lineRule="auto"/>
        <w:rPr>
          <w:sz w:val="20"/>
          <w:szCs w:val="20"/>
          <w:color w:val="auto"/>
        </w:rPr>
      </w:pPr>
      <w:r>
        <w:rPr>
          <w:rFonts w:ascii="Arial" w:cs="Arial" w:eastAsia="Arial" w:hAnsi="Arial"/>
          <w:sz w:val="16"/>
          <w:szCs w:val="16"/>
          <w:color w:val="auto"/>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spacing w:after="0" w:line="112" w:lineRule="exact"/>
        <w:rPr>
          <w:sz w:val="20"/>
          <w:szCs w:val="20"/>
          <w:color w:val="auto"/>
        </w:rPr>
      </w:pPr>
    </w:p>
    <w:p>
      <w:pPr>
        <w:ind w:right="40" w:firstLine="297"/>
        <w:spacing w:after="0" w:line="287" w:lineRule="auto"/>
        <w:rPr>
          <w:sz w:val="20"/>
          <w:szCs w:val="20"/>
          <w:color w:val="auto"/>
        </w:rPr>
      </w:pPr>
      <w:r>
        <w:rPr>
          <w:rFonts w:ascii="Arial" w:cs="Arial" w:eastAsia="Arial" w:hAnsi="Arial"/>
          <w:sz w:val="15"/>
          <w:szCs w:val="15"/>
          <w:color w:val="auto"/>
        </w:rPr>
        <w:t>The convertible securities bore a yield (“interest”) at the increasing rates noted below which compounded semi-annually, and would mature April 1, 2023, unless earlier converted, repurchased, or extended. The interest rate and embedded feature discount factor varied based on the length of time elapsed from the issue date of the securities. The interest rates began at 6.5% for the first twelve-month period through the first anniversary of the security issue date, increasing ratably on a semi-annual basis, to 13.5% at the third anniversary of the security issue date until the convertible securities ceased to be outstanding. The embedded feature discount factors began at 75.0% for the first twelve-month period through the first anniversary of the security issue date, decreasing ratably on a semi-annual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2" w:name="page253"/>
    <w:bookmarkEnd w:id="252"/>
    <w:p>
      <w:pPr>
        <w:jc w:val="center"/>
        <w:ind w:right="-40"/>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spacing w:after="0"/>
        <w:rPr>
          <w:sz w:val="20"/>
          <w:szCs w:val="20"/>
          <w:color w:val="auto"/>
        </w:rPr>
      </w:pPr>
      <w:r>
        <w:rPr>
          <w:rFonts w:ascii="Arial" w:cs="Arial" w:eastAsia="Arial" w:hAnsi="Arial"/>
          <w:sz w:val="16"/>
          <w:szCs w:val="16"/>
          <w:color w:val="auto"/>
        </w:rPr>
        <w:t>basis, to 55.0% at the forty-two month anniversary of the security issue date until the convertible securities ceased to be outstanding.</w:t>
      </w:r>
    </w:p>
    <w:p>
      <w:pPr>
        <w:spacing w:after="0" w:line="162" w:lineRule="exact"/>
        <w:rPr>
          <w:sz w:val="20"/>
          <w:szCs w:val="20"/>
          <w:color w:val="auto"/>
        </w:rPr>
      </w:pPr>
    </w:p>
    <w:p>
      <w:pPr>
        <w:ind w:left="1" w:firstLine="297"/>
        <w:spacing w:after="0" w:line="266" w:lineRule="auto"/>
        <w:rPr>
          <w:sz w:val="20"/>
          <w:szCs w:val="20"/>
          <w:color w:val="auto"/>
        </w:rPr>
      </w:pPr>
      <w:r>
        <w:rPr>
          <w:rFonts w:ascii="Arial" w:cs="Arial" w:eastAsia="Arial" w:hAnsi="Arial"/>
          <w:sz w:val="16"/>
          <w:szCs w:val="16"/>
          <w:color w:val="auto"/>
        </w:rPr>
        <w:t>The carrying amount of the convertible securities was $76.5 million at December 31, 2020. The unamortized discount was $337.3 million at December 31, 2020. Amortization of the debt discount was approximately $14.9 million during the nine months ended September 30, 2020. Interest expense on the convertible securities was $22.0 million during the nine months ended 2020. The effective interest rate, inclusive of amortization of the discount and the contractual rate, was 90.3% during the nine months ended September 30, 2020. The results presented as of and for the nine months ended September 30, 2021, above, reflect the impact of the conversion of the convertible securities into common stock in connection with the Business Combination.</w:t>
      </w:r>
    </w:p>
    <w:p>
      <w:pPr>
        <w:spacing w:after="0" w:line="118"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Seek Convertible Note</w:t>
      </w:r>
    </w:p>
    <w:p>
      <w:pPr>
        <w:spacing w:after="0" w:line="162" w:lineRule="exact"/>
        <w:rPr>
          <w:sz w:val="20"/>
          <w:szCs w:val="20"/>
          <w:color w:val="auto"/>
        </w:rPr>
      </w:pPr>
    </w:p>
    <w:p>
      <w:pPr>
        <w:ind w:left="1" w:firstLine="297"/>
        <w:spacing w:after="0" w:line="264" w:lineRule="auto"/>
        <w:rPr>
          <w:sz w:val="20"/>
          <w:szCs w:val="20"/>
          <w:color w:val="auto"/>
        </w:rPr>
      </w:pPr>
      <w:r>
        <w:rPr>
          <w:rFonts w:ascii="Arial" w:cs="Arial" w:eastAsia="Arial" w:hAnsi="Arial"/>
          <w:sz w:val="16"/>
          <w:szCs w:val="16"/>
          <w:color w:val="auto"/>
        </w:rPr>
        <w:t>On September 25, 2020, Seek issued the Seek Convertible Note in the principal amount of $20.0 million. The note bears simple interest at an annual rate of 8.0% and matures on September 25, 2023, unless earlier accelerated, converted, or paid in full. The outstanding principal and any accrued but unpaid interest will become immediately due and payable at the election of the note holder upon the occurrence of any event of default as defined in the note. 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21" w:lineRule="exact"/>
        <w:rPr>
          <w:sz w:val="20"/>
          <w:szCs w:val="20"/>
          <w:color w:val="auto"/>
        </w:rPr>
      </w:pPr>
    </w:p>
    <w:p>
      <w:pPr>
        <w:ind w:left="1" w:right="140" w:firstLine="297"/>
        <w:spacing w:after="0" w:line="290" w:lineRule="auto"/>
        <w:rPr>
          <w:sz w:val="20"/>
          <w:szCs w:val="20"/>
          <w:color w:val="auto"/>
        </w:rPr>
      </w:pPr>
      <w:r>
        <w:rPr>
          <w:rFonts w:ascii="Arial" w:cs="Arial" w:eastAsia="Arial" w:hAnsi="Arial"/>
          <w:sz w:val="16"/>
          <w:szCs w:val="16"/>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99" w:lineRule="exact"/>
        <w:rPr>
          <w:sz w:val="20"/>
          <w:szCs w:val="20"/>
          <w:color w:val="auto"/>
        </w:rPr>
      </w:pPr>
    </w:p>
    <w:p>
      <w:pPr>
        <w:ind w:left="1" w:right="40" w:firstLine="297"/>
        <w:spacing w:after="0" w:line="266" w:lineRule="auto"/>
        <w:rPr>
          <w:sz w:val="20"/>
          <w:szCs w:val="20"/>
          <w:color w:val="auto"/>
        </w:rPr>
      </w:pPr>
      <w:r>
        <w:rPr>
          <w:rFonts w:ascii="Arial" w:cs="Arial" w:eastAsia="Arial" w:hAnsi="Arial"/>
          <w:sz w:val="16"/>
          <w:szCs w:val="16"/>
          <w:color w:val="auto"/>
        </w:rPr>
        <w:t>The carrying amount of the note was $19.9 million at both September 30, 2021, and December 31, 2020. The Corporation capitalized $0.1 million of issuance costs which are being amortized using the effective interest method over the term of the note. Unamortized debt issuance costs were $0.1 million at both September 30, 2021, and December 31, 2020. Amortization of the debt issuance costs and interest expense on the note was $0.4 million and $1.2 million during the three and nine months ended September 30, 2021, respectively. Amortization of the debt issuance costs and interest expense on the note was immaterial during the three and nine months ended September 30, 2020.</w:t>
      </w:r>
    </w:p>
    <w:p>
      <w:pPr>
        <w:spacing w:after="0" w:line="118" w:lineRule="exact"/>
        <w:rPr>
          <w:sz w:val="20"/>
          <w:szCs w:val="20"/>
          <w:color w:val="auto"/>
        </w:rPr>
      </w:pPr>
    </w:p>
    <w:p>
      <w:pPr>
        <w:ind w:left="301"/>
        <w:spacing w:after="0"/>
        <w:rPr>
          <w:sz w:val="20"/>
          <w:szCs w:val="20"/>
          <w:color w:val="auto"/>
        </w:rPr>
      </w:pPr>
      <w:r>
        <w:rPr>
          <w:rFonts w:ascii="Arial" w:cs="Arial" w:eastAsia="Arial" w:hAnsi="Arial"/>
          <w:sz w:val="14"/>
          <w:szCs w:val="14"/>
          <w:color w:val="auto"/>
        </w:rPr>
        <w:t>The effective interest rate was 8.2% during the three and nine months ended September 30, 2021, and during the three and nine months ended September 30, 2020.</w:t>
      </w:r>
    </w:p>
    <w:p>
      <w:pPr>
        <w:spacing w:after="0" w:line="181" w:lineRule="exact"/>
        <w:rPr>
          <w:sz w:val="20"/>
          <w:szCs w:val="20"/>
          <w:color w:val="auto"/>
        </w:rPr>
      </w:pPr>
    </w:p>
    <w:p>
      <w:pPr>
        <w:ind w:left="301" w:right="9680" w:hanging="301"/>
        <w:spacing w:after="0" w:line="484" w:lineRule="auto"/>
        <w:tabs>
          <w:tab w:leader="none" w:pos="251" w:val="left"/>
        </w:tabs>
        <w:numPr>
          <w:ilvl w:val="0"/>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Warrants Payable </w:t>
      </w:r>
      <w:r>
        <w:rPr>
          <w:rFonts w:ascii="Arial" w:cs="Arial" w:eastAsia="Arial" w:hAnsi="Arial"/>
          <w:sz w:val="15"/>
          <w:szCs w:val="15"/>
          <w:b w:val="1"/>
          <w:bCs w:val="1"/>
          <w:i w:val="1"/>
          <w:iCs w:val="1"/>
          <w:color w:val="auto"/>
        </w:rPr>
        <w:t>Legacy Warrants</w:t>
      </w:r>
    </w:p>
    <w:p>
      <w:pPr>
        <w:spacing w:after="0" w:line="1" w:lineRule="exact"/>
        <w:rPr>
          <w:sz w:val="20"/>
          <w:szCs w:val="20"/>
          <w:color w:val="auto"/>
        </w:rPr>
      </w:pPr>
    </w:p>
    <w:p>
      <w:pPr>
        <w:ind w:left="1" w:firstLine="297"/>
        <w:spacing w:after="0" w:line="264" w:lineRule="auto"/>
        <w:rPr>
          <w:sz w:val="20"/>
          <w:szCs w:val="20"/>
          <w:color w:val="auto"/>
        </w:rPr>
      </w:pPr>
      <w:r>
        <w:rPr>
          <w:rFonts w:ascii="Arial" w:cs="Arial" w:eastAsia="Arial" w:hAnsi="Arial"/>
          <w:sz w:val="16"/>
          <w:szCs w:val="16"/>
          <w:color w:val="auto"/>
        </w:rPr>
        <w:t>In conjunction with the Loan Facility, the Corporation issued warrants to purchase 1,266,284 shares of the Corporation’s Series D preferred stock at an exercise price of $9.38 per share. On October 5, 2020, the Corporation entered into the Merger Agreement with SCH and simultaneously amended the warrants to be automatically exercisable for common stock in connection with the Business Combination. The warrants were accounted for as derivative instruments, and the initial fair value of approximately $1.2 million, 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spacing w:after="0" w:line="121" w:lineRule="exact"/>
        <w:rPr>
          <w:sz w:val="20"/>
          <w:szCs w:val="20"/>
          <w:color w:val="auto"/>
        </w:rPr>
      </w:pPr>
    </w:p>
    <w:p>
      <w:pPr>
        <w:ind w:left="1" w:right="140" w:firstLine="297"/>
        <w:spacing w:after="0" w:line="274" w:lineRule="auto"/>
        <w:rPr>
          <w:sz w:val="20"/>
          <w:szCs w:val="20"/>
          <w:color w:val="auto"/>
        </w:rPr>
      </w:pPr>
      <w:r>
        <w:rPr>
          <w:rFonts w:ascii="Arial" w:cs="Arial" w:eastAsia="Arial" w:hAnsi="Arial"/>
          <w:sz w:val="16"/>
          <w:szCs w:val="16"/>
          <w:color w:val="auto"/>
        </w:rPr>
        <w:t>In September 2015, the Corporation issued warrants to purchase 2,100,000 shares of the Corporation’s common stock at an exercise price of $1.04 per share. The warrants were also contingently exercisable for an additional 2,100,000 shares based proportionally on the aggregate principal amounts of additional notes borrowed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01"/>
          </w:cols>
          <w:pgMar w:left="319" w:top="127" w:right="37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297"/>
        <w:spacing w:after="0" w:line="366" w:lineRule="auto"/>
        <w:rPr>
          <w:sz w:val="20"/>
          <w:szCs w:val="20"/>
          <w:color w:val="auto"/>
        </w:rPr>
      </w:pPr>
      <w:r>
        <w:rPr>
          <w:rFonts w:ascii="Arial" w:cs="Arial" w:eastAsia="Arial" w:hAnsi="Arial"/>
          <w:sz w:val="14"/>
          <w:szCs w:val="14"/>
          <w:color w:val="auto"/>
        </w:rPr>
        <w:t>Pursuant to the Merger Agreement, the Loan Facility warrants and the September 2015 warrants automatically converted into 3,484,154 shares of Legacy Clover common stock and, after giving effect to the Exchange Ratio converted into 7,205,490 shares of Class B Common Stock upon the closing of the Business Combination.</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Public Warrants and Private Placement Warrants</w:t>
      </w:r>
    </w:p>
    <w:p>
      <w:pPr>
        <w:spacing w:after="0" w:line="162"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As a result of the Business Combination, the Corporation assumed, as of January 7, 2021, Public Warrants to purchase an aggregate of 27,599,938 shares of the Corporation’s Class A Common Stock and Private Placement Warrants to purchase an aggregate of 10,933,333 shares of the Corporation’s Class A Common Stock. Each whole Warrant entitled the registered holder to purchase one whole share of Class A Common Stock at a price of $11.50 per share, at any time commencing on April 24, 2021.</w:t>
      </w:r>
    </w:p>
    <w:p>
      <w:pPr>
        <w:spacing w:after="0" w:line="118" w:lineRule="exact"/>
        <w:rPr>
          <w:sz w:val="20"/>
          <w:szCs w:val="20"/>
          <w:color w:val="auto"/>
        </w:rPr>
      </w:pPr>
    </w:p>
    <w:p>
      <w:pPr>
        <w:ind w:right="160" w:firstLine="297"/>
        <w:spacing w:after="0" w:line="268"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warrants payable on the Condensed Consolidated Balance Sheet. The warrant liabilities were measured at fair value at inception and on a recurring basis until redeemed, with changes in fair value presented within change in fair value of warrants payable in the Condensed Consolidated Statement of Operations and Comprehensive Loss. See Note 5 (Fair Value Measurements) for additional information.</w:t>
      </w:r>
    </w:p>
    <w:p>
      <w:pPr>
        <w:spacing w:after="0" w:line="118" w:lineRule="exact"/>
        <w:rPr>
          <w:sz w:val="20"/>
          <w:szCs w:val="20"/>
          <w:color w:val="auto"/>
        </w:rPr>
      </w:pPr>
    </w:p>
    <w:p>
      <w:pPr>
        <w:ind w:firstLine="297"/>
        <w:spacing w:after="0" w:line="287" w:lineRule="auto"/>
        <w:rPr>
          <w:sz w:val="20"/>
          <w:szCs w:val="20"/>
          <w:color w:val="auto"/>
        </w:rPr>
      </w:pPr>
      <w:r>
        <w:rPr>
          <w:rFonts w:ascii="Arial" w:cs="Arial" w:eastAsia="Arial" w:hAnsi="Arial"/>
          <w:sz w:val="15"/>
          <w:szCs w:val="15"/>
          <w:color w:val="auto"/>
        </w:rPr>
        <w:t>On July 22, 2021, the Company issued a press release stating that it would redeem all of its Warrants that remained outstanding on August 23, 2021, the redemption date, for a redemption price of $0.10 per Warrant. On August 25, 2021, the Company announced that it was extending the period during which holders of the Public Warrants could exercise the Warrants to September 9, 2021, at which time any unexercised Public Warrants would be redeemed at a price of $0.10 per Warrant. Payment upon exercise of the Warrants could be made either (i) in cash, at an exercise price of $11.50 per share of Class A Common Stock or (ii) on a “cashless basis” in which the exercising holder received 0.249 shares of Class A Common Stock per Warrant shares of Class A Common Stock.</w:t>
      </w:r>
    </w:p>
    <w:p>
      <w:pPr>
        <w:spacing w:after="0" w:line="106"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Prior to the redemption date, 33,932 Public Warrants were exercised for cash, and 26,716,041 were exercised on a cashless basis in exchange for an aggregate of 6,685,865 shares of Common Stock, in each case in accordance with the terms of the Warrant Agreement, representing 96.9% of the Public Warrants. In addition, all of the Private Placement Warrants were exercised on a cashless basis in exchange for an aggregate of 2,722,399 shares of Common Stock, in accordance with the terms of the Warrant Agreement. Total cash proceeds generated from exercises of the Public Warrants were $0.4 million. The remaining unexercised 849,965 Public Warrants were redeemed by the Corporation for $0.1 million. In connection with the redemption, the Public Warrants were delisted, and no Warrants were outstanding at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Derivative Liabilities</w:t>
      </w:r>
    </w:p>
    <w:p>
      <w:pPr>
        <w:spacing w:after="0" w:line="166" w:lineRule="exact"/>
        <w:rPr>
          <w:sz w:val="20"/>
          <w:szCs w:val="20"/>
          <w:color w:val="auto"/>
        </w:rPr>
      </w:pPr>
    </w:p>
    <w:p>
      <w:pPr>
        <w:ind w:right="20" w:firstLine="297"/>
        <w:spacing w:after="0" w:line="282" w:lineRule="auto"/>
        <w:rPr>
          <w:sz w:val="20"/>
          <w:szCs w:val="20"/>
          <w:color w:val="auto"/>
        </w:rPr>
      </w:pPr>
      <w:r>
        <w:rPr>
          <w:rFonts w:ascii="Arial" w:cs="Arial" w:eastAsia="Arial" w:hAnsi="Arial"/>
          <w:sz w:val="15"/>
          <w:szCs w:val="15"/>
          <w:color w:val="auto"/>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nine months ended September 30, 2021. This capital contribution of $44.8 million was recorded as an increase in additional paid in capital as the notes were issued to affiliates of the Corporation. The Corporation recognized a gain of $68.1 million and $87.5 million from activity related to derivative liabilities in connection with the convertible securities during the three and nine months ended September 30, 2020, respectively, which was recognized in gain on derivative in the Condensed Consolidated Statements of Operations and Comprehensive Loss. Upon the completion of the Business Combination with SCH on January 7, 2021, the derivative balance was extinguished as of January 7, 2021. See Note 3 (Business Combination), Note 5 (Fair Value Measurements), and Note 9 (Notes and Securities Payable)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Letter of Credit</w:t>
      </w:r>
    </w:p>
    <w:p>
      <w:pPr>
        <w:spacing w:after="0" w:line="166" w:lineRule="exact"/>
        <w:rPr>
          <w:sz w:val="20"/>
          <w:szCs w:val="20"/>
          <w:color w:val="auto"/>
        </w:rPr>
      </w:pPr>
    </w:p>
    <w:p>
      <w:pPr>
        <w:ind w:right="180" w:firstLine="297"/>
        <w:spacing w:after="0" w:line="274" w:lineRule="auto"/>
        <w:rPr>
          <w:sz w:val="20"/>
          <w:szCs w:val="20"/>
          <w:color w:val="auto"/>
        </w:rPr>
      </w:pPr>
      <w:r>
        <w:rPr>
          <w:rFonts w:ascii="Arial" w:cs="Arial" w:eastAsia="Arial" w:hAnsi="Arial"/>
          <w:sz w:val="16"/>
          <w:szCs w:val="16"/>
          <w:color w:val="auto"/>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4" w:name="page255"/>
    <w:bookmarkEnd w:id="254"/>
    <w:p>
      <w:pPr>
        <w:jc w:val="center"/>
        <w:ind w:right="-3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Leases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62" w:lineRule="exact"/>
        <w:rPr>
          <w:sz w:val="20"/>
          <w:szCs w:val="20"/>
          <w:color w:val="auto"/>
        </w:rPr>
      </w:pPr>
    </w:p>
    <w:p>
      <w:pPr>
        <w:ind w:right="240" w:firstLine="297"/>
        <w:spacing w:after="0" w:line="283" w:lineRule="auto"/>
        <w:rPr>
          <w:sz w:val="20"/>
          <w:szCs w:val="20"/>
          <w:color w:val="auto"/>
        </w:rPr>
      </w:pPr>
      <w:r>
        <w:rPr>
          <w:rFonts w:ascii="Arial" w:cs="Arial" w:eastAsia="Arial" w:hAnsi="Arial"/>
          <w:sz w:val="15"/>
          <w:szCs w:val="15"/>
          <w:color w:val="auto"/>
        </w:rPr>
        <w:t>The Corporation leases office space in New Jersey, Minnesota, Tennessee, Georgia, Florida, California, and Hong Kong under non-cancelable operating leases, as further described below.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the Corporation’s leases include options to renew, with renewal terms that can extend the lease term. The exercise of lease renewal options is at the Corporation’s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09" w:lineRule="exact"/>
        <w:rPr>
          <w:sz w:val="20"/>
          <w:szCs w:val="20"/>
          <w:color w:val="auto"/>
        </w:rPr>
      </w:pPr>
    </w:p>
    <w:p>
      <w:pPr>
        <w:ind w:right="460" w:firstLine="297"/>
        <w:spacing w:after="0" w:line="290" w:lineRule="auto"/>
        <w:rPr>
          <w:sz w:val="20"/>
          <w:szCs w:val="20"/>
          <w:color w:val="auto"/>
        </w:rPr>
      </w:pPr>
      <w:r>
        <w:rPr>
          <w:rFonts w:ascii="Arial" w:cs="Arial" w:eastAsia="Arial" w:hAnsi="Arial"/>
          <w:sz w:val="16"/>
          <w:szCs w:val="16"/>
          <w:color w:val="auto"/>
        </w:rPr>
        <w:t>The Corporation subleases certain of its leases to third parties for which it receives rental income to manage occupancy costs. These subleases are classified as operating leases.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Certain of the Corporation’s leases are being considered for subletting.</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Mallory Green Lease:</w:t>
      </w:r>
    </w:p>
    <w:p>
      <w:pPr>
        <w:spacing w:after="0" w:line="162" w:lineRule="exact"/>
        <w:rPr>
          <w:sz w:val="20"/>
          <w:szCs w:val="20"/>
          <w:color w:val="auto"/>
        </w:rPr>
      </w:pPr>
    </w:p>
    <w:p>
      <w:pPr>
        <w:ind w:right="60" w:firstLine="297"/>
        <w:spacing w:after="0" w:line="290" w:lineRule="auto"/>
        <w:rPr>
          <w:sz w:val="20"/>
          <w:szCs w:val="20"/>
          <w:color w:val="auto"/>
        </w:rPr>
      </w:pPr>
      <w:r>
        <w:rPr>
          <w:rFonts w:ascii="Arial" w:cs="Arial" w:eastAsia="Arial" w:hAnsi="Arial"/>
          <w:sz w:val="16"/>
          <w:szCs w:val="16"/>
          <w:color w:val="auto"/>
        </w:rPr>
        <w:t>On September 22, 2021, the Corporation entered into an agreement to lease office space for its new corporate headquarters in Franklin, Tennessee, for a period of 37 months.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Montgomery Lease:</w:t>
      </w:r>
    </w:p>
    <w:p>
      <w:pPr>
        <w:spacing w:after="0" w:line="162" w:lineRule="exact"/>
        <w:rPr>
          <w:sz w:val="20"/>
          <w:szCs w:val="20"/>
          <w:color w:val="auto"/>
        </w:rPr>
      </w:pPr>
    </w:p>
    <w:p>
      <w:pPr>
        <w:ind w:right="300" w:firstLine="297"/>
        <w:spacing w:after="0" w:line="268" w:lineRule="auto"/>
        <w:rPr>
          <w:sz w:val="20"/>
          <w:szCs w:val="20"/>
          <w:color w:val="auto"/>
        </w:rPr>
      </w:pPr>
      <w:r>
        <w:rPr>
          <w:rFonts w:ascii="Arial" w:cs="Arial" w:eastAsia="Arial" w:hAnsi="Arial"/>
          <w:sz w:val="16"/>
          <w:szCs w:val="16"/>
          <w:color w:val="auto"/>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and, therefore, was no longer in default with respect to the Montgomery Lease.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Summary of Lease Costs Recognized Under ASC 842:</w:t>
      </w:r>
    </w:p>
    <w:p>
      <w:pPr>
        <w:spacing w:after="0" w:line="162" w:lineRule="exact"/>
        <w:rPr>
          <w:sz w:val="20"/>
          <w:szCs w:val="20"/>
          <w:color w:val="auto"/>
        </w:rPr>
      </w:pPr>
    </w:p>
    <w:p>
      <w:pPr>
        <w:ind w:right="160" w:firstLine="297"/>
        <w:spacing w:after="0" w:line="290" w:lineRule="auto"/>
        <w:rPr>
          <w:sz w:val="20"/>
          <w:szCs w:val="20"/>
          <w:color w:val="auto"/>
        </w:rPr>
      </w:pPr>
      <w:r>
        <w:rPr>
          <w:rFonts w:ascii="Arial" w:cs="Arial" w:eastAsia="Arial" w:hAnsi="Arial"/>
          <w:sz w:val="16"/>
          <w:szCs w:val="16"/>
          <w:color w:val="auto"/>
        </w:rPr>
        <w:t>The following table contains a summary of the lease costs recognized under ASC 842 and other information pertaining to the Corporation’s operating leases for the three and nine months ended September 30, 2021:</w:t>
      </w:r>
    </w:p>
    <w:p>
      <w:pPr>
        <w:sectPr>
          <w:pgSz w:w="11900" w:h="16838" w:orient="portrait"/>
          <w:cols w:equalWidth="0" w:num="1">
            <w:col w:w="11220"/>
          </w:cols>
          <w:pgMar w:left="320" w:top="127" w:right="359" w:bottom="1440" w:gutter="0" w:footer="0" w:header="0"/>
        </w:sectPr>
      </w:pPr>
    </w:p>
    <w:p>
      <w:pPr>
        <w:spacing w:after="0" w:line="17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4375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lease cost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Sublease income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56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365"/>
        <w:spacing w:after="0"/>
        <w:rPr>
          <w:sz w:val="20"/>
          <w:szCs w:val="20"/>
          <w:color w:val="auto"/>
        </w:rPr>
      </w:pPr>
      <w:r>
        <w:rPr>
          <w:rFonts w:ascii="Arial" w:cs="Arial" w:eastAsia="Arial" w:hAnsi="Arial"/>
          <w:sz w:val="13"/>
          <w:szCs w:val="13"/>
          <w:b w:val="1"/>
          <w:bCs w:val="1"/>
          <w:color w:val="auto"/>
        </w:rPr>
        <w:t>(in thousands)</w:t>
      </w:r>
    </w:p>
    <w:p>
      <w:pPr>
        <w:spacing w:after="0" w:line="31" w:lineRule="exact"/>
        <w:rPr>
          <w:sz w:val="20"/>
          <w:szCs w:val="20"/>
          <w:color w:val="auto"/>
        </w:rPr>
      </w:pPr>
    </w:p>
    <w:p>
      <w:pPr>
        <w:ind w:left="1125" w:hanging="1125"/>
        <w:spacing w:after="0"/>
        <w:tabs>
          <w:tab w:leader="none" w:pos="1125" w:val="left"/>
        </w:tabs>
        <w:numPr>
          <w:ilvl w:val="0"/>
          <w:numId w:val="124"/>
        </w:numPr>
        <w:rPr>
          <w:rFonts w:ascii="Arial" w:cs="Arial" w:eastAsia="Arial" w:hAnsi="Arial"/>
          <w:sz w:val="15"/>
          <w:szCs w:val="15"/>
          <w:color w:val="auto"/>
        </w:rPr>
      </w:pPr>
      <w:r>
        <w:rPr>
          <w:rFonts w:ascii="Arial" w:cs="Arial" w:eastAsia="Arial" w:hAnsi="Arial"/>
          <w:sz w:val="15"/>
          <w:szCs w:val="15"/>
          <w:color w:val="auto"/>
        </w:rPr>
        <w:t>1,126</w:t>
      </w:r>
    </w:p>
    <w:p>
      <w:pPr>
        <w:spacing w:after="0" w:line="37" w:lineRule="exact"/>
        <w:rPr>
          <w:rFonts w:ascii="Arial" w:cs="Arial" w:eastAsia="Arial" w:hAnsi="Arial"/>
          <w:sz w:val="15"/>
          <w:szCs w:val="15"/>
          <w:color w:val="auto"/>
        </w:rPr>
      </w:pPr>
    </w:p>
    <w:p>
      <w:pPr>
        <w:ind w:left="1245"/>
        <w:spacing w:after="0"/>
        <w:rPr>
          <w:rFonts w:ascii="Arial" w:cs="Arial" w:eastAsia="Arial" w:hAnsi="Arial"/>
          <w:sz w:val="15"/>
          <w:szCs w:val="15"/>
          <w:color w:val="auto"/>
        </w:rPr>
      </w:pPr>
      <w:r>
        <w:rPr>
          <w:rFonts w:ascii="Arial" w:cs="Arial" w:eastAsia="Arial" w:hAnsi="Arial"/>
          <w:sz w:val="16"/>
          <w:szCs w:val="16"/>
          <w:color w:val="auto"/>
        </w:rPr>
        <w:t>123</w:t>
      </w:r>
    </w:p>
    <w:p>
      <w:pPr>
        <w:spacing w:after="0" w:line="26" w:lineRule="exact"/>
        <w:rPr>
          <w:rFonts w:ascii="Arial" w:cs="Arial" w:eastAsia="Arial" w:hAnsi="Arial"/>
          <w:sz w:val="15"/>
          <w:szCs w:val="15"/>
          <w:color w:val="auto"/>
        </w:rPr>
      </w:pPr>
    </w:p>
    <w:p>
      <w:pPr>
        <w:ind w:left="1325"/>
        <w:spacing w:after="0"/>
        <w:rPr>
          <w:rFonts w:ascii="Arial" w:cs="Arial" w:eastAsia="Arial" w:hAnsi="Arial"/>
          <w:sz w:val="15"/>
          <w:szCs w:val="15"/>
          <w:color w:val="auto"/>
        </w:rPr>
      </w:pPr>
      <w:r>
        <w:rPr>
          <w:rFonts w:ascii="Arial" w:cs="Arial" w:eastAsia="Arial" w:hAnsi="Arial"/>
          <w:sz w:val="16"/>
          <w:szCs w:val="16"/>
          <w:color w:val="auto"/>
        </w:rPr>
        <w:t>15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(650)</w:t>
      </w:r>
    </w:p>
    <w:p>
      <w:pPr>
        <w:spacing w:after="0" w:line="39" w:lineRule="exact"/>
        <w:rPr>
          <w:sz w:val="20"/>
          <w:szCs w:val="20"/>
          <w:color w:val="auto"/>
        </w:rPr>
      </w:pPr>
    </w:p>
    <w:p>
      <w:pPr>
        <w:ind w:left="1245" w:hanging="1245"/>
        <w:spacing w:after="0"/>
        <w:tabs>
          <w:tab w:leader="none" w:pos="124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99695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9695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75" w:space="720"/>
            <w:col w:w="1525"/>
          </w:cols>
          <w:pgMar w:left="320" w:top="1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168275</wp:posOffset>
            </wp:positionV>
            <wp:extent cx="7169150"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255" w:name="page256"/>
    <w:bookmarkEnd w:id="25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4375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6" w:lineRule="exact"/>
        <w:rPr>
          <w:sz w:val="20"/>
          <w:szCs w:val="20"/>
          <w:color w:val="auto"/>
        </w:rPr>
      </w:pPr>
    </w:p>
    <w:p>
      <w:pPr>
        <w:jc w:val="right"/>
        <w:ind w:right="44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241"/>
          </w:cols>
          <w:pgMar w:left="319" w:top="127" w:right="339" w:bottom="1440" w:gutter="0" w:footer="0" w:header="0"/>
        </w:sectPr>
      </w:pPr>
    </w:p>
    <w:p>
      <w:pPr>
        <w:spacing w:after="0" w:line="31" w:lineRule="exact"/>
        <w:rPr>
          <w:sz w:val="20"/>
          <w:szCs w:val="20"/>
          <w:color w:val="auto"/>
        </w:rPr>
      </w:pPr>
    </w:p>
    <w:p>
      <w:pPr>
        <w:ind w:left="21"/>
        <w:spacing w:after="0"/>
        <w:rPr>
          <w:sz w:val="20"/>
          <w:szCs w:val="20"/>
          <w:color w:val="auto"/>
        </w:rPr>
      </w:pPr>
      <w:r>
        <w:rPr>
          <w:rFonts w:ascii="Arial" w:cs="Arial" w:eastAsia="Arial" w:hAnsi="Arial"/>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1"/>
        <w:spacing w:after="0"/>
        <w:rPr>
          <w:sz w:val="20"/>
          <w:szCs w:val="20"/>
          <w:color w:val="auto"/>
        </w:rPr>
      </w:pPr>
      <w:r>
        <w:rPr>
          <w:rFonts w:ascii="Arial" w:cs="Arial" w:eastAsia="Arial" w:hAnsi="Arial"/>
          <w:sz w:val="16"/>
          <w:szCs w:val="16"/>
          <w:color w:val="auto"/>
        </w:rPr>
        <w:t>Variable lease cost</w:t>
      </w:r>
    </w:p>
    <w:p>
      <w:pPr>
        <w:spacing w:after="0" w:line="26" w:lineRule="exact"/>
        <w:rPr>
          <w:sz w:val="20"/>
          <w:szCs w:val="20"/>
          <w:color w:val="auto"/>
        </w:rPr>
      </w:pPr>
    </w:p>
    <w:p>
      <w:pPr>
        <w:ind w:left="21"/>
        <w:spacing w:after="0"/>
        <w:rPr>
          <w:sz w:val="20"/>
          <w:szCs w:val="20"/>
          <w:color w:val="auto"/>
        </w:rPr>
      </w:pPr>
      <w:r>
        <w:rPr>
          <w:rFonts w:ascii="Arial" w:cs="Arial" w:eastAsia="Arial" w:hAnsi="Arial"/>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6" w:lineRule="exact"/>
        <w:rPr>
          <w:sz w:val="20"/>
          <w:szCs w:val="20"/>
          <w:color w:val="auto"/>
        </w:rPr>
      </w:pPr>
    </w:p>
    <w:p>
      <w:pPr>
        <w:ind w:left="21"/>
        <w:spacing w:after="0"/>
        <w:rPr>
          <w:sz w:val="20"/>
          <w:szCs w:val="20"/>
          <w:color w:val="auto"/>
        </w:rPr>
      </w:pPr>
      <w:r>
        <w:rPr>
          <w:rFonts w:ascii="Arial" w:cs="Arial" w:eastAsia="Arial" w:hAnsi="Arial"/>
          <w:sz w:val="16"/>
          <w:szCs w:val="16"/>
          <w:color w:val="auto"/>
        </w:rPr>
        <w:t>Sublease income</w:t>
      </w:r>
    </w:p>
    <w:p>
      <w:pPr>
        <w:spacing w:after="0" w:line="26" w:lineRule="exact"/>
        <w:rPr>
          <w:sz w:val="20"/>
          <w:szCs w:val="20"/>
          <w:color w:val="auto"/>
        </w:rPr>
      </w:pPr>
    </w:p>
    <w:p>
      <w:pPr>
        <w:ind w:left="21"/>
        <w:spacing w:after="0"/>
        <w:rPr>
          <w:sz w:val="20"/>
          <w:szCs w:val="20"/>
          <w:color w:val="auto"/>
        </w:rPr>
      </w:pPr>
      <w:r>
        <w:rPr>
          <w:rFonts w:ascii="Arial" w:cs="Arial" w:eastAsia="Arial" w:hAnsi="Arial"/>
          <w:sz w:val="16"/>
          <w:szCs w:val="16"/>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56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43" w:lineRule="exact"/>
        <w:rPr>
          <w:sz w:val="20"/>
          <w:szCs w:val="20"/>
          <w:color w:val="auto"/>
        </w:rPr>
      </w:pPr>
    </w:p>
    <w:p>
      <w:pPr>
        <w:ind w:left="21"/>
        <w:spacing w:after="0"/>
        <w:rPr>
          <w:sz w:val="20"/>
          <w:szCs w:val="20"/>
          <w:color w:val="auto"/>
        </w:rPr>
      </w:pPr>
      <w:r>
        <w:rPr>
          <w:rFonts w:ascii="Arial" w:cs="Arial" w:eastAsia="Arial" w:hAnsi="Arial"/>
          <w:sz w:val="16"/>
          <w:szCs w:val="16"/>
          <w:color w:val="auto"/>
        </w:rPr>
        <w:t>Other information</w:t>
      </w:r>
    </w:p>
    <w:p>
      <w:pPr>
        <w:spacing w:after="0" w:line="26" w:lineRule="exact"/>
        <w:rPr>
          <w:sz w:val="20"/>
          <w:szCs w:val="20"/>
          <w:color w:val="auto"/>
        </w:rPr>
      </w:pPr>
    </w:p>
    <w:p>
      <w:pPr>
        <w:ind w:left="21"/>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43750"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9" w:lineRule="exact"/>
        <w:rPr>
          <w:sz w:val="20"/>
          <w:szCs w:val="20"/>
          <w:color w:val="auto"/>
        </w:rPr>
      </w:pPr>
    </w:p>
    <w:p>
      <w:pPr>
        <w:ind w:left="21"/>
        <w:spacing w:after="0"/>
        <w:rPr>
          <w:sz w:val="20"/>
          <w:szCs w:val="20"/>
          <w:color w:val="auto"/>
        </w:rPr>
      </w:pPr>
      <w:r>
        <w:rPr>
          <w:rFonts w:ascii="Arial" w:cs="Arial" w:eastAsia="Arial" w:hAnsi="Arial"/>
          <w:sz w:val="16"/>
          <w:szCs w:val="16"/>
          <w:color w:val="auto"/>
        </w:rPr>
        <w:t>Weighted-average remaining lease term</w:t>
      </w:r>
    </w:p>
    <w:p>
      <w:pPr>
        <w:spacing w:after="0" w:line="26" w:lineRule="exact"/>
        <w:rPr>
          <w:sz w:val="20"/>
          <w:szCs w:val="20"/>
          <w:color w:val="auto"/>
        </w:rPr>
      </w:pPr>
    </w:p>
    <w:p>
      <w:pPr>
        <w:ind w:left="21"/>
        <w:spacing w:after="0"/>
        <w:rPr>
          <w:sz w:val="20"/>
          <w:szCs w:val="20"/>
          <w:color w:val="auto"/>
        </w:rPr>
      </w:pPr>
      <w:r>
        <w:rPr>
          <w:rFonts w:ascii="Arial" w:cs="Arial" w:eastAsia="Arial" w:hAnsi="Arial"/>
          <w:sz w:val="16"/>
          <w:szCs w:val="16"/>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108" w:hanging="1108"/>
        <w:spacing w:after="0"/>
        <w:tabs>
          <w:tab w:leader="none" w:pos="110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3,351</w:t>
      </w:r>
    </w:p>
    <w:p>
      <w:pPr>
        <w:spacing w:after="0" w:line="26" w:lineRule="exact"/>
        <w:rPr>
          <w:rFonts w:ascii="Arial" w:cs="Arial" w:eastAsia="Arial" w:hAnsi="Arial"/>
          <w:sz w:val="16"/>
          <w:szCs w:val="16"/>
          <w:color w:val="auto"/>
        </w:rPr>
      </w:pPr>
    </w:p>
    <w:p>
      <w:pPr>
        <w:ind w:left="1228"/>
        <w:spacing w:after="0"/>
        <w:rPr>
          <w:rFonts w:ascii="Arial" w:cs="Arial" w:eastAsia="Arial" w:hAnsi="Arial"/>
          <w:sz w:val="16"/>
          <w:szCs w:val="16"/>
          <w:color w:val="auto"/>
        </w:rPr>
      </w:pPr>
      <w:r>
        <w:rPr>
          <w:rFonts w:ascii="Arial" w:cs="Arial" w:eastAsia="Arial" w:hAnsi="Arial"/>
          <w:sz w:val="16"/>
          <w:szCs w:val="16"/>
          <w:color w:val="auto"/>
        </w:rPr>
        <w:t>391</w:t>
      </w:r>
    </w:p>
    <w:p>
      <w:pPr>
        <w:spacing w:after="0" w:line="26" w:lineRule="exact"/>
        <w:rPr>
          <w:rFonts w:ascii="Arial" w:cs="Arial" w:eastAsia="Arial" w:hAnsi="Arial"/>
          <w:sz w:val="16"/>
          <w:szCs w:val="16"/>
          <w:color w:val="auto"/>
        </w:rPr>
      </w:pPr>
    </w:p>
    <w:p>
      <w:pPr>
        <w:ind w:left="1308"/>
        <w:spacing w:after="0"/>
        <w:rPr>
          <w:rFonts w:ascii="Arial" w:cs="Arial" w:eastAsia="Arial" w:hAnsi="Arial"/>
          <w:sz w:val="16"/>
          <w:szCs w:val="16"/>
          <w:color w:val="auto"/>
        </w:rPr>
      </w:pPr>
      <w:r>
        <w:rPr>
          <w:rFonts w:ascii="Arial" w:cs="Arial" w:eastAsia="Arial" w:hAnsi="Arial"/>
          <w:sz w:val="16"/>
          <w:szCs w:val="16"/>
          <w:color w:val="auto"/>
        </w:rPr>
        <w:t>45</w:t>
      </w:r>
    </w:p>
    <w:p>
      <w:pPr>
        <w:spacing w:after="0" w:line="26" w:lineRule="exact"/>
        <w:rPr>
          <w:sz w:val="20"/>
          <w:szCs w:val="20"/>
          <w:color w:val="auto"/>
        </w:rPr>
      </w:pPr>
    </w:p>
    <w:p>
      <w:pPr>
        <w:ind w:left="1028"/>
        <w:spacing w:after="0"/>
        <w:rPr>
          <w:sz w:val="20"/>
          <w:szCs w:val="20"/>
          <w:color w:val="auto"/>
        </w:rPr>
      </w:pPr>
      <w:r>
        <w:rPr>
          <w:rFonts w:ascii="Arial" w:cs="Arial" w:eastAsia="Arial" w:hAnsi="Arial"/>
          <w:sz w:val="16"/>
          <w:szCs w:val="16"/>
          <w:color w:val="auto"/>
        </w:rPr>
        <w:t>(2,077)</w:t>
      </w:r>
    </w:p>
    <w:p>
      <w:pPr>
        <w:spacing w:after="0" w:line="39" w:lineRule="exact"/>
        <w:rPr>
          <w:sz w:val="20"/>
          <w:szCs w:val="20"/>
          <w:color w:val="auto"/>
        </w:rPr>
      </w:pPr>
    </w:p>
    <w:p>
      <w:pPr>
        <w:ind w:left="1108" w:hanging="1108"/>
        <w:spacing w:after="0"/>
        <w:tabs>
          <w:tab w:leader="none" w:pos="110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107569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41" w:lineRule="exact"/>
        <w:rPr>
          <w:sz w:val="20"/>
          <w:szCs w:val="20"/>
          <w:color w:val="auto"/>
        </w:rPr>
      </w:pPr>
    </w:p>
    <w:p>
      <w:pPr>
        <w:ind w:left="1108" w:hanging="1108"/>
        <w:spacing w:after="0"/>
        <w:tabs>
          <w:tab w:leader="none" w:pos="110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3,894</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 years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10.26 %</w:t>
      </w:r>
    </w:p>
    <w:p>
      <w:pPr>
        <w:spacing w:after="0" w:line="200" w:lineRule="exact"/>
        <w:rPr>
          <w:sz w:val="20"/>
          <w:szCs w:val="20"/>
          <w:color w:val="auto"/>
        </w:rPr>
      </w:pPr>
    </w:p>
    <w:p>
      <w:pPr>
        <w:sectPr>
          <w:pgSz w:w="11900" w:h="16838" w:orient="portrait"/>
          <w:cols w:equalWidth="0" w:num="2">
            <w:col w:w="8853" w:space="720"/>
            <w:col w:w="1668"/>
          </w:cols>
          <w:pgMar w:left="319" w:top="127" w:right="339" w:bottom="1440" w:gutter="0" w:footer="0" w:header="0"/>
          <w:type w:val="continuous"/>
        </w:sectPr>
      </w:pPr>
    </w:p>
    <w:p>
      <w:pPr>
        <w:spacing w:after="0" w:line="49" w:lineRule="exact"/>
        <w:rPr>
          <w:sz w:val="20"/>
          <w:szCs w:val="20"/>
          <w:color w:val="auto"/>
        </w:rPr>
      </w:pPr>
    </w:p>
    <w:p>
      <w:pPr>
        <w:ind w:left="1" w:right="560" w:firstLine="297"/>
        <w:spacing w:after="0" w:line="290" w:lineRule="auto"/>
        <w:rPr>
          <w:sz w:val="20"/>
          <w:szCs w:val="20"/>
          <w:color w:val="auto"/>
        </w:rPr>
      </w:pPr>
      <w:r>
        <w:rPr>
          <w:rFonts w:ascii="Arial" w:cs="Arial" w:eastAsia="Arial" w:hAnsi="Arial"/>
          <w:sz w:val="16"/>
          <w:szCs w:val="16"/>
          <w:color w:val="auto"/>
        </w:rPr>
        <w:t>Pursuant to the terms of the Corporation’s non-cancelable lease agreements in effect at December 31, 2020, the following table summarizes the Corporation’s maturities of lease liabilities as of September 30, 2021:</w:t>
      </w:r>
    </w:p>
    <w:p>
      <w:pPr>
        <w:spacing w:after="0" w:line="178"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99"/>
              <w:spacing w:after="0"/>
              <w:rPr>
                <w:sz w:val="20"/>
                <w:szCs w:val="20"/>
                <w:color w:val="auto"/>
              </w:rPr>
            </w:pPr>
            <w:r>
              <w:rPr>
                <w:rFonts w:ascii="Arial" w:cs="Arial" w:eastAsia="Arial" w:hAnsi="Arial"/>
                <w:sz w:val="13"/>
                <w:szCs w:val="13"/>
                <w:b w:val="1"/>
                <w:bCs w:val="1"/>
                <w:color w:val="auto"/>
              </w:rPr>
              <w:t>(in thousands)</w:t>
            </w:r>
          </w:p>
        </w:tc>
      </w:tr>
      <w:tr>
        <w:trPr>
          <w:trHeight w:val="216"/>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3,001</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r>
      <w:tr>
        <w:trPr>
          <w:trHeight w:val="21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r>
      <w:tr>
        <w:trPr>
          <w:trHeight w:val="203"/>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10,760</w:t>
            </w:r>
          </w:p>
        </w:tc>
      </w:tr>
      <w:tr>
        <w:trPr>
          <w:trHeight w:val="21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r>
      <w:tr>
        <w:trPr>
          <w:trHeight w:val="22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14. Convertible Preferred Stock</w:t>
      </w:r>
    </w:p>
    <w:p>
      <w:pPr>
        <w:spacing w:after="0" w:line="166" w:lineRule="exact"/>
        <w:rPr>
          <w:sz w:val="20"/>
          <w:szCs w:val="20"/>
          <w:color w:val="auto"/>
        </w:rPr>
      </w:pPr>
    </w:p>
    <w:p>
      <w:pPr>
        <w:ind w:left="1" w:right="180" w:firstLine="297"/>
        <w:spacing w:after="0" w:line="300" w:lineRule="auto"/>
        <w:rPr>
          <w:sz w:val="20"/>
          <w:szCs w:val="20"/>
          <w:color w:val="auto"/>
        </w:rPr>
      </w:pPr>
      <w:r>
        <w:rPr>
          <w:rFonts w:ascii="Arial" w:cs="Arial" w:eastAsia="Arial" w:hAnsi="Arial"/>
          <w:sz w:val="15"/>
          <w:szCs w:val="15"/>
          <w:color w:val="auto"/>
        </w:rPr>
        <w:t>Each share of Legacy Clover’s preferred stock was convertible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conversion price as described in Note 17 (Preferred Stock) to financial statements in the Form 8-K/A in effect at the time of conversion.</w:t>
      </w:r>
    </w:p>
    <w:p>
      <w:pPr>
        <w:spacing w:after="0" w:line="95" w:lineRule="exact"/>
        <w:rPr>
          <w:sz w:val="20"/>
          <w:szCs w:val="20"/>
          <w:color w:val="auto"/>
        </w:rPr>
      </w:pPr>
    </w:p>
    <w:p>
      <w:pPr>
        <w:ind w:left="1" w:right="180" w:firstLine="297"/>
        <w:spacing w:after="0" w:line="274" w:lineRule="auto"/>
        <w:rPr>
          <w:sz w:val="20"/>
          <w:szCs w:val="20"/>
          <w:color w:val="auto"/>
        </w:rPr>
      </w:pPr>
      <w:r>
        <w:rPr>
          <w:rFonts w:ascii="Arial" w:cs="Arial" w:eastAsia="Arial" w:hAnsi="Arial"/>
          <w:sz w:val="16"/>
          <w:szCs w:val="16"/>
          <w:color w:val="auto"/>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pacing w:after="0" w:line="108" w:lineRule="exact"/>
        <w:rPr>
          <w:sz w:val="20"/>
          <w:szCs w:val="20"/>
          <w:color w:val="auto"/>
        </w:rPr>
      </w:pPr>
    </w:p>
    <w:p>
      <w:pPr>
        <w:jc w:val="both"/>
        <w:ind w:left="301" w:right="9320" w:hanging="301"/>
        <w:spacing w:after="0" w:line="519" w:lineRule="auto"/>
        <w:tabs>
          <w:tab w:leader="none" w:pos="251" w:val="left"/>
        </w:tabs>
        <w:numPr>
          <w:ilvl w:val="0"/>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Employee Benefit Plans </w:t>
      </w:r>
      <w:r>
        <w:rPr>
          <w:rFonts w:ascii="Arial" w:cs="Arial" w:eastAsia="Arial" w:hAnsi="Arial"/>
          <w:sz w:val="14"/>
          <w:szCs w:val="14"/>
          <w:b w:val="1"/>
          <w:bCs w:val="1"/>
          <w:i w:val="1"/>
          <w:iCs w:val="1"/>
          <w:color w:val="auto"/>
        </w:rPr>
        <w:t>Employee Savings Plan</w:t>
      </w:r>
    </w:p>
    <w:p>
      <w:pPr>
        <w:ind w:left="1" w:firstLine="297"/>
        <w:spacing w:after="0" w:line="287" w:lineRule="auto"/>
        <w:rPr>
          <w:sz w:val="20"/>
          <w:szCs w:val="20"/>
          <w:color w:val="auto"/>
        </w:rPr>
      </w:pPr>
      <w:r>
        <w:rPr>
          <w:rFonts w:ascii="Arial" w:cs="Arial" w:eastAsia="Arial" w:hAnsi="Arial"/>
          <w:sz w:val="15"/>
          <w:szCs w:val="15"/>
          <w:color w:val="auto"/>
        </w:rPr>
        <w:t>The Corporation has a defined contribution retirement savings plan (the “401(k) Plan”) covering eligible employees, which includes safe harbor matching contributions based on the amount of employees’ contributions to the 401(k) Plan. The Corporation contributes to the 401(k) Plan annually 100.0% of the first 4.0% compensation that is contributed by the employee up to 4.0% of eligible annual compensation. The Corporation’s service contributions to the 401(k) Plan amounted to approximately $0.3 million and $0.3 million for the three months ended September 30, 2021 and 2020, respectively, and $0.9 million and $1.0 million for the nine months ended September 30, 2021 and 2020, respectively, and are included in salaries and benefits on the Condensed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type w:val="continuous"/>
        </w:sectPr>
      </w:pPr>
    </w:p>
    <w:bookmarkStart w:id="256" w:name="page257"/>
    <w:bookmarkEnd w:id="25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0"/>
        <w:spacing w:after="0" w:line="290" w:lineRule="auto"/>
        <w:rPr>
          <w:sz w:val="20"/>
          <w:szCs w:val="20"/>
          <w:color w:val="auto"/>
        </w:rPr>
      </w:pPr>
      <w:r>
        <w:rPr>
          <w:rFonts w:ascii="Arial" w:cs="Arial" w:eastAsia="Arial" w:hAnsi="Arial"/>
          <w:sz w:val="16"/>
          <w:szCs w:val="16"/>
          <w:color w:val="auto"/>
        </w:rPr>
        <w:t>Operations and Comprehensive Loss. The Corporation's cash match is invested pursuant to the participant's contribution direction. Employer contributions are immediately 100.0% vested.</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62" w:lineRule="exact"/>
        <w:rPr>
          <w:sz w:val="20"/>
          <w:szCs w:val="20"/>
          <w:color w:val="auto"/>
        </w:rPr>
      </w:pPr>
    </w:p>
    <w:p>
      <w:pPr>
        <w:ind w:right="60" w:firstLine="297"/>
        <w:spacing w:after="0" w:line="268" w:lineRule="auto"/>
        <w:rPr>
          <w:sz w:val="20"/>
          <w:szCs w:val="20"/>
          <w:color w:val="auto"/>
        </w:rPr>
      </w:pPr>
      <w:r>
        <w:rPr>
          <w:rFonts w:ascii="Arial" w:cs="Arial" w:eastAsia="Arial" w:hAnsi="Arial"/>
          <w:sz w:val="16"/>
          <w:szCs w:val="16"/>
          <w:color w:val="auto"/>
        </w:rPr>
        <w:t>The Corporation’s 2020 Equity Incentive Plan (the “2020 Plan”) and 2020 Management Incentive Plan (the “2020 MIP”) provide for grants of restricted stocks units (RSUs) and/or options to acquire shares of the Corporation’s common stock, par value $0.0001 per share, to employees, directors, officers, and consultants of the Corporation. During the nine months ended September 30, 2021, the Corporation approved the 2020 Plan and the 2020 MIP, and the Corporation’s 2014 Equity Incentive Plan (the “2014 Plan” and, collectively with the 2020 Plan and the 2020 MIP, the “Plans”) was retired.</w:t>
      </w:r>
    </w:p>
    <w:p>
      <w:pPr>
        <w:spacing w:after="0" w:line="118"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The maximum number of shares of the Corporation’s common stock reserved for issuance over the term of the Plans, shares outstanding under the Plans, and shares remaining under the Plans, after giving effect to the Exchange Ratio, as of September 30, 2021, and December 31, 2020, were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vMerge w:val="restart"/>
          </w:tcPr>
          <w:p>
            <w:pPr>
              <w:spacing w:after="0"/>
              <w:rPr>
                <w:sz w:val="20"/>
                <w:szCs w:val="20"/>
                <w:color w:val="auto"/>
              </w:rPr>
            </w:pPr>
            <w:r>
              <w:rPr>
                <w:rFonts w:ascii="Arial" w:cs="Arial" w:eastAsia="Arial" w:hAnsi="Arial"/>
                <w:sz w:val="13"/>
                <w:szCs w:val="13"/>
                <w:b w:val="1"/>
                <w:bCs w:val="1"/>
                <w:color w:val="auto"/>
              </w:rPr>
              <w:t>September 30, 2021</w:t>
            </w:r>
          </w:p>
        </w:tc>
        <w:tc>
          <w:tcPr>
            <w:tcW w:w="4180" w:type="dxa"/>
            <w:vAlign w:val="bottom"/>
          </w:tcPr>
          <w:p>
            <w:pPr>
              <w:jc w:val="center"/>
              <w:ind w:left="2474"/>
              <w:spacing w:after="0"/>
              <w:rPr>
                <w:sz w:val="20"/>
                <w:szCs w:val="20"/>
                <w:color w:val="auto"/>
              </w:rPr>
            </w:pPr>
            <w:r>
              <w:rPr>
                <w:rFonts w:ascii="Arial" w:cs="Arial" w:eastAsia="Arial" w:hAnsi="Arial"/>
                <w:sz w:val="13"/>
                <w:szCs w:val="13"/>
                <w:b w:val="1"/>
                <w:bCs w:val="1"/>
                <w:color w:val="auto"/>
                <w:w w:val="92"/>
              </w:rPr>
              <w:t>Shares Authorized Under</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1"/>
              </w:rPr>
              <w:t>Shares Outstanding Under</w:t>
            </w:r>
          </w:p>
        </w:tc>
        <w:tc>
          <w:tcPr>
            <w:tcW w:w="1520" w:type="dxa"/>
            <w:vAlign w:val="bottom"/>
          </w:tcPr>
          <w:p>
            <w:pPr>
              <w:jc w:val="center"/>
              <w:ind w:left="34"/>
              <w:spacing w:after="0"/>
              <w:rPr>
                <w:sz w:val="20"/>
                <w:szCs w:val="20"/>
                <w:color w:val="auto"/>
              </w:rPr>
            </w:pPr>
            <w:r>
              <w:rPr>
                <w:rFonts w:ascii="Arial" w:cs="Arial" w:eastAsia="Arial" w:hAnsi="Arial"/>
                <w:sz w:val="13"/>
                <w:szCs w:val="13"/>
                <w:b w:val="1"/>
                <w:bCs w:val="1"/>
                <w:color w:val="auto"/>
                <w:w w:val="91"/>
              </w:rPr>
              <w:t>Shares Remaining Under</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4180" w:type="dxa"/>
            <w:vAlign w:val="bottom"/>
          </w:tcPr>
          <w:p>
            <w:pPr>
              <w:jc w:val="center"/>
              <w:ind w:left="2494"/>
              <w:spacing w:after="0"/>
              <w:rPr>
                <w:sz w:val="20"/>
                <w:szCs w:val="20"/>
                <w:color w:val="auto"/>
              </w:rPr>
            </w:pPr>
            <w:r>
              <w:rPr>
                <w:rFonts w:ascii="Arial" w:cs="Arial" w:eastAsia="Arial" w:hAnsi="Arial"/>
                <w:sz w:val="13"/>
                <w:szCs w:val="13"/>
                <w:b w:val="1"/>
                <w:bCs w:val="1"/>
                <w:color w:val="auto"/>
                <w:w w:val="86"/>
              </w:rPr>
              <w:t>Plans</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6"/>
              </w:rPr>
              <w:t>Plans</w:t>
            </w:r>
          </w:p>
        </w:tc>
        <w:tc>
          <w:tcPr>
            <w:tcW w:w="1520" w:type="dxa"/>
            <w:vAlign w:val="bottom"/>
          </w:tcPr>
          <w:p>
            <w:pPr>
              <w:jc w:val="center"/>
              <w:ind w:left="34"/>
              <w:spacing w:after="0"/>
              <w:rPr>
                <w:sz w:val="20"/>
                <w:szCs w:val="20"/>
                <w:color w:val="auto"/>
              </w:rPr>
            </w:pPr>
            <w:r>
              <w:rPr>
                <w:rFonts w:ascii="Arial" w:cs="Arial" w:eastAsia="Arial" w:hAnsi="Arial"/>
                <w:sz w:val="13"/>
                <w:szCs w:val="13"/>
                <w:b w:val="1"/>
                <w:bCs w:val="1"/>
                <w:color w:val="auto"/>
                <w:w w:val="86"/>
              </w:rPr>
              <w:t>Plans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2014 Plan</w:t>
            </w:r>
          </w:p>
        </w:tc>
        <w:tc>
          <w:tcPr>
            <w:tcW w:w="4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54,402,264</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42,441,719</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2020 Plan</w:t>
            </w:r>
          </w:p>
        </w:tc>
        <w:tc>
          <w:tcPr>
            <w:tcW w:w="4180" w:type="dxa"/>
            <w:vAlign w:val="bottom"/>
          </w:tcPr>
          <w:p>
            <w:pPr>
              <w:jc w:val="right"/>
              <w:ind w:right="3"/>
              <w:spacing w:after="0"/>
              <w:rPr>
                <w:sz w:val="20"/>
                <w:szCs w:val="20"/>
                <w:color w:val="auto"/>
              </w:rPr>
            </w:pPr>
            <w:r>
              <w:rPr>
                <w:rFonts w:ascii="Arial" w:cs="Arial" w:eastAsia="Arial" w:hAnsi="Arial"/>
                <w:sz w:val="16"/>
                <w:szCs w:val="16"/>
                <w:color w:val="auto"/>
              </w:rPr>
              <w:t>30,641,401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1,782,986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28,858,415</w:t>
            </w:r>
          </w:p>
        </w:tc>
        <w:tc>
          <w:tcPr>
            <w:tcW w:w="0" w:type="dxa"/>
            <w:vAlign w:val="bottom"/>
          </w:tcPr>
          <w:p>
            <w:pPr>
              <w:spacing w:after="0"/>
              <w:rPr>
                <w:sz w:val="1"/>
                <w:szCs w:val="1"/>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MIP</w:t>
            </w:r>
          </w:p>
        </w:tc>
        <w:tc>
          <w:tcPr>
            <w:tcW w:w="4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33,426,983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33,426,983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3"/>
        </w:trPr>
        <w:tc>
          <w:tcPr>
            <w:tcW w:w="3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4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Shares Authorized Under</w:t>
            </w: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Shares Outstanding Under</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w w:val="95"/>
              </w:rPr>
              <w:t>Shares Remaining Under</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4280" w:type="dxa"/>
            <w:vAlign w:val="bottom"/>
            <w:gridSpan w:val="2"/>
          </w:tcPr>
          <w:p>
            <w:pPr>
              <w:ind w:left="3260"/>
              <w:spacing w:after="0"/>
              <w:rPr>
                <w:sz w:val="20"/>
                <w:szCs w:val="20"/>
                <w:color w:val="auto"/>
              </w:rPr>
            </w:pPr>
            <w:r>
              <w:rPr>
                <w:rFonts w:ascii="Arial" w:cs="Arial" w:eastAsia="Arial" w:hAnsi="Arial"/>
                <w:sz w:val="13"/>
                <w:szCs w:val="13"/>
                <w:b w:val="1"/>
                <w:bCs w:val="1"/>
                <w:color w:val="auto"/>
              </w:rPr>
              <w:t>Plan</w:t>
            </w: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Plan</w:t>
            </w:r>
          </w:p>
        </w:tc>
        <w:tc>
          <w:tcPr>
            <w:tcW w:w="1560" w:type="dxa"/>
            <w:vAlign w:val="bottom"/>
          </w:tcPr>
          <w:p>
            <w:pPr>
              <w:jc w:val="right"/>
              <w:ind w:right="563"/>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204"/>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2014 Plan</w:t>
            </w:r>
          </w:p>
        </w:tc>
        <w:tc>
          <w:tcPr>
            <w:tcW w:w="4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54,402,264</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36,557,759</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17,844,505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firstLine="297"/>
        <w:spacing w:after="0" w:line="300" w:lineRule="auto"/>
        <w:rPr>
          <w:sz w:val="20"/>
          <w:szCs w:val="20"/>
          <w:color w:val="auto"/>
        </w:rPr>
      </w:pPr>
      <w:r>
        <w:rPr>
          <w:rFonts w:ascii="Arial" w:cs="Arial" w:eastAsia="Arial" w:hAnsi="Arial"/>
          <w:sz w:val="15"/>
          <w:szCs w:val="15"/>
          <w:color w:val="auto"/>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2014 Plan without having been fully exercised are available for awards under the 2020 Plan. Shares may be issued from authorized but unissued Corporation stock.</w:t>
      </w:r>
    </w:p>
    <w:p>
      <w:pPr>
        <w:spacing w:after="0" w:line="95" w:lineRule="exact"/>
        <w:rPr>
          <w:sz w:val="20"/>
          <w:szCs w:val="20"/>
          <w:color w:val="auto"/>
        </w:rPr>
      </w:pPr>
    </w:p>
    <w:p>
      <w:pPr>
        <w:ind w:right="20" w:firstLine="297"/>
        <w:spacing w:after="0" w:line="280" w:lineRule="auto"/>
        <w:rPr>
          <w:sz w:val="20"/>
          <w:szCs w:val="20"/>
          <w:color w:val="auto"/>
        </w:rPr>
      </w:pPr>
      <w:r>
        <w:rPr>
          <w:rFonts w:ascii="Arial" w:cs="Arial" w:eastAsia="Arial" w:hAnsi="Arial"/>
          <w:sz w:val="15"/>
          <w:szCs w:val="15"/>
          <w:color w:val="auto"/>
        </w:rPr>
        <w:t>The Plans are administered by the Talent and Compensation Committee of the Corporation’s Board of Directors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Corporation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common stock for the 90 trading days ending on the date of grant, and such awards typically vest over four years from the grant date. The total estimated fair value is amortized as an expense over the requisite service period as approved by the Compensation Committee.</w:t>
      </w:r>
    </w:p>
    <w:p>
      <w:pPr>
        <w:spacing w:after="0" w:line="114"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The Corporation granted options to purchase 1,937,968 shares of common stock during the nine months ended September 30, 2021. The Corporation recorded stock-based compensation expense for options, RSUs, performance restricted stock units (PRSUs) granted under the Plans and discounts offered in connection with the Corporation’s 2020 Employee Stock Purchase Plan (ESPP) of $46.8 million and $132.5 million during the three and nine months ended September 30, 2021, and such expenses are presented in salaries and benefits in the accompanying Condensed Consolidated Statements of Operations and Comprehensive Loss. Compensation cost presented in salaries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benefits in the accompanying Condensed Consolidated Statements of Operations and Comprehensive Loss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169"/>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Pr>
          <w:p>
            <w:pPr>
              <w:spacing w:after="0"/>
              <w:rPr>
                <w:sz w:val="14"/>
                <w:szCs w:val="14"/>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RSUs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PRSUs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compensation cost recognized for stock-based compensation plans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Nine Months Ended September 30,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169"/>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58"/>
              <w:spacing w:after="0"/>
              <w:rPr>
                <w:sz w:val="20"/>
                <w:szCs w:val="20"/>
                <w:color w:val="auto"/>
              </w:rPr>
            </w:pPr>
            <w:r>
              <w:rPr>
                <w:rFonts w:ascii="Arial" w:cs="Arial" w:eastAsia="Arial" w:hAnsi="Arial"/>
                <w:sz w:val="13"/>
                <w:szCs w:val="13"/>
                <w:b w:val="1"/>
                <w:bCs w:val="1"/>
                <w:color w:val="auto"/>
              </w:rPr>
              <w:t>(in thousands)</w:t>
            </w:r>
          </w:p>
        </w:tc>
        <w:tc>
          <w:tcPr>
            <w:tcW w:w="1060" w:type="dxa"/>
            <w:vAlign w:val="bottom"/>
          </w:tcPr>
          <w:p>
            <w:pPr>
              <w:spacing w:after="0"/>
              <w:rPr>
                <w:sz w:val="14"/>
                <w:szCs w:val="14"/>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RSUs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PRSUs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compensation cost recognized for stock-based compensation plans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132,542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-1153160</wp:posOffset>
            </wp:positionV>
            <wp:extent cx="6286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-22860</wp:posOffset>
            </wp:positionV>
            <wp:extent cx="6286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190" w:lineRule="exact"/>
        <w:rPr>
          <w:sz w:val="20"/>
          <w:szCs w:val="20"/>
          <w:color w:val="auto"/>
        </w:rPr>
      </w:pPr>
    </w:p>
    <w:p>
      <w:pPr>
        <w:ind w:right="200" w:firstLine="297"/>
        <w:spacing w:after="0" w:line="274" w:lineRule="auto"/>
        <w:rPr>
          <w:sz w:val="20"/>
          <w:szCs w:val="20"/>
          <w:color w:val="auto"/>
        </w:rPr>
      </w:pPr>
      <w:r>
        <w:rPr>
          <w:rFonts w:ascii="Arial" w:cs="Arial" w:eastAsia="Arial" w:hAnsi="Arial"/>
          <w:sz w:val="16"/>
          <w:szCs w:val="16"/>
          <w:color w:val="auto"/>
        </w:rPr>
        <w:t>As of September 30, 2021, there was approximately $463.7 million of unrecognized stock-based compensation expense related to unvested stock options, RSUs, PRSUs, and the ESPP, estimated to be recognized over a period of 4.27 years. As of December 31, 2020, there was approximately $14.9 million of unrecognized stock-based compensation expense related to unvested stock options.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Stock Options</w:t>
      </w:r>
    </w:p>
    <w:p>
      <w:pPr>
        <w:spacing w:after="0" w:line="162" w:lineRule="exact"/>
        <w:rPr>
          <w:sz w:val="20"/>
          <w:szCs w:val="20"/>
          <w:color w:val="auto"/>
        </w:rPr>
      </w:pPr>
    </w:p>
    <w:p>
      <w:pPr>
        <w:ind w:right="360" w:firstLine="297"/>
        <w:spacing w:after="0" w:line="290" w:lineRule="auto"/>
        <w:rPr>
          <w:sz w:val="20"/>
          <w:szCs w:val="20"/>
          <w:color w:val="auto"/>
        </w:rPr>
      </w:pPr>
      <w:r>
        <w:rPr>
          <w:rFonts w:ascii="Arial" w:cs="Arial" w:eastAsia="Arial" w:hAnsi="Arial"/>
          <w:sz w:val="16"/>
          <w:szCs w:val="16"/>
          <w:color w:val="auto"/>
        </w:rPr>
        <w:t>The assumptions that the Corporation used in the Black-Scholes option-pricing model to determine the grant-date fair value of stock options granted for the nine months ended September 30, 2021 and 2020, respectively,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Nine Months Ended September 30,</w:t>
            </w:r>
          </w:p>
        </w:tc>
        <w:tc>
          <w:tcPr>
            <w:tcW w:w="1440" w:type="dxa"/>
            <w:vAlign w:val="bottom"/>
            <w:tcBorders>
              <w:bottom w:val="single" w:sz="8" w:color="auto"/>
            </w:tcBorders>
          </w:tcPr>
          <w:p>
            <w:pPr>
              <w:jc w:val="right"/>
              <w:ind w:right="62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2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risk-free interest rate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0.84 %</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44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34.60 %</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3"/>
        </w:trPr>
        <w:tc>
          <w:tcPr>
            <w:tcW w:w="8020" w:type="dxa"/>
            <w:vAlign w:val="bottom"/>
          </w:tcPr>
          <w:p>
            <w:pPr>
              <w:ind w:left="300"/>
              <w:spacing w:after="0"/>
              <w:rPr>
                <w:sz w:val="20"/>
                <w:szCs w:val="20"/>
                <w:color w:val="auto"/>
              </w:rPr>
            </w:pPr>
            <w:r>
              <w:rPr>
                <w:rFonts w:ascii="Arial" w:cs="Arial" w:eastAsia="Arial" w:hAnsi="Arial"/>
                <w:sz w:val="16"/>
                <w:szCs w:val="16"/>
                <w:color w:val="auto"/>
                <w:w w:val="95"/>
              </w:rPr>
              <w:t>A summary of option activity under the 2020 Plan during the nine months ended September 30, 2021 is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020" w:type="dxa"/>
            <w:vAlign w:val="bottom"/>
          </w:tcPr>
          <w:p>
            <w:pPr>
              <w:spacing w:after="0"/>
              <w:rPr>
                <w:sz w:val="24"/>
                <w:szCs w:val="24"/>
                <w:color w:val="auto"/>
              </w:rPr>
            </w:pP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Number of options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Weighted-average exercise</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2021</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1,937,968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(154,982)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2021</w:t>
            </w: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1,782,986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-22860</wp:posOffset>
            </wp:positionV>
            <wp:extent cx="6286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-172085</wp:posOffset>
            </wp:positionV>
            <wp:extent cx="6286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summary of option activity under the 2014 Plan during the nine months ended September 30, 2021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Number of options</w:t>
            </w:r>
          </w:p>
        </w:tc>
        <w:tc>
          <w:tcPr>
            <w:tcW w:w="1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Weighted-average exercise</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36,513,193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2021</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(3,843,472)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(974,874)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31,694,847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-22860</wp:posOffset>
            </wp:positionV>
            <wp:extent cx="6286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-172085</wp:posOffset>
            </wp:positionV>
            <wp:extent cx="6286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202" w:lineRule="exact"/>
        <w:rPr>
          <w:sz w:val="20"/>
          <w:szCs w:val="20"/>
          <w:color w:val="auto"/>
        </w:rPr>
      </w:pPr>
    </w:p>
    <w:p>
      <w:pPr>
        <w:ind w:right="260" w:firstLine="297"/>
        <w:spacing w:after="0" w:line="290"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99" w:lineRule="exact"/>
        <w:rPr>
          <w:sz w:val="20"/>
          <w:szCs w:val="20"/>
          <w:color w:val="auto"/>
        </w:rPr>
      </w:pPr>
    </w:p>
    <w:p>
      <w:pPr>
        <w:ind w:right="180" w:firstLine="297"/>
        <w:spacing w:after="0" w:line="290" w:lineRule="auto"/>
        <w:rPr>
          <w:sz w:val="20"/>
          <w:szCs w:val="20"/>
          <w:color w:val="auto"/>
        </w:rPr>
      </w:pPr>
      <w:r>
        <w:rPr>
          <w:rFonts w:ascii="Arial" w:cs="Arial" w:eastAsia="Arial" w:hAnsi="Arial"/>
          <w:sz w:val="16"/>
          <w:szCs w:val="16"/>
          <w:color w:val="auto"/>
        </w:rPr>
        <w:t>The weighted-average grant date fair value of stock options granted during the nine months ended September 30, 2021 and 2020 was $3.36 per share and $2.10 per share, respectively.</w:t>
      </w:r>
    </w:p>
    <w:p>
      <w:pPr>
        <w:spacing w:after="0" w:line="99" w:lineRule="exact"/>
        <w:rPr>
          <w:sz w:val="20"/>
          <w:szCs w:val="20"/>
          <w:color w:val="auto"/>
        </w:rPr>
      </w:pPr>
    </w:p>
    <w:p>
      <w:pPr>
        <w:ind w:right="20" w:firstLine="297"/>
        <w:spacing w:after="0" w:line="287" w:lineRule="auto"/>
        <w:rPr>
          <w:sz w:val="20"/>
          <w:szCs w:val="20"/>
          <w:color w:val="auto"/>
        </w:rPr>
      </w:pPr>
      <w:r>
        <w:rPr>
          <w:rFonts w:ascii="Arial" w:cs="Arial" w:eastAsia="Arial" w:hAnsi="Arial"/>
          <w:sz w:val="15"/>
          <w:szCs w:val="15"/>
          <w:color w:val="auto"/>
        </w:rPr>
        <w:t>As of September 30, 2021, outstanding stock options, substantially all of which are expected to vest, had an aggregate intrinsic value of $160.1 million, and a weighted-average remaining contractual term of 7.03 years. As of September 30, 2021, there were 21,210,565 options exercisable under the Plan, with an aggregate intrinsic value of $109.0 million, a weighted-average exercise price of $2.26 per share, and a weighted-average remaining contractual term of 6.34 years. The total value of stock options exercised during the nine months ended September 30, 2021 and 2020, was $36.4 million and $1.6 million, respectively. Cash received from stock option exercises during the nine months ended September 30, 2021 and 2020, totaled $5.5 million and $1.0 million, respectively.</w:t>
      </w:r>
    </w:p>
    <w:p>
      <w:pPr>
        <w:spacing w:after="0" w:line="106" w:lineRule="exact"/>
        <w:rPr>
          <w:sz w:val="20"/>
          <w:szCs w:val="20"/>
          <w:color w:val="auto"/>
        </w:rPr>
      </w:pPr>
    </w:p>
    <w:p>
      <w:pPr>
        <w:ind w:right="20" w:firstLine="297"/>
        <w:spacing w:after="0" w:line="268" w:lineRule="auto"/>
        <w:rPr>
          <w:sz w:val="20"/>
          <w:szCs w:val="20"/>
          <w:color w:val="auto"/>
        </w:rPr>
      </w:pPr>
      <w:r>
        <w:rPr>
          <w:rFonts w:ascii="Arial" w:cs="Arial" w:eastAsia="Arial" w:hAnsi="Arial"/>
          <w:sz w:val="16"/>
          <w:szCs w:val="16"/>
          <w:color w:val="auto"/>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Restricted Stock Units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summary of total RSU activity for the nine months ended September 30, 2021, is presented below:</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Nine Months Ended September 30,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21,035,614</w:t>
            </w:r>
          </w:p>
        </w:tc>
      </w:tr>
      <w:tr>
        <w:trPr>
          <w:trHeight w:val="210"/>
        </w:trPr>
        <w:tc>
          <w:tcPr>
            <w:tcW w:w="9680" w:type="dxa"/>
            <w:vAlign w:val="bottom"/>
          </w:tcPr>
          <w:p>
            <w:pPr>
              <w:ind w:left="20"/>
              <w:spacing w:after="0"/>
              <w:rPr>
                <w:sz w:val="20"/>
                <w:szCs w:val="20"/>
                <w:color w:val="auto"/>
              </w:rPr>
            </w:pPr>
            <w:r>
              <w:rPr>
                <w:rFonts w:ascii="Arial" w:cs="Arial" w:eastAsia="Arial" w:hAnsi="Arial"/>
                <w:sz w:val="16"/>
                <w:szCs w:val="16"/>
                <w:color w:val="auto"/>
              </w:rPr>
              <w:t>Released</w:t>
            </w:r>
          </w:p>
        </w:tc>
        <w:tc>
          <w:tcPr>
            <w:tcW w:w="1560" w:type="dxa"/>
            <w:vAlign w:val="bottom"/>
          </w:tcPr>
          <w:p>
            <w:pPr>
              <w:jc w:val="right"/>
              <w:spacing w:after="0"/>
              <w:rPr>
                <w:sz w:val="20"/>
                <w:szCs w:val="20"/>
                <w:color w:val="auto"/>
              </w:rPr>
            </w:pPr>
            <w:r>
              <w:rPr>
                <w:rFonts w:ascii="Arial" w:cs="Arial" w:eastAsia="Arial" w:hAnsi="Arial"/>
                <w:sz w:val="16"/>
                <w:szCs w:val="16"/>
                <w:color w:val="auto"/>
              </w:rPr>
              <w:t>(131,766)</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(35,935)</w:t>
            </w:r>
          </w:p>
        </w:tc>
      </w:tr>
      <w:tr>
        <w:trPr>
          <w:trHeight w:val="202"/>
        </w:trPr>
        <w:tc>
          <w:tcPr>
            <w:tcW w:w="9680" w:type="dxa"/>
            <w:vAlign w:val="bottom"/>
          </w:tcPr>
          <w:p>
            <w:pPr>
              <w:ind w:left="20"/>
              <w:spacing w:after="0"/>
              <w:rPr>
                <w:sz w:val="20"/>
                <w:szCs w:val="20"/>
                <w:color w:val="auto"/>
              </w:rPr>
            </w:pPr>
            <w:r>
              <w:rPr>
                <w:rFonts w:ascii="Arial" w:cs="Arial" w:eastAsia="Arial" w:hAnsi="Arial"/>
                <w:sz w:val="16"/>
                <w:szCs w:val="16"/>
                <w:color w:val="auto"/>
              </w:rPr>
              <w:t>Outstanding, September 30,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20,867,913</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weighted-average grant date fair value of the RSUs was $14.77 per underlying share.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Performance Restricted Stock Units</w:t>
      </w:r>
    </w:p>
    <w:p>
      <w:pPr>
        <w:spacing w:after="0" w:line="162" w:lineRule="exact"/>
        <w:rPr>
          <w:sz w:val="20"/>
          <w:szCs w:val="20"/>
          <w:color w:val="auto"/>
        </w:rPr>
      </w:pPr>
    </w:p>
    <w:p>
      <w:pPr>
        <w:ind w:right="40" w:firstLine="297"/>
        <w:spacing w:after="0" w:line="300" w:lineRule="auto"/>
        <w:rPr>
          <w:sz w:val="20"/>
          <w:szCs w:val="20"/>
          <w:color w:val="auto"/>
        </w:rPr>
      </w:pPr>
      <w:r>
        <w:rPr>
          <w:rFonts w:ascii="Arial" w:cs="Arial" w:eastAsia="Arial" w:hAnsi="Arial"/>
          <w:sz w:val="15"/>
          <w:szCs w:val="15"/>
          <w:color w:val="auto"/>
        </w:rPr>
        <w:t>The Corporation has granted PRSUs which become eligible to vest if prior to the vesting date the average closing price of one share of the Corporation’s common stock for ninety consecutive days equals or exceeds a specified price (the “Market PRSUs”). The grant date fair value of the Market PRSUs is recognized as expense over the vesting period under the accelerated attribution method and is not adjusted in future periods for the success or failure to achieve the specified market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20" w:firstLine="297"/>
        <w:spacing w:after="0" w:line="274" w:lineRule="auto"/>
        <w:rPr>
          <w:sz w:val="20"/>
          <w:szCs w:val="20"/>
          <w:color w:val="auto"/>
        </w:rPr>
      </w:pPr>
      <w:r>
        <w:rPr>
          <w:rFonts w:ascii="Arial" w:cs="Arial" w:eastAsia="Arial" w:hAnsi="Arial"/>
          <w:sz w:val="16"/>
          <w:szCs w:val="16"/>
          <w:color w:val="auto"/>
        </w:rPr>
        <w:t>The weighted-average grant date fair value of Market PRSUs granted during the nine months ended September 30, 2021, was $9.58 per underlying share. 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41"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Nine Months Ended September 30, 2021</w:t>
      </w:r>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6120" w:type="dxa"/>
            <w:vAlign w:val="bottom"/>
            <w:tcBorders>
              <w:top w:val="single" w:sz="8" w:color="auto"/>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Expected volatility</w:t>
            </w:r>
            <w:r>
              <w:rPr>
                <w:rFonts w:ascii="Arial" w:cs="Arial" w:eastAsia="Arial" w:hAnsi="Arial"/>
                <w:sz w:val="21"/>
                <w:szCs w:val="21"/>
                <w:color w:val="auto"/>
                <w:vertAlign w:val="superscript"/>
              </w:rPr>
              <w:t>(1)</w:t>
            </w:r>
          </w:p>
        </w:tc>
        <w:tc>
          <w:tcPr>
            <w:tcW w:w="5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40.70 %</w:t>
            </w:r>
          </w:p>
        </w:tc>
      </w:tr>
      <w:tr>
        <w:trPr>
          <w:trHeight w:val="210"/>
        </w:trPr>
        <w:tc>
          <w:tcPr>
            <w:tcW w:w="6120" w:type="dxa"/>
            <w:vAlign w:val="bottom"/>
          </w:tcPr>
          <w:p>
            <w:pPr>
              <w:ind w:left="20"/>
              <w:spacing w:after="0" w:line="210"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(2)</w:t>
            </w:r>
          </w:p>
        </w:tc>
        <w:tc>
          <w:tcPr>
            <w:tcW w:w="5120" w:type="dxa"/>
            <w:vAlign w:val="bottom"/>
          </w:tcPr>
          <w:p>
            <w:pPr>
              <w:jc w:val="right"/>
              <w:ind w:right="118"/>
              <w:spacing w:after="0"/>
              <w:rPr>
                <w:sz w:val="20"/>
                <w:szCs w:val="20"/>
                <w:color w:val="auto"/>
              </w:rPr>
            </w:pPr>
            <w:r>
              <w:rPr>
                <w:rFonts w:ascii="Arial" w:cs="Arial" w:eastAsia="Arial" w:hAnsi="Arial"/>
                <w:sz w:val="16"/>
                <w:szCs w:val="16"/>
                <w:color w:val="auto"/>
              </w:rPr>
              <w:t>0.50</w:t>
            </w:r>
          </w:p>
        </w:tc>
      </w:tr>
      <w:tr>
        <w:trPr>
          <w:trHeight w:val="210"/>
        </w:trPr>
        <w:tc>
          <w:tcPr>
            <w:tcW w:w="61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Dividend yield</w:t>
            </w:r>
            <w:r>
              <w:rPr>
                <w:rFonts w:ascii="Arial" w:cs="Arial" w:eastAsia="Arial" w:hAnsi="Arial"/>
                <w:sz w:val="21"/>
                <w:szCs w:val="21"/>
                <w:color w:val="auto"/>
                <w:vertAlign w:val="superscript"/>
              </w:rPr>
              <w:t>(3)</w:t>
            </w:r>
          </w:p>
        </w:tc>
        <w:tc>
          <w:tcPr>
            <w:tcW w:w="5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w:t>
      </w:r>
    </w:p>
    <w:p>
      <w:pPr>
        <w:spacing w:after="0" w:line="8" w:lineRule="exact"/>
        <w:rPr>
          <w:sz w:val="20"/>
          <w:szCs w:val="20"/>
          <w:color w:val="auto"/>
        </w:rPr>
      </w:pPr>
    </w:p>
    <w:p>
      <w:pPr>
        <w:ind w:left="181" w:hanging="181"/>
        <w:spacing w:after="0"/>
        <w:tabs>
          <w:tab w:leader="none" w:pos="18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Expected volatility is based on a blend of peer group company historical data adjusted for the Corporation’s leverage.</w:t>
      </w:r>
    </w:p>
    <w:p>
      <w:pPr>
        <w:ind w:left="181" w:hanging="181"/>
        <w:spacing w:after="0" w:line="238" w:lineRule="auto"/>
        <w:tabs>
          <w:tab w:leader="none" w:pos="18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Risk-free interest rate based on U.S. Treasury yields with a term equal to the remaining Performance Period as of the grant date.</w:t>
      </w:r>
    </w:p>
    <w:p>
      <w:pPr>
        <w:ind w:left="181" w:hanging="181"/>
        <w:spacing w:after="0"/>
        <w:tabs>
          <w:tab w:leader="none" w:pos="18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Dividend yield was assumed to be zero as the Corporation does not anticipate paying dividends.</w:t>
      </w:r>
    </w:p>
    <w:p>
      <w:pPr>
        <w:spacing w:after="0" w:line="141" w:lineRule="exact"/>
        <w:rPr>
          <w:sz w:val="20"/>
          <w:szCs w:val="20"/>
          <w:color w:val="auto"/>
        </w:rPr>
      </w:pPr>
    </w:p>
    <w:p>
      <w:pPr>
        <w:ind w:left="301"/>
        <w:spacing w:after="0"/>
        <w:rPr>
          <w:sz w:val="20"/>
          <w:szCs w:val="20"/>
          <w:color w:val="auto"/>
        </w:rPr>
      </w:pPr>
      <w:r>
        <w:rPr>
          <w:rFonts w:ascii="Arial" w:cs="Arial" w:eastAsia="Arial" w:hAnsi="Arial"/>
          <w:sz w:val="16"/>
          <w:szCs w:val="16"/>
          <w:color w:val="auto"/>
        </w:rPr>
        <w:t>A summary of total PRSU activity for the nine months ended September 30, 2021, is presented below:</w:t>
      </w:r>
    </w:p>
    <w:p>
      <w:pPr>
        <w:spacing w:after="0" w:line="241"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Nine Months Ended September 30, 2021</w:t>
      </w:r>
    </w:p>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27,699,171</w:t>
            </w:r>
          </w:p>
        </w:tc>
      </w:tr>
      <w:tr>
        <w:trPr>
          <w:trHeight w:val="202"/>
        </w:trPr>
        <w:tc>
          <w:tcPr>
            <w:tcW w:w="9680" w:type="dxa"/>
            <w:vAlign w:val="bottom"/>
          </w:tcPr>
          <w:p>
            <w:pPr>
              <w:ind w:left="20"/>
              <w:spacing w:after="0"/>
              <w:rPr>
                <w:sz w:val="20"/>
                <w:szCs w:val="20"/>
                <w:color w:val="auto"/>
              </w:rPr>
            </w:pPr>
            <w:r>
              <w:rPr>
                <w:rFonts w:ascii="Arial" w:cs="Arial" w:eastAsia="Arial" w:hAnsi="Arial"/>
                <w:sz w:val="16"/>
                <w:szCs w:val="16"/>
                <w:color w:val="auto"/>
              </w:rPr>
              <w:t>Non-vested at September 30,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27,699,171</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 w:right="20" w:firstLine="297"/>
        <w:spacing w:after="0" w:line="290" w:lineRule="auto"/>
        <w:rPr>
          <w:sz w:val="20"/>
          <w:szCs w:val="20"/>
          <w:color w:val="auto"/>
        </w:rPr>
      </w:pPr>
      <w:r>
        <w:rPr>
          <w:rFonts w:ascii="Arial" w:cs="Arial" w:eastAsia="Arial" w:hAnsi="Arial"/>
          <w:sz w:val="16"/>
          <w:szCs w:val="16"/>
          <w:color w:val="auto"/>
        </w:rPr>
        <w:t>As of September 30, 2021, there was $185.4 million of unrecognized share-based compensation expense related to PRSUs, which is expected to be recognized over a period of 4.27 years.</w:t>
      </w:r>
    </w:p>
    <w:p>
      <w:pPr>
        <w:spacing w:after="0" w:line="99"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2020 Employee Stock Purchase Plan</w:t>
      </w:r>
    </w:p>
    <w:p>
      <w:pPr>
        <w:spacing w:after="0" w:line="162" w:lineRule="exact"/>
        <w:rPr>
          <w:sz w:val="20"/>
          <w:szCs w:val="20"/>
          <w:color w:val="auto"/>
        </w:rPr>
      </w:pPr>
    </w:p>
    <w:p>
      <w:pPr>
        <w:ind w:left="1" w:right="160" w:firstLine="297"/>
        <w:spacing w:after="0" w:line="264" w:lineRule="auto"/>
        <w:rPr>
          <w:sz w:val="20"/>
          <w:szCs w:val="20"/>
          <w:color w:val="auto"/>
        </w:rPr>
      </w:pPr>
      <w:r>
        <w:rPr>
          <w:rFonts w:ascii="Arial" w:cs="Arial" w:eastAsia="Arial" w:hAnsi="Arial"/>
          <w:sz w:val="16"/>
          <w:szCs w:val="16"/>
          <w:color w:val="auto"/>
        </w:rPr>
        <w:t>On October 5, 2020, SCH’s board of directors adopted, and on January 6, 2021, stockholders approved the ESPP. The ESPP provides a means by which eligible employees and/or eligible service providers of either the Corporation or designated related corporations and affiliates may be given an opportunity to purchase shares of Class A common stock at a 15.0% discount from the fair market value of the common stock as determined on a specific date at six-month intervals. Subject to adjustments provided in the ESPP, the maximum number of shares of common stock that may be purchased under the ESPP is 2,785,582 shares, and the maximum number of shares that may be purchased on any single purchase date by any one participant is 5,000 shares. As of September 30, 2021, 2,785,582 shares of Class A common stock were available for issuance under the ESPP.</w:t>
      </w:r>
    </w:p>
    <w:p>
      <w:pPr>
        <w:spacing w:after="0" w:line="121" w:lineRule="exact"/>
        <w:rPr>
          <w:sz w:val="20"/>
          <w:szCs w:val="20"/>
          <w:color w:val="auto"/>
        </w:rPr>
      </w:pPr>
    </w:p>
    <w:p>
      <w:pPr>
        <w:ind w:left="1" w:right="120" w:firstLine="297"/>
        <w:spacing w:after="0" w:line="287" w:lineRule="auto"/>
        <w:rPr>
          <w:sz w:val="20"/>
          <w:szCs w:val="20"/>
          <w:color w:val="auto"/>
        </w:rPr>
      </w:pPr>
      <w:r>
        <w:rPr>
          <w:rFonts w:ascii="Arial" w:cs="Arial" w:eastAsia="Arial" w:hAnsi="Arial"/>
          <w:sz w:val="15"/>
          <w:szCs w:val="15"/>
          <w:color w:val="auto"/>
        </w:rPr>
        <w:t>On the first day of each fiscal year, beginning with the 2022 fiscal year and ending on (and including) the first day of the 2030 fiscal year, the calculation of the maximum number of ESPP shares shall include automatic increases in an amount equal to the lesser of (i) 1.0% of the total number of shares of Class A common stock outstanding on the last day of the calendar month prior to the date of such automatic increase, and (ii) such number of shares of Class A common stock as determined by the administrator of the ESPP; provided that the maximum number of shares of Class A common stock reserved under the ESPP shall not exceed 10.0% of the total outstanding capital stock of the Corporation (inclusive of the shares reserved under the ESPP) as of January 7, 2021, on an as-converted basis.</w:t>
      </w:r>
    </w:p>
    <w:p>
      <w:pPr>
        <w:spacing w:after="0" w:line="106" w:lineRule="exact"/>
        <w:rPr>
          <w:sz w:val="20"/>
          <w:szCs w:val="20"/>
          <w:color w:val="auto"/>
        </w:rPr>
      </w:pPr>
    </w:p>
    <w:p>
      <w:pPr>
        <w:ind w:left="1" w:right="160" w:firstLine="297"/>
        <w:spacing w:after="0" w:line="290" w:lineRule="auto"/>
        <w:rPr>
          <w:sz w:val="20"/>
          <w:szCs w:val="20"/>
          <w:color w:val="auto"/>
        </w:rPr>
      </w:pPr>
      <w:r>
        <w:rPr>
          <w:rFonts w:ascii="Arial" w:cs="Arial" w:eastAsia="Arial" w:hAnsi="Arial"/>
          <w:sz w:val="16"/>
          <w:szCs w:val="16"/>
          <w:color w:val="auto"/>
        </w:rPr>
        <w:t>The initial offering period for the ESPP is five months, commencing on September 1, 2021, and ending on January 31, 2022. As of the date of this report, no shares of the Corporation’s common stock have been purchased or distributed pursuant to the ESPP.</w:t>
      </w:r>
    </w:p>
    <w:p>
      <w:pPr>
        <w:spacing w:after="0" w:line="99" w:lineRule="exact"/>
        <w:rPr>
          <w:sz w:val="20"/>
          <w:szCs w:val="20"/>
          <w:color w:val="auto"/>
        </w:rPr>
      </w:pPr>
    </w:p>
    <w:p>
      <w:pPr>
        <w:ind w:left="1" w:right="160" w:firstLine="297"/>
        <w:spacing w:after="0" w:line="290" w:lineRule="auto"/>
        <w:rPr>
          <w:sz w:val="20"/>
          <w:szCs w:val="20"/>
          <w:color w:val="auto"/>
        </w:rPr>
      </w:pPr>
      <w:r>
        <w:rPr>
          <w:rFonts w:ascii="Arial" w:cs="Arial" w:eastAsia="Arial" w:hAnsi="Arial"/>
          <w:sz w:val="16"/>
          <w:szCs w:val="16"/>
          <w:color w:val="auto"/>
        </w:rPr>
        <w:t>The assumptions that the Corporation used in the Black-Scholes option-pricing model to determine the fair value of the purchase rights under the ESPP for the nine months ended September 30, 2021,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Nine Months Ended September 30,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Weighted-average risk-free interest rate</w:t>
            </w:r>
          </w:p>
        </w:tc>
        <w:tc>
          <w:tcPr>
            <w:tcW w:w="4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0.06 %</w:t>
            </w:r>
          </w:p>
        </w:tc>
      </w:tr>
      <w:tr>
        <w:trPr>
          <w:trHeight w:val="210"/>
        </w:trPr>
        <w:tc>
          <w:tcPr>
            <w:tcW w:w="66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464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4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147.42 %</w:t>
            </w:r>
          </w:p>
        </w:tc>
      </w:tr>
    </w:tbl>
    <w:p>
      <w:pPr>
        <w:spacing w:after="0" w:line="222"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Equity warrants</w:t>
      </w:r>
    </w:p>
    <w:p>
      <w:pPr>
        <w:spacing w:after="0" w:line="16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 The total fair value of warrants vested during the nine months ended September 30, 2021 and 2020, was $0.0 million and $4.0 million, respectively.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summary of activity relating to the warrants of the service providers during the nine months ended September 30, 2021 and 2020, respectively,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Number of warrants</w:t>
            </w:r>
          </w:p>
        </w:tc>
        <w:tc>
          <w:tcPr>
            <w:tcW w:w="1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Weighted-average exercise</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9"/>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December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Granted during 2020</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Outstanding, September 30, 2020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Outstanding, December 31, 2020</w:t>
            </w:r>
          </w:p>
        </w:tc>
        <w:tc>
          <w:tcPr>
            <w:tcW w:w="1560" w:type="dxa"/>
            <w:vAlign w:val="bottom"/>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 during 2021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tcPr>
          <w:p>
            <w:pPr>
              <w:jc w:val="right"/>
              <w:spacing w:after="0"/>
              <w:rPr>
                <w:sz w:val="20"/>
                <w:szCs w:val="20"/>
                <w:color w:val="auto"/>
              </w:rPr>
            </w:pPr>
            <w:r>
              <w:rPr>
                <w:rFonts w:ascii="Arial" w:cs="Arial" w:eastAsia="Arial" w:hAnsi="Arial"/>
                <w:sz w:val="16"/>
                <w:szCs w:val="16"/>
                <w:color w:val="auto"/>
              </w:rPr>
              <w:t>(261,681)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020" w:type="dxa"/>
            <w:vAlign w:val="bottom"/>
          </w:tcPr>
          <w:p>
            <w:pPr>
              <w:ind w:left="220"/>
              <w:spacing w:after="0"/>
              <w:rPr>
                <w:sz w:val="20"/>
                <w:szCs w:val="20"/>
                <w:color w:val="auto"/>
              </w:rPr>
            </w:pPr>
            <w:r>
              <w:rPr>
                <w:rFonts w:ascii="Arial" w:cs="Arial" w:eastAsia="Arial" w:hAnsi="Arial"/>
                <w:sz w:val="16"/>
                <w:szCs w:val="16"/>
                <w:color w:val="auto"/>
              </w:rPr>
              <w:t>Outstanding, September 30,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-855345</wp:posOffset>
            </wp:positionV>
            <wp:extent cx="6286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Income Taxes</w:t>
      </w:r>
    </w:p>
    <w:p>
      <w:pPr>
        <w:spacing w:after="0" w:line="166" w:lineRule="exact"/>
        <w:rPr>
          <w:sz w:val="20"/>
          <w:szCs w:val="20"/>
          <w:color w:val="auto"/>
        </w:rPr>
      </w:pPr>
    </w:p>
    <w:p>
      <w:pPr>
        <w:ind w:right="140" w:firstLine="297"/>
        <w:spacing w:after="0" w:line="287" w:lineRule="auto"/>
        <w:rPr>
          <w:sz w:val="20"/>
          <w:szCs w:val="20"/>
          <w:color w:val="auto"/>
        </w:rPr>
      </w:pPr>
      <w:r>
        <w:rPr>
          <w:rFonts w:ascii="Arial" w:cs="Arial" w:eastAsia="Arial" w:hAnsi="Arial"/>
          <w:sz w:val="15"/>
          <w:szCs w:val="15"/>
          <w:color w:val="auto"/>
        </w:rPr>
        <w:t>The consolidated effective tax rate of the Corporation for the three months ended September 30, 2021 and 2020, was (0.0%) and (0.0%), respectively. The consolidated effective tax rate of the Corporation for the nine months ended September 30, 2021 and 2020, was (0.0%) and (0.0%), respectively. The Corporation continues to be in a net operating loss and net deferred tax asset position. As a result, and in accordance with accounting standards, the Corporation recorded a valuation allowance to reduce the value of the net deferred tax assets to zero. The Corporation believes that as of September 30, 2021, it had no material uncertain tax positions. Interest and penalties related to unrecognized tax expense (benefits) are recognized in income tax expense, when applicable.</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material liabilities for interest and penalties accrued as of September 30, 2021, and December 31, 2020.</w:t>
      </w:r>
    </w:p>
    <w:p>
      <w:pPr>
        <w:spacing w:after="0" w:line="162" w:lineRule="exact"/>
        <w:rPr>
          <w:sz w:val="20"/>
          <w:szCs w:val="20"/>
          <w:color w:val="auto"/>
        </w:rPr>
      </w:pPr>
    </w:p>
    <w:p>
      <w:pPr>
        <w:ind w:right="60" w:firstLine="297"/>
        <w:spacing w:after="0" w:line="287" w:lineRule="auto"/>
        <w:rPr>
          <w:sz w:val="20"/>
          <w:szCs w:val="20"/>
          <w:color w:val="auto"/>
        </w:rPr>
      </w:pPr>
      <w:r>
        <w:rPr>
          <w:rFonts w:ascii="Arial" w:cs="Arial" w:eastAsia="Arial" w:hAnsi="Arial"/>
          <w:sz w:val="15"/>
          <w:szCs w:val="15"/>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the Corporation’s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301" w:right="8960" w:hanging="301"/>
        <w:spacing w:after="0" w:line="519" w:lineRule="auto"/>
        <w:tabs>
          <w:tab w:leader="none" w:pos="251" w:val="left"/>
        </w:tabs>
        <w:numPr>
          <w:ilvl w:val="0"/>
          <w:numId w:val="13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Net (Loss) Income Per Share </w:t>
      </w:r>
      <w:r>
        <w:rPr>
          <w:rFonts w:ascii="Arial" w:cs="Arial" w:eastAsia="Arial" w:hAnsi="Arial"/>
          <w:sz w:val="14"/>
          <w:szCs w:val="14"/>
          <w:b w:val="1"/>
          <w:bCs w:val="1"/>
          <w:i w:val="1"/>
          <w:iCs w:val="1"/>
          <w:color w:val="auto"/>
        </w:rPr>
        <w:t>Net (Loss) Income Per Share</w:t>
      </w:r>
    </w:p>
    <w:p>
      <w:pPr>
        <w:ind w:left="301"/>
        <w:spacing w:after="0"/>
        <w:rPr>
          <w:rFonts w:ascii="Arial" w:cs="Arial" w:eastAsia="Arial" w:hAnsi="Arial"/>
          <w:sz w:val="14"/>
          <w:szCs w:val="14"/>
          <w:b w:val="1"/>
          <w:bCs w:val="1"/>
          <w:color w:val="auto"/>
        </w:rPr>
      </w:pPr>
      <w:r>
        <w:rPr>
          <w:rFonts w:ascii="Arial" w:cs="Arial" w:eastAsia="Arial" w:hAnsi="Arial"/>
          <w:sz w:val="16"/>
          <w:szCs w:val="16"/>
          <w:color w:val="auto"/>
        </w:rPr>
        <w:t>Basic and diluted net (loss) income per share attributable to common stockholders was calculated as follows:</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91"/>
              </w:rPr>
              <w:t>Three Months Ended September 30,</w:t>
            </w: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5"/>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9"/>
              </w:rPr>
              <w:t>(in thousands, except per share data)</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4,966</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Basic weighted average number of common shares and common share equivalents outstanding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414,572,706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88,863,244</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6"/>
                <w:szCs w:val="16"/>
                <w:color w:val="auto"/>
              </w:rPr>
              <w:t xml:space="preserve">Diluted weighted average number of common shares and common share equivalents outstanding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414,572,706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248,133,335</w:t>
            </w:r>
          </w:p>
        </w:tc>
        <w:tc>
          <w:tcPr>
            <w:tcW w:w="0" w:type="dxa"/>
            <w:vAlign w:val="bottom"/>
          </w:tcPr>
          <w:p>
            <w:pPr>
              <w:spacing w:after="0"/>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stockholders—basic</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income per share attributable to common stockholders—diluted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(0.08)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8"/>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5"/>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9"/>
              </w:rPr>
              <w:t>(in thousands, except per share data)</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(10,001)</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Basic and diluted weighted average number of common shares and common share equivalents outstanding</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410,417,493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88,616,116</w:t>
            </w:r>
          </w:p>
        </w:tc>
        <w:tc>
          <w:tcPr>
            <w:tcW w:w="0" w:type="dxa"/>
            <w:vAlign w:val="bottom"/>
          </w:tcPr>
          <w:p>
            <w:pPr>
              <w:spacing w:after="0"/>
              <w:rPr>
                <w:sz w:val="1"/>
                <w:szCs w:val="1"/>
                <w:color w:val="auto"/>
              </w:rPr>
            </w:pP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120" w:hanging="301"/>
        <w:spacing w:after="0" w:line="247" w:lineRule="auto"/>
        <w:tabs>
          <w:tab w:leader="none" w:pos="294" w:val="left"/>
        </w:tabs>
        <w:numPr>
          <w:ilvl w:val="0"/>
          <w:numId w:val="132"/>
        </w:numPr>
        <w:rPr>
          <w:rFonts w:ascii="Arial" w:cs="Arial" w:eastAsia="Arial" w:hAnsi="Arial"/>
          <w:sz w:val="13"/>
          <w:szCs w:val="13"/>
          <w:color w:val="auto"/>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31" w:lineRule="exact"/>
        <w:rPr>
          <w:sz w:val="20"/>
          <w:szCs w:val="20"/>
          <w:color w:val="auto"/>
        </w:rPr>
      </w:pPr>
    </w:p>
    <w:p>
      <w:pPr>
        <w:ind w:left="1" w:firstLine="297"/>
        <w:spacing w:after="0" w:line="264" w:lineRule="auto"/>
        <w:rPr>
          <w:sz w:val="20"/>
          <w:szCs w:val="20"/>
          <w:color w:val="auto"/>
        </w:rPr>
      </w:pPr>
      <w:r>
        <w:rPr>
          <w:rFonts w:ascii="Arial" w:cs="Arial" w:eastAsia="Arial" w:hAnsi="Arial"/>
          <w:sz w:val="16"/>
          <w:szCs w:val="16"/>
          <w:color w:val="auto"/>
        </w:rPr>
        <w:t>Because the Corporation had a net loss during the three and nine months ended September 30, 2021, and a net loss during the nine months ended September 30,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rPr>
              <w:t>Three Months Ended September 30,</w:t>
            </w:r>
          </w:p>
        </w:tc>
      </w:tr>
      <w:tr>
        <w:trPr>
          <w:trHeight w:val="169"/>
        </w:trPr>
        <w:tc>
          <w:tcPr>
            <w:tcW w:w="796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04"/>
        </w:trPr>
        <w:tc>
          <w:tcPr>
            <w:tcW w:w="796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Options to purchase common stock </w:t>
            </w:r>
            <w:r>
              <w:rPr>
                <w:rFonts w:ascii="Arial" w:cs="Arial" w:eastAsia="Arial" w:hAnsi="Arial"/>
                <w:sz w:val="21"/>
                <w:szCs w:val="21"/>
                <w:color w:val="auto"/>
                <w:vertAlign w:val="superscript"/>
              </w:rPr>
              <w:t>(1)</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33,477,833</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5,183,834</w:t>
            </w:r>
          </w:p>
        </w:tc>
      </w:tr>
      <w:tr>
        <w:trPr>
          <w:trHeight w:val="210"/>
        </w:trPr>
        <w:tc>
          <w:tcPr>
            <w:tcW w:w="7960" w:type="dxa"/>
            <w:vAlign w:val="bottom"/>
          </w:tcPr>
          <w:p>
            <w:pPr>
              <w:ind w:left="20"/>
              <w:spacing w:after="0"/>
              <w:rPr>
                <w:sz w:val="20"/>
                <w:szCs w:val="20"/>
                <w:color w:val="auto"/>
              </w:rPr>
            </w:pPr>
            <w:r>
              <w:rPr>
                <w:rFonts w:ascii="Arial" w:cs="Arial" w:eastAsia="Arial" w:hAnsi="Arial"/>
                <w:sz w:val="16"/>
                <w:szCs w:val="16"/>
                <w:color w:val="auto"/>
              </w:rPr>
              <w:t>RSUs</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21,106,720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96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Warrants to purchase common stock (as converted to common stock) </w:t>
            </w:r>
            <w:r>
              <w:rPr>
                <w:rFonts w:ascii="Arial" w:cs="Arial" w:eastAsia="Arial" w:hAnsi="Arial"/>
                <w:sz w:val="21"/>
                <w:szCs w:val="21"/>
                <w:color w:val="auto"/>
                <w:vertAlign w:val="superscript"/>
              </w:rPr>
              <w:t>(1)</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4,342,956</w:t>
            </w:r>
          </w:p>
        </w:tc>
      </w:tr>
      <w:tr>
        <w:trPr>
          <w:trHeight w:val="210"/>
        </w:trPr>
        <w:tc>
          <w:tcPr>
            <w:tcW w:w="79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Warrants to purchase convertible preferred stock (as converted to common stock) </w:t>
            </w:r>
            <w:r>
              <w:rPr>
                <w:rFonts w:ascii="Arial" w:cs="Arial" w:eastAsia="Arial" w:hAnsi="Arial"/>
                <w:sz w:val="21"/>
                <w:szCs w:val="21"/>
                <w:color w:val="auto"/>
                <w:vertAlign w:val="superscript"/>
              </w:rPr>
              <w:t>(1)</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2,618,770</w:t>
            </w:r>
          </w:p>
        </w:tc>
      </w:tr>
      <w:tr>
        <w:trPr>
          <w:trHeight w:val="227"/>
        </w:trPr>
        <w:tc>
          <w:tcPr>
            <w:tcW w:w="7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anti-dilutive shares excluded from computation of earnings per share</w:t>
            </w:r>
          </w:p>
        </w:tc>
        <w:tc>
          <w:tcPr>
            <w:tcW w:w="1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54,584,553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12,145,560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-22860</wp:posOffset>
            </wp:positionV>
            <wp:extent cx="62865"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-172085</wp:posOffset>
            </wp:positionV>
            <wp:extent cx="6286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-713740</wp:posOffset>
            </wp:positionV>
            <wp:extent cx="6286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rPr>
              <w:t>Nine Months Ended September 30,</w:t>
            </w:r>
          </w:p>
        </w:tc>
      </w:tr>
      <w:tr>
        <w:trPr>
          <w:trHeight w:val="169"/>
        </w:trPr>
        <w:tc>
          <w:tcPr>
            <w:tcW w:w="802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r>
      <w:tr>
        <w:trPr>
          <w:trHeight w:val="204"/>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Options to purchase common stock </w:t>
            </w:r>
            <w:r>
              <w:rPr>
                <w:rFonts w:ascii="Arial" w:cs="Arial" w:eastAsia="Arial" w:hAnsi="Arial"/>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33,477,833</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37,296,034</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RSUs</w:t>
            </w:r>
          </w:p>
        </w:tc>
        <w:tc>
          <w:tcPr>
            <w:tcW w:w="1560" w:type="dxa"/>
            <w:vAlign w:val="bottom"/>
          </w:tcPr>
          <w:p>
            <w:pPr>
              <w:jc w:val="right"/>
              <w:spacing w:after="0"/>
              <w:rPr>
                <w:sz w:val="20"/>
                <w:szCs w:val="20"/>
                <w:color w:val="auto"/>
              </w:rPr>
            </w:pPr>
            <w:r>
              <w:rPr>
                <w:rFonts w:ascii="Arial" w:cs="Arial" w:eastAsia="Arial" w:hAnsi="Arial"/>
                <w:sz w:val="16"/>
                <w:szCs w:val="16"/>
                <w:color w:val="auto"/>
              </w:rPr>
              <w:t>21,106,720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2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 xml:space="preserve">Convertible preferred stock (as converted to common stock) </w:t>
            </w:r>
            <w:r>
              <w:rPr>
                <w:rFonts w:ascii="Arial" w:cs="Arial" w:eastAsia="Arial" w:hAnsi="Arial"/>
                <w:sz w:val="21"/>
                <w:szCs w:val="21"/>
                <w:color w:val="auto"/>
                <w:vertAlign w:val="superscript"/>
              </w:rPr>
              <w:t>(1)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139,444,346</w:t>
            </w:r>
          </w:p>
        </w:tc>
      </w:tr>
      <w:tr>
        <w:trPr>
          <w:trHeight w:val="210"/>
        </w:trPr>
        <w:tc>
          <w:tcPr>
            <w:tcW w:w="802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Warrants to purchase common stock (as converted to common stock) </w:t>
            </w:r>
            <w:r>
              <w:rPr>
                <w:rFonts w:ascii="Arial" w:cs="Arial" w:eastAsia="Arial" w:hAnsi="Arial"/>
                <w:sz w:val="21"/>
                <w:szCs w:val="21"/>
                <w:color w:val="auto"/>
                <w:vertAlign w:val="superscript"/>
              </w:rPr>
              <w:t>(1)</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4,884,132</w:t>
            </w:r>
          </w:p>
        </w:tc>
      </w:tr>
      <w:tr>
        <w:trPr>
          <w:trHeight w:val="210"/>
        </w:trPr>
        <w:tc>
          <w:tcPr>
            <w:tcW w:w="80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Warrants to purchase convertible preferred stock (as converted to common stock) </w:t>
            </w:r>
            <w:r>
              <w:rPr>
                <w:rFonts w:ascii="Arial" w:cs="Arial" w:eastAsia="Arial" w:hAnsi="Arial"/>
                <w:sz w:val="21"/>
                <w:szCs w:val="21"/>
                <w:color w:val="auto"/>
                <w:vertAlign w:val="superscript"/>
              </w:rPr>
              <w:t>(1)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2,618,770</w:t>
            </w:r>
          </w:p>
        </w:tc>
      </w:tr>
      <w:tr>
        <w:trPr>
          <w:trHeight w:val="202"/>
        </w:trPr>
        <w:tc>
          <w:tcPr>
            <w:tcW w:w="8020" w:type="dxa"/>
            <w:vAlign w:val="bottom"/>
          </w:tcPr>
          <w:p>
            <w:pPr>
              <w:ind w:left="220"/>
              <w:spacing w:after="0"/>
              <w:rPr>
                <w:sz w:val="20"/>
                <w:szCs w:val="20"/>
                <w:color w:val="auto"/>
              </w:rPr>
            </w:pPr>
            <w:r>
              <w:rPr>
                <w:rFonts w:ascii="Arial" w:cs="Arial" w:eastAsia="Arial" w:hAnsi="Arial"/>
                <w:sz w:val="16"/>
                <w:szCs w:val="16"/>
                <w:color w:val="auto"/>
              </w:rPr>
              <w:t>Total anti-dilutive shares excluded from computation of earnings per share</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54,584,553</w:t>
            </w:r>
          </w:p>
        </w:tc>
        <w:tc>
          <w:tcPr>
            <w:tcW w:w="1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184,243,282</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-847090</wp:posOffset>
            </wp:positionV>
            <wp:extent cx="6286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865" cy="7620"/>
                    </a:xfrm>
                    <a:prstGeom prst="rect">
                      <a:avLst/>
                    </a:prstGeom>
                    <a:noFill/>
                  </pic:spPr>
                </pic:pic>
              </a:graphicData>
            </a:graphic>
          </wp:anchor>
        </w:drawing>
      </w:r>
    </w:p>
    <w:p>
      <w:pPr>
        <w:spacing w:after="0" w:line="5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120" w:hanging="301"/>
        <w:spacing w:after="0" w:line="247" w:lineRule="auto"/>
        <w:tabs>
          <w:tab w:leader="none" w:pos="294" w:val="left"/>
        </w:tabs>
        <w:numPr>
          <w:ilvl w:val="0"/>
          <w:numId w:val="133"/>
        </w:numPr>
        <w:rPr>
          <w:rFonts w:ascii="Arial" w:cs="Arial" w:eastAsia="Arial" w:hAnsi="Arial"/>
          <w:sz w:val="13"/>
          <w:szCs w:val="13"/>
          <w:color w:val="auto"/>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27" w:lineRule="exact"/>
        <w:rPr>
          <w:sz w:val="20"/>
          <w:szCs w:val="20"/>
          <w:color w:val="auto"/>
        </w:rPr>
      </w:pPr>
    </w:p>
    <w:p>
      <w:pPr>
        <w:ind w:left="301" w:right="8660" w:hanging="301"/>
        <w:spacing w:after="0" w:line="454" w:lineRule="auto"/>
        <w:tabs>
          <w:tab w:leader="none" w:pos="251"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Actions</w:t>
      </w:r>
    </w:p>
    <w:p>
      <w:pPr>
        <w:ind w:left="1" w:right="100" w:firstLine="297"/>
        <w:spacing w:after="0" w:line="274" w:lineRule="auto"/>
        <w:rPr>
          <w:sz w:val="20"/>
          <w:szCs w:val="20"/>
          <w:color w:val="auto"/>
        </w:rPr>
      </w:pPr>
      <w:r>
        <w:rPr>
          <w:rFonts w:ascii="Arial" w:cs="Arial" w:eastAsia="Arial" w:hAnsi="Arial"/>
          <w:sz w:val="16"/>
          <w:szCs w:val="16"/>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September 30, 2021, and December 31, 2020, respectively, there were no material known contingent liabilities arising outside the normal course of business.</w:t>
      </w:r>
    </w:p>
    <w:p>
      <w:pPr>
        <w:spacing w:after="0" w:line="112" w:lineRule="exact"/>
        <w:rPr>
          <w:sz w:val="20"/>
          <w:szCs w:val="20"/>
          <w:color w:val="auto"/>
        </w:rPr>
      </w:pPr>
    </w:p>
    <w:p>
      <w:pPr>
        <w:ind w:left="301"/>
        <w:spacing w:after="0"/>
        <w:rPr>
          <w:sz w:val="20"/>
          <w:szCs w:val="20"/>
          <w:color w:val="auto"/>
        </w:rPr>
      </w:pPr>
      <w:r>
        <w:rPr>
          <w:rFonts w:ascii="Arial" w:cs="Arial" w:eastAsia="Arial" w:hAnsi="Arial"/>
          <w:sz w:val="16"/>
          <w:szCs w:val="16"/>
          <w:i w:val="1"/>
          <w:iCs w:val="1"/>
          <w:color w:val="auto"/>
        </w:rPr>
        <w:t>Securities Class Actions and Derivative Litigation</w:t>
      </w:r>
    </w:p>
    <w:p>
      <w:pPr>
        <w:spacing w:after="0" w:line="162" w:lineRule="exact"/>
        <w:rPr>
          <w:sz w:val="20"/>
          <w:szCs w:val="20"/>
          <w:color w:val="auto"/>
        </w:rPr>
      </w:pPr>
    </w:p>
    <w:p>
      <w:pPr>
        <w:ind w:left="1" w:right="40" w:firstLine="297"/>
        <w:spacing w:after="0" w:line="287" w:lineRule="auto"/>
        <w:rPr>
          <w:sz w:val="20"/>
          <w:szCs w:val="20"/>
          <w:color w:val="auto"/>
        </w:rPr>
      </w:pPr>
      <w:r>
        <w:rPr>
          <w:rFonts w:ascii="Arial" w:cs="Arial" w:eastAsia="Arial" w:hAnsi="Arial"/>
          <w:sz w:val="15"/>
          <w:szCs w:val="15"/>
          <w:color w:val="auto"/>
        </w:rPr>
        <w:t xml:space="preserve">In February 2021, the Corporation and certain of its directors and officers were named as defendants in putative class actions filed in the United States District Court for the Middle District of Tennessee: </w:t>
      </w:r>
      <w:r>
        <w:rPr>
          <w:rFonts w:ascii="Arial" w:cs="Arial" w:eastAsia="Arial" w:hAnsi="Arial"/>
          <w:sz w:val="15"/>
          <w:szCs w:val="15"/>
          <w:i w:val="1"/>
          <w:iCs w:val="1"/>
          <w:color w:val="auto"/>
        </w:rPr>
        <w:t>Bond v. Clover Health Investments, Corp. et al.</w:t>
      </w:r>
      <w:r>
        <w:rPr>
          <w:rFonts w:ascii="Arial" w:cs="Arial" w:eastAsia="Arial" w:hAnsi="Arial"/>
          <w:sz w:val="15"/>
          <w:szCs w:val="15"/>
          <w:color w:val="auto"/>
        </w:rPr>
        <w:t xml:space="preserve">, Case No. 3:21-cv-00096 (M.D. Tenn.); </w:t>
      </w:r>
      <w:r>
        <w:rPr>
          <w:rFonts w:ascii="Arial" w:cs="Arial" w:eastAsia="Arial" w:hAnsi="Arial"/>
          <w:sz w:val="15"/>
          <w:szCs w:val="15"/>
          <w:i w:val="1"/>
          <w:iCs w:val="1"/>
          <w:color w:val="auto"/>
        </w:rPr>
        <w:t>Kaul v. Clover Health Investments, Corp., et</w:t>
      </w:r>
      <w:r>
        <w:rPr>
          <w:rFonts w:ascii="Arial" w:cs="Arial" w:eastAsia="Arial" w:hAnsi="Arial"/>
          <w:sz w:val="15"/>
          <w:szCs w:val="15"/>
          <w:color w:val="auto"/>
        </w:rPr>
        <w:t xml:space="preserve"> </w:t>
      </w:r>
      <w:r>
        <w:rPr>
          <w:rFonts w:ascii="Arial" w:cs="Arial" w:eastAsia="Arial" w:hAnsi="Arial"/>
          <w:sz w:val="15"/>
          <w:szCs w:val="15"/>
          <w:i w:val="1"/>
          <w:iCs w:val="1"/>
          <w:color w:val="auto"/>
        </w:rPr>
        <w:t>al.</w:t>
      </w:r>
      <w:r>
        <w:rPr>
          <w:rFonts w:ascii="Arial" w:cs="Arial" w:eastAsia="Arial" w:hAnsi="Arial"/>
          <w:sz w:val="15"/>
          <w:szCs w:val="15"/>
          <w:color w:val="auto"/>
        </w:rPr>
        <w:t>, Case No. 3:21-cv-00101 (M.D. Tenn.);</w:t>
      </w:r>
      <w:r>
        <w:rPr>
          <w:rFonts w:ascii="Arial" w:cs="Arial" w:eastAsia="Arial" w:hAnsi="Arial"/>
          <w:sz w:val="15"/>
          <w:szCs w:val="15"/>
          <w:i w:val="1"/>
          <w:iCs w:val="1"/>
          <w:color w:val="auto"/>
        </w:rPr>
        <w:t xml:space="preserve"> Yaniv v. Clover Health Investments, Corp., et al.</w:t>
      </w:r>
      <w:r>
        <w:rPr>
          <w:rFonts w:ascii="Arial" w:cs="Arial" w:eastAsia="Arial" w:hAnsi="Arial"/>
          <w:sz w:val="15"/>
          <w:szCs w:val="15"/>
          <w:color w:val="auto"/>
        </w:rPr>
        <w:t>, Case No. 3:21-cv-00109 (M.D. Tenn.); and</w:t>
      </w:r>
      <w:r>
        <w:rPr>
          <w:rFonts w:ascii="Arial" w:cs="Arial" w:eastAsia="Arial" w:hAnsi="Arial"/>
          <w:sz w:val="15"/>
          <w:szCs w:val="15"/>
          <w:i w:val="1"/>
          <w:iCs w:val="1"/>
          <w:color w:val="auto"/>
        </w:rPr>
        <w:t xml:space="preserve"> Tremblay v. Clover Health Investments, Corp., et al.</w:t>
      </w:r>
      <w:r>
        <w:rPr>
          <w:rFonts w:ascii="Arial" w:cs="Arial" w:eastAsia="Arial" w:hAnsi="Arial"/>
          <w:sz w:val="15"/>
          <w:szCs w:val="15"/>
          <w:color w:val="auto"/>
        </w:rPr>
        <w:t>, Case No. 3:21-cv-00138 (M.D. Tenn.). The complaints asserted violations of sections 10(b) and 20(a) of the Exchange Act and Rule 10b-5</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promulgated under the Exchange Act. The </w:t>
      </w:r>
      <w:r>
        <w:rPr>
          <w:rFonts w:ascii="Arial" w:cs="Arial" w:eastAsia="Arial" w:hAnsi="Arial"/>
          <w:sz w:val="15"/>
          <w:szCs w:val="15"/>
          <w:i w:val="1"/>
          <w:iCs w:val="1"/>
          <w:color w:val="auto"/>
        </w:rPr>
        <w:t>Kaul</w:t>
      </w:r>
      <w:r>
        <w:rPr>
          <w:rFonts w:ascii="Arial" w:cs="Arial" w:eastAsia="Arial" w:hAnsi="Arial"/>
          <w:sz w:val="15"/>
          <w:szCs w:val="15"/>
          <w:color w:val="auto"/>
        </w:rPr>
        <w:t xml:space="preserve"> action asserted additional claims under sections 11 and 15 of the Securities Act.</w:t>
      </w:r>
    </w:p>
    <w:p>
      <w:pPr>
        <w:spacing w:after="0" w:line="106" w:lineRule="exact"/>
        <w:rPr>
          <w:sz w:val="20"/>
          <w:szCs w:val="20"/>
          <w:color w:val="auto"/>
        </w:rPr>
      </w:pPr>
    </w:p>
    <w:p>
      <w:pPr>
        <w:ind w:left="1" w:right="100" w:firstLine="297"/>
        <w:spacing w:after="0" w:line="300" w:lineRule="auto"/>
        <w:rPr>
          <w:sz w:val="20"/>
          <w:szCs w:val="20"/>
          <w:color w:val="auto"/>
        </w:rPr>
      </w:pPr>
      <w:r>
        <w:rPr>
          <w:rFonts w:ascii="Arial" w:cs="Arial" w:eastAsia="Arial" w:hAnsi="Arial"/>
          <w:sz w:val="15"/>
          <w:szCs w:val="15"/>
          <w:color w:val="auto"/>
        </w:rPr>
        <w:t>The complaints generally related to allegations published in an article issued on February 4, 2021, by Hindenburg Research LLC (the “Hindenburg Article”). The complaints sought unspecified damages on behalf of all persons and entities who purchased or acquired Clover securities during the proposed class period (which begins on October 6, 2020, and, depending on the complaint, ends on February 3, 2021, or February 4, 2021), as well as certain other costs.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In April 2021, the Middle District of Tennessee class actions described above were consolidated under </w:t>
      </w:r>
      <w:r>
        <w:rPr>
          <w:rFonts w:ascii="Arial" w:cs="Arial" w:eastAsia="Arial" w:hAnsi="Arial"/>
          <w:sz w:val="15"/>
          <w:szCs w:val="15"/>
          <w:i w:val="1"/>
          <w:iCs w:val="1"/>
          <w:color w:val="auto"/>
        </w:rPr>
        <w:t>Bond v. Clover Health Investments, Corp., et al.</w:t>
      </w:r>
      <w:r>
        <w:rPr>
          <w:rFonts w:ascii="Arial" w:cs="Arial" w:eastAsia="Arial" w:hAnsi="Arial"/>
          <w:sz w:val="15"/>
          <w:szCs w:val="15"/>
          <w:color w:val="auto"/>
        </w:rPr>
        <w:t>, Case No.</w:t>
      </w:r>
    </w:p>
    <w:p>
      <w:pPr>
        <w:spacing w:after="0" w:line="36" w:lineRule="exact"/>
        <w:rPr>
          <w:sz w:val="20"/>
          <w:szCs w:val="20"/>
          <w:color w:val="auto"/>
        </w:rPr>
      </w:pPr>
    </w:p>
    <w:p>
      <w:pPr>
        <w:ind w:left="1" w:right="60"/>
        <w:spacing w:after="0" w:line="281" w:lineRule="auto"/>
        <w:rPr>
          <w:sz w:val="20"/>
          <w:szCs w:val="20"/>
          <w:color w:val="auto"/>
        </w:rPr>
      </w:pPr>
      <w:r>
        <w:rPr>
          <w:rFonts w:ascii="Arial" w:cs="Arial" w:eastAsia="Arial" w:hAnsi="Arial"/>
          <w:sz w:val="15"/>
          <w:szCs w:val="15"/>
          <w:color w:val="auto"/>
        </w:rPr>
        <w:t>3:21-cv-00096 (M.D. Tenn.) as lead case. The court appointed a lead plaintiff, approved a lead counsel and a liaison counsel, and approved the parties' proposed schedule for filing an amended complaint and the defendants’ responses. In June 2021, the lead plaintiff and a named plaintiff filed the amended complaint, asserting violations of sections 10(b) and 20(a) of the Exchange Act and Rule 10b-5 promulgated under the Exchange Act. The amended complaint names Clover and certain of its officers and directors as defendants and removes certain defendants named in the initial complaints. The amended complaint generally relates to allegations published in the Hindenburg Article and seeks unspecified damages on behalf of all persons and entities other than the defendants who purchased or acquired Clover securities during the proposed class period (which begins on October 6, 2020, and ends on February 3, 2021), as well as certain other costs. The Corporation moved to dismiss the complaint on August 27, 2021, and briefing on that motion is ongoing under the court’s briefing schedule.</w:t>
      </w:r>
    </w:p>
    <w:p>
      <w:pPr>
        <w:spacing w:after="0" w:line="108" w:lineRule="exact"/>
        <w:rPr>
          <w:sz w:val="20"/>
          <w:szCs w:val="20"/>
          <w:color w:val="auto"/>
        </w:rPr>
      </w:pPr>
    </w:p>
    <w:p>
      <w:pPr>
        <w:ind w:left="1" w:right="180" w:firstLine="297"/>
        <w:spacing w:after="0" w:line="325" w:lineRule="auto"/>
        <w:rPr>
          <w:sz w:val="20"/>
          <w:szCs w:val="20"/>
          <w:color w:val="auto"/>
        </w:rPr>
      </w:pPr>
      <w:r>
        <w:rPr>
          <w:rFonts w:ascii="Arial" w:cs="Arial" w:eastAsia="Arial" w:hAnsi="Arial"/>
          <w:sz w:val="15"/>
          <w:szCs w:val="15"/>
          <w:color w:val="auto"/>
        </w:rPr>
        <w:t xml:space="preserve">Parallel shareholder derivative actions have also been filed, naming Clover as a nominal defendant. The first action was filed in the United States District Court for the District of Delaware and is captioned </w:t>
      </w:r>
      <w:r>
        <w:rPr>
          <w:rFonts w:ascii="Arial" w:cs="Arial" w:eastAsia="Arial" w:hAnsi="Arial"/>
          <w:sz w:val="15"/>
          <w:szCs w:val="15"/>
          <w:i w:val="1"/>
          <w:iCs w:val="1"/>
          <w:color w:val="auto"/>
        </w:rPr>
        <w:t>Furman v. Garipalli, et al.</w:t>
      </w:r>
      <w:r>
        <w:rPr>
          <w:rFonts w:ascii="Arial" w:cs="Arial" w:eastAsia="Arial" w:hAnsi="Arial"/>
          <w:sz w:val="15"/>
          <w:szCs w:val="15"/>
          <w:color w:val="auto"/>
        </w:rPr>
        <w:t>, Case No. 1:21-cv-00191 (D. Del.). The complaint asserts violations of sections 10(b) and 21D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 xml:space="preserve">the Exchange Act, breach of fiduciary duty, and waste of corporate assets against certain of the Corporation’s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w:t>
      </w:r>
      <w:r>
        <w:rPr>
          <w:rFonts w:ascii="Arial" w:cs="Arial" w:eastAsia="Arial" w:hAnsi="Arial"/>
          <w:sz w:val="15"/>
          <w:szCs w:val="15"/>
          <w:i w:val="1"/>
          <w:iCs w:val="1"/>
          <w:color w:val="auto"/>
        </w:rPr>
        <w:t>Sun v. Garipalli, et al.</w:t>
      </w:r>
      <w:r>
        <w:rPr>
          <w:rFonts w:ascii="Arial" w:cs="Arial" w:eastAsia="Arial" w:hAnsi="Arial"/>
          <w:sz w:val="15"/>
          <w:szCs w:val="15"/>
          <w:color w:val="auto"/>
        </w:rPr>
        <w:t xml:space="preserve">, Case No. 3:21-cv-00311 (M.D. Tenn.), and </w:t>
      </w:r>
      <w:r>
        <w:rPr>
          <w:rFonts w:ascii="Arial" w:cs="Arial" w:eastAsia="Arial" w:hAnsi="Arial"/>
          <w:sz w:val="15"/>
          <w:szCs w:val="15"/>
          <w:i w:val="1"/>
          <w:iCs w:val="1"/>
          <w:color w:val="auto"/>
        </w:rPr>
        <w:t>Luthra v. Garipalli, et al.</w:t>
      </w:r>
      <w:r>
        <w:rPr>
          <w:rFonts w:ascii="Arial" w:cs="Arial" w:eastAsia="Arial" w:hAnsi="Arial"/>
          <w:sz w:val="15"/>
          <w:szCs w:val="15"/>
          <w:color w:val="auto"/>
        </w:rPr>
        <w:t>,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09"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 xml:space="preserve">The fourth action was filed in the United States District of Delaware and is captioned </w:t>
      </w:r>
      <w:r>
        <w:rPr>
          <w:rFonts w:ascii="Arial" w:cs="Arial" w:eastAsia="Arial" w:hAnsi="Arial"/>
          <w:sz w:val="16"/>
          <w:szCs w:val="16"/>
          <w:i w:val="1"/>
          <w:iCs w:val="1"/>
          <w:color w:val="auto"/>
        </w:rPr>
        <w:t>Wiegand v. Garipalli, et al.</w:t>
      </w:r>
      <w:r>
        <w:rPr>
          <w:rFonts w:ascii="Arial" w:cs="Arial" w:eastAsia="Arial" w:hAnsi="Arial"/>
          <w:sz w:val="16"/>
          <w:szCs w:val="16"/>
          <w:color w:val="auto"/>
        </w:rPr>
        <w:t xml:space="preserve">, Case No. 1:21-cv-01053 (D. Del.). The complaint asserts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w:t>
      </w:r>
      <w:r>
        <w:rPr>
          <w:rFonts w:ascii="Arial" w:cs="Arial" w:eastAsia="Arial" w:hAnsi="Arial"/>
          <w:sz w:val="16"/>
          <w:szCs w:val="16"/>
          <w:i w:val="1"/>
          <w:iCs w:val="1"/>
          <w:color w:val="auto"/>
        </w:rPr>
        <w:t>Sankaranarayanan v.</w:t>
      </w:r>
      <w:r>
        <w:rPr>
          <w:rFonts w:ascii="Arial" w:cs="Arial" w:eastAsia="Arial" w:hAnsi="Arial"/>
          <w:sz w:val="16"/>
          <w:szCs w:val="16"/>
          <w:color w:val="auto"/>
        </w:rPr>
        <w:t xml:space="preserve"> </w:t>
      </w:r>
      <w:r>
        <w:rPr>
          <w:rFonts w:ascii="Arial" w:cs="Arial" w:eastAsia="Arial" w:hAnsi="Arial"/>
          <w:sz w:val="16"/>
          <w:szCs w:val="16"/>
          <w:i w:val="1"/>
          <w:iCs w:val="1"/>
          <w:color w:val="auto"/>
        </w:rPr>
        <w:t>Palihapitiya, et al.</w:t>
      </w:r>
      <w:r>
        <w:rPr>
          <w:rFonts w:ascii="Arial" w:cs="Arial" w:eastAsia="Arial" w:hAnsi="Arial"/>
          <w:sz w:val="16"/>
          <w:szCs w:val="16"/>
          <w:color w:val="auto"/>
        </w:rPr>
        <w:t>, Index No. 655420/2021 (N.Y. Sup. Ct.). The complaint asserts breach of fiduciary duty and unjust enrichment. The complaint names certain former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directors as defendants.</w:t>
      </w:r>
    </w:p>
    <w:p>
      <w:pPr>
        <w:spacing w:after="0" w:line="121"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 xml:space="preserve">On May 10, 2021, the Middle District of Tennessee shareholder derivative actions described above were consolidated under </w:t>
      </w:r>
      <w:r>
        <w:rPr>
          <w:rFonts w:ascii="Arial" w:cs="Arial" w:eastAsia="Arial" w:hAnsi="Arial"/>
          <w:sz w:val="15"/>
          <w:szCs w:val="15"/>
          <w:i w:val="1"/>
          <w:iCs w:val="1"/>
          <w:color w:val="auto"/>
        </w:rPr>
        <w:t>Sun v. Garipalli, et al.</w:t>
      </w:r>
      <w:r>
        <w:rPr>
          <w:rFonts w:ascii="Arial" w:cs="Arial" w:eastAsia="Arial" w:hAnsi="Arial"/>
          <w:sz w:val="15"/>
          <w:szCs w:val="15"/>
          <w:color w:val="auto"/>
        </w:rPr>
        <w:t xml:space="preserve">, Case No. 3:21-cv-00311 (M.D. Tenn.) as lead case. The court designated co-lead counsel and liaison counsel and ordered the parties to submit a proposed schedule for the initial stage of the case. In June 2021, the parties in the </w:t>
      </w:r>
      <w:r>
        <w:rPr>
          <w:rFonts w:ascii="Arial" w:cs="Arial" w:eastAsia="Arial" w:hAnsi="Arial"/>
          <w:sz w:val="15"/>
          <w:szCs w:val="15"/>
          <w:i w:val="1"/>
          <w:iCs w:val="1"/>
          <w:color w:val="auto"/>
        </w:rPr>
        <w:t>Sun</w:t>
      </w:r>
      <w:r>
        <w:rPr>
          <w:rFonts w:ascii="Arial" w:cs="Arial" w:eastAsia="Arial" w:hAnsi="Arial"/>
          <w:sz w:val="15"/>
          <w:szCs w:val="15"/>
          <w:color w:val="auto"/>
        </w:rPr>
        <w:t xml:space="preserve"> and </w:t>
      </w:r>
      <w:r>
        <w:rPr>
          <w:rFonts w:ascii="Arial" w:cs="Arial" w:eastAsia="Arial" w:hAnsi="Arial"/>
          <w:sz w:val="15"/>
          <w:szCs w:val="15"/>
          <w:i w:val="1"/>
          <w:iCs w:val="1"/>
          <w:color w:val="auto"/>
        </w:rPr>
        <w:t>Furman</w:t>
      </w:r>
      <w:r>
        <w:rPr>
          <w:rFonts w:ascii="Arial" w:cs="Arial" w:eastAsia="Arial" w:hAnsi="Arial"/>
          <w:sz w:val="15"/>
          <w:szCs w:val="15"/>
          <w:color w:val="auto"/>
        </w:rPr>
        <w:t xml:space="preserve"> actions submitted joint stipulations and proposed orders to stay both actions. Soon thereafter, the courts in both actions approved the stipulations, thereby staying all proceedings and deadlines in the </w:t>
      </w:r>
      <w:r>
        <w:rPr>
          <w:rFonts w:ascii="Arial" w:cs="Arial" w:eastAsia="Arial" w:hAnsi="Arial"/>
          <w:sz w:val="15"/>
          <w:szCs w:val="15"/>
          <w:i w:val="1"/>
          <w:iCs w:val="1"/>
          <w:color w:val="auto"/>
        </w:rPr>
        <w:t>Sun</w:t>
      </w:r>
      <w:r>
        <w:rPr>
          <w:rFonts w:ascii="Arial" w:cs="Arial" w:eastAsia="Arial" w:hAnsi="Arial"/>
          <w:sz w:val="15"/>
          <w:szCs w:val="15"/>
          <w:color w:val="auto"/>
        </w:rPr>
        <w:t xml:space="preserve"> and </w:t>
      </w:r>
      <w:r>
        <w:rPr>
          <w:rFonts w:ascii="Arial" w:cs="Arial" w:eastAsia="Arial" w:hAnsi="Arial"/>
          <w:sz w:val="15"/>
          <w:szCs w:val="15"/>
          <w:i w:val="1"/>
          <w:iCs w:val="1"/>
          <w:color w:val="auto"/>
        </w:rPr>
        <w:t>Furman</w:t>
      </w:r>
      <w:r>
        <w:rPr>
          <w:rFonts w:ascii="Arial" w:cs="Arial" w:eastAsia="Arial" w:hAnsi="Arial"/>
          <w:sz w:val="15"/>
          <w:szCs w:val="15"/>
          <w:color w:val="auto"/>
        </w:rPr>
        <w:t xml:space="preserve"> actions pending a final decision on a motion to dismiss in the Middle District of Tennessee class actions consolidated under the </w:t>
      </w:r>
      <w:r>
        <w:rPr>
          <w:rFonts w:ascii="Arial" w:cs="Arial" w:eastAsia="Arial" w:hAnsi="Arial"/>
          <w:sz w:val="15"/>
          <w:szCs w:val="15"/>
          <w:i w:val="1"/>
          <w:iCs w:val="1"/>
          <w:color w:val="auto"/>
        </w:rPr>
        <w:t>Bond</w:t>
      </w:r>
      <w:r>
        <w:rPr>
          <w:rFonts w:ascii="Arial" w:cs="Arial" w:eastAsia="Arial" w:hAnsi="Arial"/>
          <w:sz w:val="15"/>
          <w:szCs w:val="15"/>
          <w:color w:val="auto"/>
        </w:rPr>
        <w:t xml:space="preserve"> action. On September 16, 2021, the two District of Delaware derivative actions were consolidated under In re Clover Health Investments, Corp. Derivative Litigation, Case No. 1:21-cv-00191-LPS (Consolidated). The </w:t>
      </w:r>
      <w:r>
        <w:rPr>
          <w:rFonts w:ascii="Arial" w:cs="Arial" w:eastAsia="Arial" w:hAnsi="Arial"/>
          <w:sz w:val="15"/>
          <w:szCs w:val="15"/>
          <w:i w:val="1"/>
          <w:iCs w:val="1"/>
          <w:color w:val="auto"/>
        </w:rPr>
        <w:t>Furman</w:t>
      </w:r>
      <w:r>
        <w:rPr>
          <w:rFonts w:ascii="Arial" w:cs="Arial" w:eastAsia="Arial" w:hAnsi="Arial"/>
          <w:sz w:val="15"/>
          <w:szCs w:val="15"/>
          <w:color w:val="auto"/>
        </w:rPr>
        <w:t xml:space="preserve"> complaint was deemed the operative complaint. All proceedings and deadlines in that matter are also stayed pending a final decision on a motion to dismiss in the </w:t>
      </w:r>
      <w:r>
        <w:rPr>
          <w:rFonts w:ascii="Arial" w:cs="Arial" w:eastAsia="Arial" w:hAnsi="Arial"/>
          <w:sz w:val="15"/>
          <w:szCs w:val="15"/>
          <w:i w:val="1"/>
          <w:iCs w:val="1"/>
          <w:color w:val="auto"/>
        </w:rPr>
        <w:t>Bond</w:t>
      </w:r>
      <w:r>
        <w:rPr>
          <w:rFonts w:ascii="Arial" w:cs="Arial" w:eastAsia="Arial" w:hAnsi="Arial"/>
          <w:sz w:val="15"/>
          <w:szCs w:val="15"/>
          <w:color w:val="auto"/>
        </w:rPr>
        <w:t xml:space="preserve"> Action.</w:t>
      </w:r>
    </w:p>
    <w:p>
      <w:pPr>
        <w:spacing w:after="0" w:line="109" w:lineRule="exact"/>
        <w:rPr>
          <w:sz w:val="20"/>
          <w:szCs w:val="20"/>
          <w:color w:val="auto"/>
        </w:rPr>
      </w:pPr>
    </w:p>
    <w:p>
      <w:pPr>
        <w:jc w:val="both"/>
        <w:ind w:right="140" w:firstLine="297"/>
        <w:spacing w:after="0" w:line="274" w:lineRule="auto"/>
        <w:rPr>
          <w:sz w:val="20"/>
          <w:szCs w:val="20"/>
          <w:color w:val="auto"/>
        </w:rPr>
      </w:pPr>
      <w:r>
        <w:rPr>
          <w:rFonts w:ascii="Arial" w:cs="Arial" w:eastAsia="Arial" w:hAnsi="Arial"/>
          <w:sz w:val="16"/>
          <w:szCs w:val="16"/>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Guaranty Assessments</w:t>
      </w:r>
    </w:p>
    <w:p>
      <w:pPr>
        <w:spacing w:after="0" w:line="162" w:lineRule="exact"/>
        <w:rPr>
          <w:sz w:val="20"/>
          <w:szCs w:val="20"/>
          <w:color w:val="auto"/>
        </w:rPr>
      </w:pPr>
    </w:p>
    <w:p>
      <w:pPr>
        <w:ind w:right="180" w:firstLine="297"/>
        <w:spacing w:after="0" w:line="325" w:lineRule="auto"/>
        <w:rPr>
          <w:sz w:val="20"/>
          <w:szCs w:val="20"/>
          <w:color w:val="auto"/>
        </w:rPr>
      </w:pPr>
      <w:r>
        <w:rPr>
          <w:rFonts w:ascii="Arial" w:cs="Arial" w:eastAsia="Arial" w:hAnsi="Arial"/>
          <w:sz w:val="15"/>
          <w:szCs w:val="15"/>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Direct Contracting</w:t>
      </w:r>
    </w:p>
    <w:p>
      <w:pPr>
        <w:spacing w:after="0" w:line="166"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auto"/>
        </w:rPr>
        <w:t>In April 2021, the Corporation began participating in the DC Model, which utilizes a structured model intended to reduce expenditures and preserve or enhance quality of care for beneficiaries in Medicare FFS. As a participating entity in the DC Model with a global risk arrangement, the Corporation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Key components of the financial agreement for Direct Contracting include:</w:t>
      </w:r>
    </w:p>
    <w:p>
      <w:pPr>
        <w:spacing w:after="0" w:line="158" w:lineRule="exact"/>
        <w:rPr>
          <w:sz w:val="20"/>
          <w:szCs w:val="20"/>
          <w:color w:val="auto"/>
        </w:rPr>
      </w:pPr>
    </w:p>
    <w:p>
      <w:pPr>
        <w:ind w:left="600" w:right="360" w:hanging="304"/>
        <w:spacing w:after="0" w:line="295" w:lineRule="auto"/>
        <w:tabs>
          <w:tab w:leader="none" w:pos="596"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Performance Year Benchmark </w:t>
      </w:r>
      <w:r>
        <w:rPr>
          <w:rFonts w:ascii="Arial" w:cs="Arial" w:eastAsia="Arial" w:hAnsi="Arial"/>
          <w:sz w:val="16"/>
          <w:szCs w:val="16"/>
          <w:color w:val="auto"/>
        </w:rPr>
        <w:t>The target amount for Medicare expenditures on covered items and services (Medicare Part A and B) furnished to a DCE’s</w:t>
      </w:r>
      <w:r>
        <w:rPr>
          <w:rFonts w:ascii="Arial" w:cs="Arial" w:eastAsia="Arial" w:hAnsi="Arial"/>
          <w:sz w:val="16"/>
          <w:szCs w:val="16"/>
          <w:b w:val="1"/>
          <w:bCs w:val="1"/>
          <w:color w:val="auto"/>
        </w:rPr>
        <w:t xml:space="preserve"> </w:t>
      </w:r>
      <w:r>
        <w:rPr>
          <w:rFonts w:ascii="Arial" w:cs="Arial" w:eastAsia="Arial" w:hAnsi="Arial"/>
          <w:sz w:val="16"/>
          <w:szCs w:val="16"/>
          <w:color w:val="auto"/>
        </w:rPr>
        <w:t>aligned beneficiaries during a performance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1" w:right="100"/>
        <w:spacing w:after="0" w:line="274" w:lineRule="auto"/>
        <w:rPr>
          <w:sz w:val="20"/>
          <w:szCs w:val="20"/>
          <w:color w:val="auto"/>
        </w:rPr>
      </w:pPr>
      <w:r>
        <w:rPr>
          <w:rFonts w:ascii="Arial" w:cs="Arial" w:eastAsia="Arial" w:hAnsi="Arial"/>
          <w:sz w:val="16"/>
          <w:szCs w:val="16"/>
          <w:color w:val="auto"/>
        </w:rPr>
        <w:t>The Performance Year Benchmark will be compared to the DCE’s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spacing w:after="0" w:line="108" w:lineRule="exact"/>
        <w:rPr>
          <w:sz w:val="20"/>
          <w:szCs w:val="20"/>
          <w:color w:val="auto"/>
        </w:rPr>
      </w:pPr>
    </w:p>
    <w:p>
      <w:pPr>
        <w:ind w:left="581" w:hanging="284"/>
        <w:spacing w:after="0"/>
        <w:tabs>
          <w:tab w:leader="none" w:pos="581"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Performance Year </w:t>
      </w:r>
      <w:r>
        <w:rPr>
          <w:rFonts w:ascii="Arial" w:cs="Arial" w:eastAsia="Arial" w:hAnsi="Arial"/>
          <w:sz w:val="16"/>
          <w:szCs w:val="16"/>
          <w:color w:val="auto"/>
        </w:rPr>
        <w:t>A calendar year except for the commencement year, which began on April 1, 2021, and will end on December 31, 2021.</w:t>
      </w:r>
    </w:p>
    <w:p>
      <w:pPr>
        <w:spacing w:after="0" w:line="162" w:lineRule="exact"/>
        <w:rPr>
          <w:rFonts w:ascii="Arial" w:cs="Arial" w:eastAsia="Arial" w:hAnsi="Arial"/>
          <w:sz w:val="16"/>
          <w:szCs w:val="16"/>
          <w:color w:val="auto"/>
        </w:rPr>
      </w:pPr>
    </w:p>
    <w:p>
      <w:pPr>
        <w:ind w:left="601" w:right="240" w:hanging="304"/>
        <w:spacing w:after="0" w:line="295" w:lineRule="auto"/>
        <w:tabs>
          <w:tab w:leader="none" w:pos="597"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Risk-Sharing Arrangements </w:t>
      </w:r>
      <w:r>
        <w:rPr>
          <w:rFonts w:ascii="Arial" w:cs="Arial" w:eastAsia="Arial" w:hAnsi="Arial"/>
          <w:sz w:val="16"/>
          <w:szCs w:val="16"/>
          <w:color w:val="auto"/>
        </w:rPr>
        <w:t>Used in determining the percent of savings and losses that DCEs are eligible to receive as shared savings or may be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repay as shared losses.</w:t>
      </w:r>
    </w:p>
    <w:p>
      <w:pPr>
        <w:spacing w:after="0" w:line="91" w:lineRule="exact"/>
        <w:rPr>
          <w:rFonts w:ascii="Arial" w:cs="Arial" w:eastAsia="Arial" w:hAnsi="Arial"/>
          <w:sz w:val="16"/>
          <w:szCs w:val="16"/>
          <w:color w:val="auto"/>
        </w:rPr>
      </w:pPr>
    </w:p>
    <w:p>
      <w:pPr>
        <w:ind w:left="601" w:right="40" w:hanging="304"/>
        <w:spacing w:after="0" w:line="276" w:lineRule="auto"/>
        <w:tabs>
          <w:tab w:leader="none" w:pos="597"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Financial Reconciliation </w:t>
      </w:r>
      <w:r>
        <w:rPr>
          <w:rFonts w:ascii="Arial" w:cs="Arial" w:eastAsia="Arial" w:hAnsi="Arial"/>
          <w:sz w:val="16"/>
          <w:szCs w:val="16"/>
          <w:color w:val="auto"/>
        </w:rPr>
        <w:t>The process by which CMS determines shared savings or shared losses by comparing the calculated total benchmark expenditure for a</w:t>
      </w:r>
      <w:r>
        <w:rPr>
          <w:rFonts w:ascii="Arial" w:cs="Arial" w:eastAsia="Arial" w:hAnsi="Arial"/>
          <w:sz w:val="16"/>
          <w:szCs w:val="16"/>
          <w:b w:val="1"/>
          <w:bCs w:val="1"/>
          <w:color w:val="auto"/>
        </w:rPr>
        <w:t xml:space="preserve"> </w:t>
      </w:r>
      <w:r>
        <w:rPr>
          <w:rFonts w:ascii="Arial" w:cs="Arial" w:eastAsia="Arial" w:hAnsi="Arial"/>
          <w:sz w:val="16"/>
          <w:szCs w:val="16"/>
          <w:color w:val="auto"/>
        </w:rPr>
        <w:t>given DCE’s aligned population to the actual expenditures of that DCE’s aligned beneficiaries over the course of a performance year that includes various risk-mitigation options such as stop-loss reinsurance and risk corridors.</w:t>
      </w:r>
    </w:p>
    <w:p>
      <w:pPr>
        <w:spacing w:after="0" w:line="107" w:lineRule="exact"/>
        <w:rPr>
          <w:rFonts w:ascii="Arial" w:cs="Arial" w:eastAsia="Arial" w:hAnsi="Arial"/>
          <w:sz w:val="16"/>
          <w:szCs w:val="16"/>
          <w:color w:val="auto"/>
        </w:rPr>
      </w:pPr>
    </w:p>
    <w:p>
      <w:pPr>
        <w:ind w:left="601" w:right="100" w:hanging="304"/>
        <w:spacing w:after="0" w:line="270" w:lineRule="auto"/>
        <w:tabs>
          <w:tab w:leader="none" w:pos="597"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Risk-Mitigation Options </w:t>
      </w:r>
      <w:r>
        <w:rPr>
          <w:rFonts w:ascii="Arial" w:cs="Arial" w:eastAsia="Arial" w:hAnsi="Arial"/>
          <w:sz w:val="16"/>
          <w:szCs w:val="16"/>
          <w:color w:val="auto"/>
        </w:rPr>
        <w:t>DCEs may elect a “stop-loss arrangement” each performance year, which is designed to reduce the financial uncertainty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high-cost expenditures of individual beneficiaries. The Corporation has elected participation in the program for the current performance year. Additionally, CMS has created a mandatory risk corridor program that allocates the DCE’s shared savings and losses in bands of percentage thresholds, after a deviation of greater than 25.0% of the Performance Year Benchmark.</w:t>
      </w:r>
    </w:p>
    <w:p>
      <w:pPr>
        <w:spacing w:after="0" w:line="116" w:lineRule="exact"/>
        <w:rPr>
          <w:sz w:val="20"/>
          <w:szCs w:val="20"/>
          <w:color w:val="auto"/>
        </w:rPr>
      </w:pPr>
    </w:p>
    <w:p>
      <w:pPr>
        <w:ind w:left="301"/>
        <w:spacing w:after="0"/>
        <w:rPr>
          <w:sz w:val="20"/>
          <w:szCs w:val="20"/>
          <w:color w:val="auto"/>
        </w:rPr>
      </w:pPr>
      <w:r>
        <w:rPr>
          <w:rFonts w:ascii="Arial" w:cs="Arial" w:eastAsia="Arial" w:hAnsi="Arial"/>
          <w:sz w:val="16"/>
          <w:szCs w:val="16"/>
          <w:b w:val="1"/>
          <w:bCs w:val="1"/>
          <w:i w:val="1"/>
          <w:iCs w:val="1"/>
          <w:color w:val="auto"/>
        </w:rPr>
        <w:t>Performance Guarantees</w:t>
      </w:r>
    </w:p>
    <w:p>
      <w:pPr>
        <w:spacing w:after="0" w:line="162" w:lineRule="exact"/>
        <w:rPr>
          <w:sz w:val="20"/>
          <w:szCs w:val="20"/>
          <w:color w:val="auto"/>
        </w:rPr>
      </w:pPr>
    </w:p>
    <w:p>
      <w:pPr>
        <w:ind w:left="1" w:firstLine="297"/>
        <w:spacing w:after="0" w:line="280" w:lineRule="auto"/>
        <w:rPr>
          <w:sz w:val="20"/>
          <w:szCs w:val="20"/>
          <w:color w:val="auto"/>
        </w:rPr>
      </w:pPr>
      <w:r>
        <w:rPr>
          <w:rFonts w:ascii="Arial" w:cs="Arial" w:eastAsia="Arial" w:hAnsi="Arial"/>
          <w:sz w:val="15"/>
          <w:szCs w:val="15"/>
          <w:color w:val="auto"/>
        </w:rPr>
        <w:t>Certain of the Corporation’s arrangements with third-party providers require it to guarantee the performance of its care network to CMS, which if not obtained, could potentially result in payment to CMS during the financial reconciliation period. As a result of the DC agreement, the Corporation determined that there was a performance guarantee with the providers of DCE Beneficiaries that should be recognized in the financial statements. The Direct Contracting performance year obligation and receivable were initially measured as the target amount for Medicare expenditures on covered items and services. The obligation and receivable were subsequently amortized on a straight-line basis for the amount that represented the completed performance. The DCE is entitled to all of the consideration under the arrangement for all aligned beneficiaries and in the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The Corporation is unable to estimate the maximum potential amount of future payments under the guarantee. This is attributable to the stop-loss arrangement and the corridors (tiered levels) in the arrangement. A certain percentage of these arrangements will still be the responsibility of the Corporation in addition to a number of variables that are not reasonable for the Corporation to estimate such as, but not limited to, risk ratings and benchmark trends that have an inestimable impact on the estimate of future payments.</w:t>
      </w:r>
    </w:p>
    <w:p>
      <w:pPr>
        <w:spacing w:after="0" w:line="111"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tables below include the financial statement impacts of the performance guarantee:</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w w:val="95"/>
              </w:rPr>
              <w:t>September 30, 2021</w:t>
            </w:r>
          </w:p>
        </w:tc>
      </w:tr>
      <w:tr>
        <w:trPr>
          <w:trHeight w:val="167"/>
        </w:trPr>
        <w:tc>
          <w:tcPr>
            <w:tcW w:w="9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326"/>
              <w:spacing w:after="0"/>
              <w:rPr>
                <w:sz w:val="20"/>
                <w:szCs w:val="20"/>
                <w:color w:val="auto"/>
              </w:rPr>
            </w:pPr>
            <w:r>
              <w:rPr>
                <w:rFonts w:ascii="Arial" w:cs="Arial" w:eastAsia="Arial" w:hAnsi="Arial"/>
                <w:sz w:val="13"/>
                <w:szCs w:val="13"/>
                <w:color w:val="auto"/>
              </w:rPr>
              <w:t>(in thousands)</w:t>
            </w:r>
          </w:p>
        </w:tc>
      </w:tr>
      <w:tr>
        <w:trPr>
          <w:trHeight w:val="214"/>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Contracting performance year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220,738</w:t>
            </w:r>
          </w:p>
        </w:tc>
      </w:tr>
      <w:tr>
        <w:trPr>
          <w:trHeight w:val="278"/>
        </w:trPr>
        <w:tc>
          <w:tcPr>
            <w:tcW w:w="9680" w:type="dxa"/>
            <w:vAlign w:val="bottom"/>
          </w:tcPr>
          <w:p>
            <w:pPr>
              <w:ind w:left="20"/>
              <w:spacing w:after="0"/>
              <w:rPr>
                <w:sz w:val="20"/>
                <w:szCs w:val="20"/>
                <w:color w:val="auto"/>
              </w:rPr>
            </w:pPr>
            <w:r>
              <w:rPr>
                <w:rFonts w:ascii="Arial" w:cs="Arial" w:eastAsia="Arial" w:hAnsi="Arial"/>
                <w:sz w:val="16"/>
                <w:szCs w:val="16"/>
                <w:color w:val="auto"/>
              </w:rPr>
              <w:t>Direct Contracting performance year obligation</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244,599</w:t>
            </w:r>
          </w:p>
        </w:tc>
      </w:tr>
      <w:tr>
        <w:trPr>
          <w:trHeight w:val="160"/>
        </w:trPr>
        <w:tc>
          <w:tcPr>
            <w:tcW w:w="9680" w:type="dxa"/>
            <w:vAlign w:val="bottom"/>
          </w:tcPr>
          <w:p>
            <w:pPr>
              <w:spacing w:after="0"/>
              <w:rPr>
                <w:sz w:val="20"/>
                <w:szCs w:val="20"/>
                <w:color w:val="auto"/>
              </w:rPr>
            </w:pPr>
            <w:r>
              <w:rPr>
                <w:rFonts w:ascii="Arial" w:cs="Arial" w:eastAsia="Arial" w:hAnsi="Arial"/>
                <w:sz w:val="13"/>
                <w:szCs w:val="13"/>
                <w:color w:val="auto"/>
              </w:rPr>
              <w:t>__________________</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r>
    </w:tbl>
    <w:p>
      <w:pPr>
        <w:ind w:left="281" w:hanging="281"/>
        <w:spacing w:after="0"/>
        <w:tabs>
          <w:tab w:leader="none" w:pos="28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This obligation represents the consideration due to providers, net of the shared savings or loss for the period and amortization of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106"/>
              <w:spacing w:after="0"/>
              <w:rPr>
                <w:sz w:val="20"/>
                <w:szCs w:val="20"/>
                <w:color w:val="auto"/>
              </w:rPr>
            </w:pPr>
            <w:r>
              <w:rPr>
                <w:rFonts w:ascii="Arial" w:cs="Arial" w:eastAsia="Arial" w:hAnsi="Arial"/>
                <w:sz w:val="13"/>
                <w:szCs w:val="13"/>
                <w:b w:val="1"/>
                <w:bCs w:val="1"/>
                <w:color w:val="auto"/>
                <w:w w:val="93"/>
              </w:rPr>
              <w:t>Three Months Ended</w:t>
            </w:r>
          </w:p>
        </w:tc>
        <w:tc>
          <w:tcPr>
            <w:tcW w:w="2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3"/>
                <w:szCs w:val="13"/>
                <w:b w:val="1"/>
                <w:bCs w:val="1"/>
                <w:color w:val="auto"/>
              </w:rPr>
              <w:t>Nine Months Ended</w:t>
            </w:r>
          </w:p>
        </w:tc>
      </w:tr>
      <w:tr>
        <w:trPr>
          <w:trHeight w:val="171"/>
        </w:trPr>
        <w:tc>
          <w:tcPr>
            <w:tcW w:w="8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90"/>
              </w:rPr>
              <w:t>September 30, 2021</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September 30, 2021</w:t>
            </w:r>
          </w:p>
        </w:tc>
      </w:tr>
      <w:tr>
        <w:trPr>
          <w:trHeight w:val="163"/>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3"/>
          </w:tcPr>
          <w:p>
            <w:pPr>
              <w:ind w:left="1100"/>
              <w:spacing w:after="0"/>
              <w:rPr>
                <w:sz w:val="20"/>
                <w:szCs w:val="20"/>
                <w:color w:val="auto"/>
              </w:rPr>
            </w:pPr>
            <w:r>
              <w:rPr>
                <w:rFonts w:ascii="Arial" w:cs="Arial" w:eastAsia="Arial" w:hAnsi="Arial"/>
                <w:sz w:val="13"/>
                <w:szCs w:val="13"/>
                <w:i w:val="1"/>
                <w:iCs w:val="1"/>
                <w:color w:val="auto"/>
              </w:rPr>
              <w:t>(in thousands)</w:t>
            </w: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the Direct Contracting performance year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center"/>
              <w:ind w:left="626"/>
              <w:spacing w:after="0"/>
              <w:rPr>
                <w:sz w:val="20"/>
                <w:szCs w:val="20"/>
                <w:color w:val="auto"/>
              </w:rPr>
            </w:pPr>
            <w:r>
              <w:rPr>
                <w:rFonts w:ascii="Arial" w:cs="Arial" w:eastAsia="Arial" w:hAnsi="Arial"/>
                <w:sz w:val="16"/>
                <w:szCs w:val="16"/>
                <w:color w:val="auto"/>
                <w:w w:val="93"/>
              </w:rPr>
              <w:t>(223,309)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center"/>
              <w:ind w:left="644"/>
              <w:spacing w:after="0"/>
              <w:rPr>
                <w:sz w:val="20"/>
                <w:szCs w:val="20"/>
                <w:color w:val="auto"/>
              </w:rPr>
            </w:pPr>
            <w:r>
              <w:rPr>
                <w:rFonts w:ascii="Arial" w:cs="Arial" w:eastAsia="Arial" w:hAnsi="Arial"/>
                <w:sz w:val="16"/>
                <w:szCs w:val="16"/>
                <w:color w:val="auto"/>
                <w:w w:val="93"/>
              </w:rPr>
              <w:t>(441,476)</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Amortization of the Direct Contracting performance year obligation</w:t>
            </w:r>
          </w:p>
        </w:tc>
        <w:tc>
          <w:tcPr>
            <w:tcW w:w="140" w:type="dxa"/>
            <w:vAlign w:val="bottom"/>
          </w:tcPr>
          <w:p>
            <w:pPr>
              <w:spacing w:after="0"/>
              <w:rPr>
                <w:sz w:val="18"/>
                <w:szCs w:val="18"/>
                <w:color w:val="auto"/>
              </w:rPr>
            </w:pPr>
          </w:p>
        </w:tc>
        <w:tc>
          <w:tcPr>
            <w:tcW w:w="1460" w:type="dxa"/>
            <w:vAlign w:val="bottom"/>
          </w:tcPr>
          <w:p>
            <w:pPr>
              <w:jc w:val="center"/>
              <w:ind w:left="646"/>
              <w:spacing w:after="0"/>
              <w:rPr>
                <w:sz w:val="20"/>
                <w:szCs w:val="20"/>
                <w:color w:val="auto"/>
              </w:rPr>
            </w:pPr>
            <w:r>
              <w:rPr>
                <w:rFonts w:ascii="Arial" w:cs="Arial" w:eastAsia="Arial" w:hAnsi="Arial"/>
                <w:sz w:val="16"/>
                <w:szCs w:val="16"/>
                <w:color w:val="auto"/>
                <w:w w:val="93"/>
              </w:rPr>
              <w:t>223,309</w:t>
            </w:r>
          </w:p>
        </w:tc>
        <w:tc>
          <w:tcPr>
            <w:tcW w:w="220" w:type="dxa"/>
            <w:vAlign w:val="bottom"/>
          </w:tcPr>
          <w:p>
            <w:pPr>
              <w:spacing w:after="0"/>
              <w:rPr>
                <w:sz w:val="18"/>
                <w:szCs w:val="18"/>
                <w:color w:val="auto"/>
              </w:rPr>
            </w:pPr>
          </w:p>
        </w:tc>
        <w:tc>
          <w:tcPr>
            <w:tcW w:w="1400" w:type="dxa"/>
            <w:vAlign w:val="bottom"/>
          </w:tcPr>
          <w:p>
            <w:pPr>
              <w:jc w:val="center"/>
              <w:ind w:left="664"/>
              <w:spacing w:after="0"/>
              <w:rPr>
                <w:sz w:val="20"/>
                <w:szCs w:val="20"/>
                <w:color w:val="auto"/>
              </w:rPr>
            </w:pPr>
            <w:r>
              <w:rPr>
                <w:rFonts w:ascii="Arial" w:cs="Arial" w:eastAsia="Arial" w:hAnsi="Arial"/>
                <w:sz w:val="16"/>
                <w:szCs w:val="16"/>
                <w:color w:val="auto"/>
                <w:w w:val="93"/>
              </w:rPr>
              <w:t>441,476</w:t>
            </w:r>
          </w:p>
        </w:tc>
      </w:tr>
      <w:tr>
        <w:trPr>
          <w:trHeight w:val="236"/>
        </w:trPr>
        <w:tc>
          <w:tcPr>
            <w:tcW w:w="8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Direct Contracting revenue</w:t>
            </w:r>
          </w:p>
        </w:tc>
        <w:tc>
          <w:tcPr>
            <w:tcW w:w="140" w:type="dxa"/>
            <w:vAlign w:val="bottom"/>
          </w:tcPr>
          <w:p>
            <w:pPr>
              <w:spacing w:after="0"/>
              <w:rPr>
                <w:sz w:val="18"/>
                <w:szCs w:val="18"/>
                <w:color w:val="auto"/>
              </w:rPr>
            </w:pPr>
          </w:p>
        </w:tc>
        <w:tc>
          <w:tcPr>
            <w:tcW w:w="1460" w:type="dxa"/>
            <w:vAlign w:val="bottom"/>
          </w:tcPr>
          <w:p>
            <w:pPr>
              <w:jc w:val="center"/>
              <w:ind w:left="646"/>
              <w:spacing w:after="0"/>
              <w:rPr>
                <w:sz w:val="20"/>
                <w:szCs w:val="20"/>
                <w:color w:val="auto"/>
              </w:rPr>
            </w:pPr>
            <w:r>
              <w:rPr>
                <w:rFonts w:ascii="Arial" w:cs="Arial" w:eastAsia="Arial" w:hAnsi="Arial"/>
                <w:sz w:val="16"/>
                <w:szCs w:val="16"/>
                <w:color w:val="auto"/>
                <w:w w:val="93"/>
              </w:rPr>
              <w:t>222,647</w:t>
            </w:r>
          </w:p>
        </w:tc>
        <w:tc>
          <w:tcPr>
            <w:tcW w:w="220" w:type="dxa"/>
            <w:vAlign w:val="bottom"/>
          </w:tcPr>
          <w:p>
            <w:pPr>
              <w:spacing w:after="0"/>
              <w:rPr>
                <w:sz w:val="18"/>
                <w:szCs w:val="18"/>
                <w:color w:val="auto"/>
              </w:rPr>
            </w:pPr>
          </w:p>
        </w:tc>
        <w:tc>
          <w:tcPr>
            <w:tcW w:w="1400" w:type="dxa"/>
            <w:vAlign w:val="bottom"/>
          </w:tcPr>
          <w:p>
            <w:pPr>
              <w:jc w:val="center"/>
              <w:ind w:left="664"/>
              <w:spacing w:after="0"/>
              <w:rPr>
                <w:sz w:val="20"/>
                <w:szCs w:val="20"/>
                <w:color w:val="auto"/>
              </w:rPr>
            </w:pPr>
            <w:r>
              <w:rPr>
                <w:rFonts w:ascii="Arial" w:cs="Arial" w:eastAsia="Arial" w:hAnsi="Arial"/>
                <w:sz w:val="16"/>
                <w:szCs w:val="16"/>
                <w:color w:val="auto"/>
                <w:w w:val="93"/>
              </w:rPr>
              <w:t>439,020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Operating Segments</w:t>
      </w:r>
    </w:p>
    <w:p>
      <w:pPr>
        <w:spacing w:after="0" w:line="166" w:lineRule="exact"/>
        <w:rPr>
          <w:sz w:val="20"/>
          <w:szCs w:val="20"/>
          <w:color w:val="auto"/>
        </w:rPr>
      </w:pPr>
    </w:p>
    <w:p>
      <w:pPr>
        <w:ind w:right="60" w:firstLine="297"/>
        <w:spacing w:after="0" w:line="263" w:lineRule="auto"/>
        <w:rPr>
          <w:sz w:val="20"/>
          <w:szCs w:val="20"/>
          <w:color w:val="auto"/>
        </w:rPr>
      </w:pPr>
      <w:r>
        <w:rPr>
          <w:rFonts w:ascii="Arial" w:cs="Arial" w:eastAsia="Arial" w:hAnsi="Arial"/>
          <w:sz w:val="16"/>
          <w:szCs w:val="16"/>
          <w:color w:val="auto"/>
        </w:rPr>
        <w:t>The Corporation manages operations based on two reportable segments: Medicare Advantage and Direct Contracting. The reportable segments are distinguished based on the healthcare delivery business model. Its Medicare Advantage segment is an insurance business model that focuses on leveraging the Clover Assistant at the point of care. Its Direct Contracting segment is similar to a cost management and care coordination model accounted for as a performance guarantee, where Clover is responsible for coordinating care, managing costs, and providing support to providers and their DCE Beneficiaries through the use of Clover Assistant. These segment groupings are consistent with information used by the Chief Executive Officer, the Corporation’s chief operating decision maker, to assess performance and allocate resources. There are certain revenues and expenses that are attributable to clinical services and corporate overhead; these amounts are reported separately from reportable segments in the tables presenting segment results below.</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operations of the Corporation are organized into the following segments:</w:t>
      </w:r>
    </w:p>
    <w:p>
      <w:pPr>
        <w:spacing w:after="0" w:line="158" w:lineRule="exact"/>
        <w:rPr>
          <w:sz w:val="20"/>
          <w:szCs w:val="20"/>
          <w:color w:val="auto"/>
        </w:rPr>
      </w:pPr>
    </w:p>
    <w:p>
      <w:pPr>
        <w:ind w:left="600" w:right="480" w:hanging="304"/>
        <w:spacing w:after="0" w:line="295" w:lineRule="auto"/>
        <w:tabs>
          <w:tab w:leader="none" w:pos="596"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Medicare Advantage Segment </w:t>
      </w:r>
      <w:r>
        <w:rPr>
          <w:rFonts w:ascii="Arial" w:cs="Arial" w:eastAsia="Arial" w:hAnsi="Arial"/>
          <w:sz w:val="16"/>
          <w:szCs w:val="16"/>
          <w:color w:val="auto"/>
        </w:rPr>
        <w:t>includes operations related to our MA plans, which generally provide access to a wide network of primary care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specialists, and hospitals.</w:t>
      </w:r>
    </w:p>
    <w:p>
      <w:pPr>
        <w:spacing w:after="0" w:line="91" w:lineRule="exact"/>
        <w:rPr>
          <w:rFonts w:ascii="Arial" w:cs="Arial" w:eastAsia="Arial" w:hAnsi="Arial"/>
          <w:sz w:val="16"/>
          <w:szCs w:val="16"/>
          <w:color w:val="auto"/>
        </w:rPr>
      </w:pPr>
    </w:p>
    <w:p>
      <w:pPr>
        <w:ind w:left="600" w:right="220" w:hanging="304"/>
        <w:spacing w:after="0" w:line="295" w:lineRule="auto"/>
        <w:tabs>
          <w:tab w:leader="none" w:pos="596"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Direct Contracting Segment </w:t>
      </w:r>
      <w:r>
        <w:rPr>
          <w:rFonts w:ascii="Arial" w:cs="Arial" w:eastAsia="Arial" w:hAnsi="Arial"/>
          <w:sz w:val="16"/>
          <w:szCs w:val="16"/>
          <w:color w:val="auto"/>
        </w:rPr>
        <w:t>includes our operations relating to CMS’s DC Model, which provides options aimed at reducing expenditures and preserving or</w:t>
      </w:r>
      <w:r>
        <w:rPr>
          <w:rFonts w:ascii="Arial" w:cs="Arial" w:eastAsia="Arial" w:hAnsi="Arial"/>
          <w:sz w:val="16"/>
          <w:szCs w:val="16"/>
          <w:b w:val="1"/>
          <w:bCs w:val="1"/>
          <w:color w:val="auto"/>
        </w:rPr>
        <w:t xml:space="preserve"> </w:t>
      </w:r>
      <w:r>
        <w:rPr>
          <w:rFonts w:ascii="Arial" w:cs="Arial" w:eastAsia="Arial" w:hAnsi="Arial"/>
          <w:sz w:val="16"/>
          <w:szCs w:val="16"/>
          <w:color w:val="auto"/>
        </w:rPr>
        <w:t>enhancing quality of care for beneficiaries.</w:t>
      </w:r>
    </w:p>
    <w:p>
      <w:pPr>
        <w:spacing w:after="0" w:line="91" w:lineRule="exact"/>
        <w:rPr>
          <w:rFonts w:ascii="Arial" w:cs="Arial" w:eastAsia="Arial" w:hAnsi="Arial"/>
          <w:sz w:val="16"/>
          <w:szCs w:val="16"/>
          <w:color w:val="auto"/>
        </w:rPr>
      </w:pPr>
    </w:p>
    <w:p>
      <w:pPr>
        <w:ind w:left="600" w:right="40" w:hanging="304"/>
        <w:spacing w:after="0" w:line="295" w:lineRule="auto"/>
        <w:tabs>
          <w:tab w:leader="none" w:pos="596"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Corporate/Other </w:t>
      </w:r>
      <w:r>
        <w:rPr>
          <w:rFonts w:ascii="Arial" w:cs="Arial" w:eastAsia="Arial" w:hAnsi="Arial"/>
          <w:sz w:val="16"/>
          <w:szCs w:val="16"/>
          <w:color w:val="auto"/>
        </w:rPr>
        <w:t>includes other clinical services not included in Medicare Advantage and Direct Contracting and all other corporate overhead. Clinical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is comprised of Clover Home Care and other clinical services that are offered to eligible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table below summarizes the Corporation’s results by operating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Medicare</w:t>
            </w:r>
          </w:p>
        </w:tc>
        <w:tc>
          <w:tcPr>
            <w:tcW w:w="180" w:type="dxa"/>
            <w:vAlign w:val="bottom"/>
          </w:tcPr>
          <w:p>
            <w:pPr>
              <w:spacing w:after="0"/>
              <w:rPr>
                <w:sz w:val="13"/>
                <w:szCs w:val="13"/>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Direct Contracting</w:t>
            </w:r>
          </w:p>
        </w:tc>
        <w:tc>
          <w:tcPr>
            <w:tcW w:w="200" w:type="dxa"/>
            <w:vAlign w:val="bottom"/>
          </w:tcPr>
          <w:p>
            <w:pPr>
              <w:spacing w:after="0"/>
              <w:rPr>
                <w:sz w:val="13"/>
                <w:szCs w:val="13"/>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Corporate/Other</w:t>
            </w:r>
          </w:p>
        </w:tc>
        <w:tc>
          <w:tcPr>
            <w:tcW w:w="26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3"/>
                <w:szCs w:val="13"/>
                <w:color w:val="auto"/>
              </w:rPr>
            </w:pPr>
          </w:p>
        </w:tc>
        <w:tc>
          <w:tcPr>
            <w:tcW w:w="138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w w:val="95"/>
              </w:rPr>
              <w:t>Consolidated Total</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0"/>
              </w:rPr>
              <w:t>Advantage</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 2021</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3"/>
                <w:szCs w:val="13"/>
                <w:i w:val="1"/>
                <w:iCs w:val="1"/>
                <w:color w:val="auto"/>
                <w:w w:val="92"/>
              </w:rPr>
              <w:t>(in thousands)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Premiums earned, net (Net of ceded</w:t>
            </w:r>
          </w:p>
        </w:tc>
        <w:tc>
          <w:tcPr>
            <w:tcW w:w="28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203,657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203,657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premiums of $120)</w:t>
            </w:r>
          </w:p>
        </w:tc>
        <w:tc>
          <w:tcPr>
            <w:tcW w:w="2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Direct Contracting revenue</w:t>
            </w: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222,647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222,647</w:t>
            </w: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medical claims incurred</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208,661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436,422</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Arial" w:cs="Arial" w:eastAsia="Arial" w:hAnsi="Arial"/>
                <w:sz w:val="16"/>
                <w:szCs w:val="16"/>
                <w:color w:val="auto"/>
              </w:rPr>
              <w:t>Gross (loss) profit</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347,535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887,089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(542,288)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952,478</w:t>
            </w:r>
          </w:p>
        </w:tc>
        <w:tc>
          <w:tcPr>
            <w:tcW w:w="0" w:type="dxa"/>
            <w:vAlign w:val="bottom"/>
          </w:tcPr>
          <w:p>
            <w:pPr>
              <w:spacing w:after="0"/>
              <w:rPr>
                <w:sz w:val="1"/>
                <w:szCs w:val="1"/>
                <w:color w:val="auto"/>
              </w:rPr>
            </w:pPr>
          </w:p>
        </w:tc>
      </w:tr>
      <w:tr>
        <w:trPr>
          <w:trHeight w:val="290"/>
        </w:trPr>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Medicare</w:t>
            </w:r>
          </w:p>
        </w:tc>
        <w:tc>
          <w:tcPr>
            <w:tcW w:w="180" w:type="dxa"/>
            <w:vAlign w:val="bottom"/>
          </w:tcPr>
          <w:p>
            <w:pPr>
              <w:spacing w:after="0"/>
              <w:rPr>
                <w:sz w:val="24"/>
                <w:szCs w:val="24"/>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Direct Contracting</w:t>
            </w:r>
          </w:p>
        </w:tc>
        <w:tc>
          <w:tcPr>
            <w:tcW w:w="20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Corporate/Other</w:t>
            </w:r>
          </w:p>
        </w:tc>
        <w:tc>
          <w:tcPr>
            <w:tcW w:w="260" w:type="dxa"/>
            <w:vAlign w:val="bottom"/>
          </w:tcPr>
          <w:p>
            <w:pPr>
              <w:spacing w:after="0"/>
              <w:rPr>
                <w:sz w:val="24"/>
                <w:szCs w:val="2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24"/>
                <w:szCs w:val="24"/>
                <w:color w:val="auto"/>
              </w:rPr>
            </w:pPr>
          </w:p>
        </w:tc>
        <w:tc>
          <w:tcPr>
            <w:tcW w:w="138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w w:val="95"/>
              </w:rPr>
              <w:t>Consolidated Total</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0"/>
              </w:rPr>
              <w:t>Advantage</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Nine Months Ended September 30, 2021</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3"/>
                <w:szCs w:val="13"/>
                <w:i w:val="1"/>
                <w:iCs w:val="1"/>
                <w:color w:val="auto"/>
                <w:w w:val="92"/>
              </w:rPr>
              <w:t>(in thousands)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Premiums earned, net (Net of ceded</w:t>
            </w:r>
          </w:p>
        </w:tc>
        <w:tc>
          <w:tcPr>
            <w:tcW w:w="28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598,390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40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598,390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premiums of $370)</w:t>
            </w:r>
          </w:p>
        </w:tc>
        <w:tc>
          <w:tcPr>
            <w:tcW w:w="2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Direct Contracting revenue</w:t>
            </w: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439,020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439,020</w:t>
            </w: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medical claims incurred</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640,624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1,109,375</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Arial" w:cs="Arial" w:eastAsia="Arial" w:hAnsi="Arial"/>
                <w:sz w:val="16"/>
                <w:szCs w:val="16"/>
                <w:color w:val="auto"/>
              </w:rPr>
              <w:t>Gross (loss) profit</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(42,126)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(30,952)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(69,415)</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347,535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887,089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(542,288)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952,478</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firstLine="297"/>
        <w:spacing w:after="0" w:line="290" w:lineRule="auto"/>
        <w:rPr>
          <w:sz w:val="20"/>
          <w:szCs w:val="20"/>
          <w:color w:val="auto"/>
        </w:rPr>
      </w:pPr>
      <w:r>
        <w:rPr>
          <w:rFonts w:ascii="Arial" w:cs="Arial" w:eastAsia="Arial" w:hAnsi="Arial"/>
          <w:sz w:val="16"/>
          <w:szCs w:val="16"/>
          <w:color w:val="auto"/>
        </w:rPr>
        <w:t>A reconciliation of the reportable segments’ gross loss to the net loss included in the Condensed Consolidated Statements of Operations and Comprehensive Loss for the three and nine months ended September 30, 2021,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Three Months Ended</w:t>
            </w:r>
          </w:p>
        </w:tc>
        <w:tc>
          <w:tcPr>
            <w:tcW w:w="160" w:type="dxa"/>
            <w:vAlign w:val="bottom"/>
          </w:tcPr>
          <w:p>
            <w:pPr>
              <w:spacing w:after="0"/>
              <w:rPr>
                <w:sz w:val="12"/>
                <w:szCs w:val="12"/>
                <w:color w:val="auto"/>
              </w:rPr>
            </w:pPr>
          </w:p>
        </w:tc>
        <w:tc>
          <w:tcPr>
            <w:tcW w:w="1400" w:type="dxa"/>
            <w:vAlign w:val="bottom"/>
          </w:tcPr>
          <w:p>
            <w:pPr>
              <w:jc w:val="right"/>
              <w:ind w:right="140"/>
              <w:spacing w:after="0"/>
              <w:rPr>
                <w:sz w:val="20"/>
                <w:szCs w:val="20"/>
                <w:color w:val="auto"/>
              </w:rPr>
            </w:pPr>
            <w:r>
              <w:rPr>
                <w:rFonts w:ascii="Arial" w:cs="Arial" w:eastAsia="Arial" w:hAnsi="Arial"/>
                <w:sz w:val="13"/>
                <w:szCs w:val="13"/>
                <w:b w:val="1"/>
                <w:bCs w:val="1"/>
                <w:color w:val="auto"/>
                <w:w w:val="95"/>
              </w:rPr>
              <w:t>Nine Months Ended</w:t>
            </w:r>
          </w:p>
        </w:tc>
      </w:tr>
      <w:tr>
        <w:trPr>
          <w:trHeight w:val="171"/>
        </w:trPr>
        <w:tc>
          <w:tcPr>
            <w:tcW w:w="8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September 30, 2021</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September 30, 2021</w:t>
            </w:r>
          </w:p>
        </w:tc>
      </w:tr>
      <w:tr>
        <w:trPr>
          <w:trHeight w:val="163"/>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jc w:val="right"/>
              <w:ind w:right="1160"/>
              <w:spacing w:after="0"/>
              <w:rPr>
                <w:sz w:val="20"/>
                <w:szCs w:val="20"/>
                <w:color w:val="auto"/>
              </w:rPr>
            </w:pPr>
            <w:r>
              <w:rPr>
                <w:rFonts w:ascii="Arial" w:cs="Arial" w:eastAsia="Arial" w:hAnsi="Arial"/>
                <w:sz w:val="13"/>
                <w:szCs w:val="13"/>
                <w:i w:val="1"/>
                <w:iCs w:val="1"/>
                <w:color w:val="auto"/>
              </w:rPr>
              <w:t>(in thousands)</w:t>
            </w: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(69,415)</w:t>
            </w:r>
          </w:p>
        </w:tc>
      </w:tr>
      <w:tr>
        <w:trPr>
          <w:trHeight w:val="235"/>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benefits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201,555</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129,983</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deficiency reserve (benefit)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48,661</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Change in fair value of warrants payable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(66,146)</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notes and securities discounts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13,681</w:t>
            </w:r>
          </w:p>
        </w:tc>
      </w:tr>
      <w:tr>
        <w:trPr>
          <w:trHeight w:val="22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7" w:name="page268"/>
    <w:bookmarkEnd w:id="267"/>
    <w:p>
      <w:pPr>
        <w:jc w:val="center"/>
        <w:ind w:right="-259"/>
        <w:spacing w:after="0"/>
        <w:rPr>
          <w:sz w:val="20"/>
          <w:szCs w:val="20"/>
          <w:color w:val="auto"/>
        </w:rPr>
      </w:pPr>
      <w:r>
        <w:rPr>
          <w:rFonts w:ascii="Arial" w:cs="Arial" w:eastAsia="Arial" w:hAnsi="Arial"/>
          <w:sz w:val="16"/>
          <w:szCs w:val="16"/>
          <w:color w:val="auto"/>
        </w:rPr>
        <w:t>CLOVER HEALTH INVESTMENTS, CORP. AND SUBSIDIARIES</w:t>
      </w:r>
    </w:p>
    <w:p>
      <w:pPr>
        <w:spacing w:after="0" w:line="2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Dividend Restrictions</w:t>
      </w:r>
    </w:p>
    <w:p>
      <w:pPr>
        <w:spacing w:after="0" w:line="166"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As of September 30, 2021, and December 31, 2020, neither of the regulated insurance subsidiaries had paid any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0980"/>
          </w:cols>
          <w:pgMar w:left="320" w:top="127" w:right="599" w:bottom="1440" w:gutter="0" w:footer="0" w:header="0"/>
        </w:sectPr>
      </w:pPr>
    </w:p>
    <w:bookmarkStart w:id="268" w:name="page269"/>
    <w:bookmarkEnd w:id="2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952500</wp:posOffset>
            </wp:positionV>
            <wp:extent cx="714375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975995</wp:posOffset>
            </wp:positionV>
            <wp:extent cx="714375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40"/>
        <w:spacing w:after="0"/>
        <w:rPr>
          <w:sz w:val="20"/>
          <w:szCs w:val="20"/>
          <w:color w:val="auto"/>
        </w:rPr>
      </w:pPr>
      <w:r>
        <w:rPr>
          <w:rFonts w:ascii="Arial" w:cs="Arial" w:eastAsia="Arial" w:hAnsi="Arial"/>
          <w:sz w:val="26"/>
          <w:szCs w:val="26"/>
          <w:b w:val="1"/>
          <w:bCs w:val="1"/>
          <w:color w:val="auto"/>
        </w:rPr>
        <w:t>35,000,000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675005</wp:posOffset>
            </wp:positionV>
            <wp:extent cx="1624965" cy="8401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2496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Prospectus</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Deutsche Bank Securities</w:t>
      </w:r>
    </w:p>
    <w:p>
      <w:pPr>
        <w:spacing w:after="0" w:line="211" w:lineRule="exact"/>
        <w:rPr>
          <w:sz w:val="20"/>
          <w:szCs w:val="20"/>
          <w:color w:val="auto"/>
        </w:rPr>
      </w:pPr>
    </w:p>
    <w:p>
      <w:pPr>
        <w:sectPr>
          <w:pgSz w:w="11900" w:h="16838" w:orient="portrait"/>
          <w:cols w:equalWidth="0" w:num="2">
            <w:col w:w="8000" w:space="720"/>
            <w:col w:w="2500"/>
          </w:cols>
          <w:pgMar w:left="340" w:top="1440"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SVB Leerink</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Canaccord Genuity</w:t>
      </w:r>
    </w:p>
    <w:p>
      <w:pPr>
        <w:spacing w:after="0" w:line="200" w:lineRule="exact"/>
        <w:rPr>
          <w:sz w:val="20"/>
          <w:szCs w:val="20"/>
          <w:color w:val="auto"/>
        </w:rPr>
      </w:pPr>
    </w:p>
    <w:p>
      <w:pPr>
        <w:sectPr>
          <w:pgSz w:w="11900" w:h="16838" w:orient="portrait"/>
          <w:cols w:equalWidth="0" w:num="2">
            <w:col w:w="8560" w:space="720"/>
            <w:col w:w="19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1132840</wp:posOffset>
            </wp:positionV>
            <wp:extent cx="7169150"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6915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148590</wp:posOffset>
            </wp:positionV>
            <wp:extent cx="714375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172085</wp:posOffset>
            </wp:positionV>
            <wp:extent cx="714375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269" w:name="page270"/>
    <w:bookmarkEnd w:id="269"/>
    <w:p>
      <w:pPr>
        <w:spacing w:after="0" w:line="1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II</w:t>
      </w:r>
    </w:p>
    <w:p>
      <w:pPr>
        <w:spacing w:after="0" w:line="162"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66" w:lineRule="exact"/>
        <w:rPr>
          <w:sz w:val="20"/>
          <w:szCs w:val="20"/>
          <w:color w:val="auto"/>
        </w:rPr>
      </w:pPr>
    </w:p>
    <w:p>
      <w:pPr>
        <w:jc w:val="both"/>
        <w:ind w:right="140" w:firstLine="297"/>
        <w:spacing w:after="0" w:line="274" w:lineRule="auto"/>
        <w:rPr>
          <w:sz w:val="20"/>
          <w:szCs w:val="20"/>
          <w:color w:val="auto"/>
        </w:rPr>
      </w:pPr>
      <w:r>
        <w:rPr>
          <w:rFonts w:ascii="Arial" w:cs="Arial" w:eastAsia="Arial" w:hAnsi="Arial"/>
          <w:sz w:val="16"/>
          <w:szCs w:val="16"/>
          <w:color w:val="auto"/>
        </w:rPr>
        <w:t>The following table sets forth the estimated expenses to be borne by the registrant in connection with the issuance and distribution of the shares of Class A common stock being registered hereby. All amounts are estimates except the SEC registration fee, the Nasdaq listing fee and the FINRA filing fee. Except as otherwise noted, all the expenses below will be paid by 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right"/>
              <w:ind w:right="443"/>
              <w:spacing w:after="0"/>
              <w:rPr>
                <w:sz w:val="20"/>
                <w:szCs w:val="20"/>
                <w:color w:val="auto"/>
              </w:rPr>
            </w:pPr>
            <w:r>
              <w:rPr>
                <w:rFonts w:ascii="Arial" w:cs="Arial" w:eastAsia="Arial" w:hAnsi="Arial"/>
                <w:sz w:val="12"/>
                <w:szCs w:val="12"/>
                <w:b w:val="1"/>
                <w:bCs w:val="1"/>
                <w:color w:val="auto"/>
              </w:rPr>
              <w:t>Amount to</w:t>
            </w:r>
          </w:p>
        </w:tc>
      </w:tr>
      <w:tr>
        <w:trPr>
          <w:trHeight w:val="155"/>
        </w:trPr>
        <w:tc>
          <w:tcPr>
            <w:tcW w:w="94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Be Paid</w:t>
            </w:r>
          </w:p>
        </w:tc>
      </w:tr>
      <w:tr>
        <w:trPr>
          <w:trHeight w:val="209"/>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 registration fee</w:t>
            </w:r>
          </w:p>
        </w:tc>
        <w:tc>
          <w:tcPr>
            <w:tcW w:w="4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26,716</w:t>
            </w:r>
          </w:p>
        </w:tc>
      </w:tr>
      <w:tr>
        <w:trPr>
          <w:trHeight w:val="210"/>
        </w:trPr>
        <w:tc>
          <w:tcPr>
            <w:tcW w:w="9460" w:type="dxa"/>
            <w:vAlign w:val="bottom"/>
          </w:tcPr>
          <w:p>
            <w:pPr>
              <w:ind w:left="20"/>
              <w:spacing w:after="0"/>
              <w:rPr>
                <w:sz w:val="20"/>
                <w:szCs w:val="20"/>
                <w:color w:val="auto"/>
              </w:rPr>
            </w:pPr>
            <w:r>
              <w:rPr>
                <w:rFonts w:ascii="Arial" w:cs="Arial" w:eastAsia="Arial" w:hAnsi="Arial"/>
                <w:sz w:val="16"/>
                <w:szCs w:val="16"/>
                <w:color w:val="auto"/>
              </w:rPr>
              <w:t>FINRA filing fee</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43,729</w:t>
            </w:r>
          </w:p>
        </w:tc>
      </w:tr>
      <w:tr>
        <w:trPr>
          <w:trHeight w:val="211"/>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listing fee</w:t>
            </w: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10"/>
        </w:trPr>
        <w:tc>
          <w:tcPr>
            <w:tcW w:w="9460" w:type="dxa"/>
            <w:vAlign w:val="bottom"/>
          </w:tcPr>
          <w:p>
            <w:pPr>
              <w:ind w:left="20"/>
              <w:spacing w:after="0"/>
              <w:rPr>
                <w:sz w:val="20"/>
                <w:szCs w:val="20"/>
                <w:color w:val="auto"/>
              </w:rPr>
            </w:pPr>
            <w:r>
              <w:rPr>
                <w:rFonts w:ascii="Arial" w:cs="Arial" w:eastAsia="Arial" w:hAnsi="Arial"/>
                <w:sz w:val="16"/>
                <w:szCs w:val="16"/>
                <w:color w:val="auto"/>
              </w:rPr>
              <w:t>Financial printing</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221,825</w:t>
            </w:r>
          </w:p>
        </w:tc>
      </w:tr>
      <w:tr>
        <w:trPr>
          <w:trHeight w:val="211"/>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 and expenses</w:t>
            </w: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480,000</w:t>
            </w:r>
          </w:p>
        </w:tc>
      </w:tr>
      <w:tr>
        <w:trPr>
          <w:trHeight w:val="210"/>
        </w:trPr>
        <w:tc>
          <w:tcPr>
            <w:tcW w:w="946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10"/>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expenses</w:t>
            </w: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482,730</w:t>
            </w:r>
          </w:p>
        </w:tc>
      </w:tr>
      <w:tr>
        <w:trPr>
          <w:trHeight w:val="203"/>
        </w:trPr>
        <w:tc>
          <w:tcPr>
            <w:tcW w:w="946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1,400,000</w:t>
            </w:r>
          </w:p>
        </w:tc>
      </w:tr>
      <w:tr>
        <w:trPr>
          <w:trHeight w:val="20"/>
        </w:trPr>
        <w:tc>
          <w:tcPr>
            <w:tcW w:w="9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66" w:lineRule="exact"/>
        <w:rPr>
          <w:sz w:val="20"/>
          <w:szCs w:val="20"/>
          <w:color w:val="auto"/>
        </w:rPr>
      </w:pPr>
    </w:p>
    <w:p>
      <w:pPr>
        <w:ind w:right="140" w:firstLine="297"/>
        <w:spacing w:after="0" w:line="268"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Securities Act.</w:t>
      </w:r>
    </w:p>
    <w:p>
      <w:pPr>
        <w:spacing w:after="0" w:line="118" w:lineRule="exact"/>
        <w:rPr>
          <w:sz w:val="20"/>
          <w:szCs w:val="20"/>
          <w:color w:val="auto"/>
        </w:rPr>
      </w:pPr>
    </w:p>
    <w:p>
      <w:pPr>
        <w:ind w:right="220" w:firstLine="297"/>
        <w:spacing w:after="0" w:line="274" w:lineRule="auto"/>
        <w:rPr>
          <w:sz w:val="20"/>
          <w:szCs w:val="20"/>
          <w:color w:val="auto"/>
        </w:rPr>
      </w:pPr>
      <w:r>
        <w:rPr>
          <w:rFonts w:ascii="Arial" w:cs="Arial" w:eastAsia="Arial" w:hAnsi="Arial"/>
          <w:sz w:val="16"/>
          <w:szCs w:val="16"/>
          <w:color w:val="auto"/>
        </w:rPr>
        <w:t>As permitted by the Delaware General Corporation Law, the Registrant’s amended and restated certificate of incorporation that will be in effect upon the completion of the offering contains provisions that eliminate the personal liability of its directors for monetary damages for any breach of fiduciary duties as a director, except liability for the following:</w:t>
      </w:r>
    </w:p>
    <w:p>
      <w:pPr>
        <w:spacing w:after="0" w:line="112" w:lineRule="exact"/>
        <w:rPr>
          <w:sz w:val="20"/>
          <w:szCs w:val="20"/>
          <w:color w:val="auto"/>
        </w:rPr>
      </w:pPr>
    </w:p>
    <w:p>
      <w:pPr>
        <w:ind w:left="580" w:hanging="284"/>
        <w:spacing w:after="0"/>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Registrant or its stockholders;</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under Section 174 of the Delaware General Corporation Law (regarding unlawful dividends and stock purchases); or</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62" w:lineRule="exact"/>
        <w:rPr>
          <w:sz w:val="20"/>
          <w:szCs w:val="20"/>
          <w:color w:val="auto"/>
        </w:rPr>
      </w:pPr>
    </w:p>
    <w:p>
      <w:pPr>
        <w:ind w:right="400" w:firstLine="297"/>
        <w:spacing w:after="0" w:line="290" w:lineRule="auto"/>
        <w:rPr>
          <w:sz w:val="20"/>
          <w:szCs w:val="20"/>
          <w:color w:val="auto"/>
        </w:rPr>
      </w:pPr>
      <w:r>
        <w:rPr>
          <w:rFonts w:ascii="Arial" w:cs="Arial" w:eastAsia="Arial" w:hAnsi="Arial"/>
          <w:sz w:val="16"/>
          <w:szCs w:val="16"/>
          <w:color w:val="auto"/>
        </w:rPr>
        <w:t>As permitted by the Delaware General Corporation Law, the Registrant’s amended and restated bylaws that will be in effect upon the completion of the offering provide that:</w:t>
      </w:r>
    </w:p>
    <w:p>
      <w:pPr>
        <w:spacing w:after="0" w:line="99" w:lineRule="exact"/>
        <w:rPr>
          <w:sz w:val="20"/>
          <w:szCs w:val="20"/>
          <w:color w:val="auto"/>
        </w:rPr>
      </w:pPr>
    </w:p>
    <w:p>
      <w:pPr>
        <w:ind w:left="600" w:right="80" w:hanging="304"/>
        <w:spacing w:after="0" w:line="290" w:lineRule="auto"/>
        <w:tabs>
          <w:tab w:leader="none" w:pos="59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 is required to indemnify its directors and officers to the fullest extent permitted by the Delaware General Corporation Law, subject to very limited exceptions;</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 may indemnify its other employees and agents as set forth in the Delaware General Corporation Law;</w:t>
      </w:r>
    </w:p>
    <w:p>
      <w:pPr>
        <w:spacing w:after="0" w:line="162" w:lineRule="exact"/>
        <w:rPr>
          <w:rFonts w:ascii="Arial" w:cs="Arial" w:eastAsia="Arial" w:hAnsi="Arial"/>
          <w:sz w:val="16"/>
          <w:szCs w:val="16"/>
          <w:color w:val="auto"/>
        </w:rPr>
      </w:pPr>
    </w:p>
    <w:p>
      <w:pPr>
        <w:ind w:left="600" w:hanging="304"/>
        <w:spacing w:after="0" w:line="290" w:lineRule="auto"/>
        <w:tabs>
          <w:tab w:leader="none" w:pos="59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3" w:lineRule="exact"/>
        <w:rPr>
          <w:sz w:val="20"/>
          <w:szCs w:val="20"/>
          <w:color w:val="auto"/>
        </w:rPr>
      </w:pPr>
    </w:p>
    <w:p>
      <w:pPr>
        <w:ind w:left="580" w:hanging="284"/>
        <w:spacing w:after="0"/>
        <w:tabs>
          <w:tab w:leader="none" w:pos="5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rights conferred in the bylaws are not exclusive.</w:t>
      </w:r>
    </w:p>
    <w:p>
      <w:pPr>
        <w:spacing w:after="0" w:line="162" w:lineRule="exact"/>
        <w:rPr>
          <w:sz w:val="20"/>
          <w:szCs w:val="20"/>
          <w:color w:val="auto"/>
        </w:rPr>
      </w:pPr>
    </w:p>
    <w:p>
      <w:pPr>
        <w:ind w:right="140" w:firstLine="297"/>
        <w:spacing w:after="0" w:line="263" w:lineRule="auto"/>
        <w:rPr>
          <w:sz w:val="20"/>
          <w:szCs w:val="20"/>
          <w:color w:val="auto"/>
        </w:rPr>
      </w:pPr>
      <w:r>
        <w:rPr>
          <w:rFonts w:ascii="Arial" w:cs="Arial" w:eastAsia="Arial" w:hAnsi="Arial"/>
          <w:sz w:val="16"/>
          <w:szCs w:val="16"/>
          <w:color w:val="auto"/>
        </w:rPr>
        <w:t>The Registrant has entered, and intends to continue to enter into separate indemnification agreements with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At present, there is no pending litigation or proceeding involving a director, executive officer or employee of the Registrant for which indemnification is sought. The indemnification provisions in the Registrant’s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Registrant has directors’ and officers’ liability insurance for securities matters.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Since January 1, 2018, the Registrant has issued and sold the following unregistered securities:</w:t>
      </w:r>
    </w:p>
    <w:p>
      <w:pPr>
        <w:spacing w:after="0" w:line="162" w:lineRule="exact"/>
        <w:rPr>
          <w:sz w:val="20"/>
          <w:szCs w:val="20"/>
          <w:color w:val="auto"/>
        </w:rPr>
      </w:pPr>
    </w:p>
    <w:p>
      <w:pPr>
        <w:ind w:left="600" w:right="80" w:hanging="304"/>
        <w:spacing w:after="0" w:line="290" w:lineRule="auto"/>
        <w:tabs>
          <w:tab w:leader="none" w:pos="59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January 21, 2020, an aggregate of 17,250,000 founder shares to SCH Sponsor III LLC, the Sponsor for an aggregate offering price of $25,000 at an average purchase price of approximately $0.001 per share;</w:t>
      </w:r>
    </w:p>
    <w:p>
      <w:pPr>
        <w:spacing w:after="0" w:line="99" w:lineRule="exact"/>
        <w:rPr>
          <w:rFonts w:ascii="Arial" w:cs="Arial" w:eastAsia="Arial" w:hAnsi="Arial"/>
          <w:sz w:val="16"/>
          <w:szCs w:val="16"/>
          <w:color w:val="auto"/>
        </w:rPr>
      </w:pPr>
    </w:p>
    <w:p>
      <w:pPr>
        <w:ind w:left="600" w:hanging="304"/>
        <w:spacing w:after="0" w:line="290" w:lineRule="auto"/>
        <w:tabs>
          <w:tab w:leader="none" w:pos="59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April 24, 2020, 10,933,333 private placement warrants at an exercise price of $11.50 to the Sponsor at a price of $1.50 per warrant for an aggregate purchase price of $16,400,000;</w:t>
      </w:r>
    </w:p>
    <w:p>
      <w:pPr>
        <w:spacing w:after="0" w:line="99" w:lineRule="exact"/>
        <w:rPr>
          <w:rFonts w:ascii="Arial" w:cs="Arial" w:eastAsia="Arial" w:hAnsi="Arial"/>
          <w:sz w:val="16"/>
          <w:szCs w:val="16"/>
          <w:color w:val="auto"/>
        </w:rPr>
      </w:pPr>
    </w:p>
    <w:p>
      <w:pPr>
        <w:ind w:left="600" w:right="140" w:hanging="304"/>
        <w:spacing w:after="0" w:line="290" w:lineRule="auto"/>
        <w:tabs>
          <w:tab w:leader="none" w:pos="59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January 7, 2021, 40,000,000 shares of Class A common stock to certain qualified institutional buyers and accredited investors that agreed to purchase such shares in connection with the Business Combination at a price of $10.00 per share for aggregate consideration of $400,000,000.</w:t>
      </w:r>
    </w:p>
    <w:p>
      <w:pPr>
        <w:spacing w:after="0" w:line="99" w:lineRule="exact"/>
        <w:rPr>
          <w:sz w:val="20"/>
          <w:szCs w:val="20"/>
          <w:color w:val="auto"/>
        </w:rPr>
      </w:pPr>
    </w:p>
    <w:p>
      <w:pPr>
        <w:ind w:right="500" w:firstLine="297"/>
        <w:spacing w:after="0" w:line="290" w:lineRule="auto"/>
        <w:rPr>
          <w:sz w:val="20"/>
          <w:szCs w:val="20"/>
          <w:color w:val="auto"/>
        </w:rPr>
      </w:pPr>
      <w:r>
        <w:rPr>
          <w:rFonts w:ascii="Arial" w:cs="Arial" w:eastAsia="Arial" w:hAnsi="Arial"/>
          <w:sz w:val="16"/>
          <w:szCs w:val="16"/>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1" w:name="page272"/>
    <w:bookmarkEnd w:id="271"/>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rPr>
              <w:t>Incorporated by reference</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Exhibit No.</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24"/>
            <w:vMerge w:val="restart"/>
          </w:tcPr>
          <w:p>
            <w:pPr>
              <w:ind w:left="200"/>
              <w:spacing w:after="0"/>
              <w:rPr>
                <w:sz w:val="20"/>
                <w:szCs w:val="20"/>
                <w:color w:val="auto"/>
              </w:rPr>
            </w:pPr>
            <w:r>
              <w:rPr>
                <w:rFonts w:ascii="Arial" w:cs="Arial" w:eastAsia="Arial" w:hAnsi="Arial"/>
                <w:sz w:val="12"/>
                <w:szCs w:val="12"/>
                <w:b w:val="1"/>
                <w:bCs w:val="1"/>
                <w:color w:val="auto"/>
              </w:rPr>
              <w:t>Exhibit title</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3"/>
              </w:rPr>
              <w:t>Form</w:t>
            </w:r>
          </w:p>
        </w:tc>
        <w:tc>
          <w:tcPr>
            <w:tcW w:w="130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File No.</w:t>
            </w:r>
          </w:p>
        </w:tc>
        <w:tc>
          <w:tcPr>
            <w:tcW w:w="12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Exhibit No.</w:t>
            </w:r>
          </w:p>
        </w:tc>
        <w:tc>
          <w:tcPr>
            <w:tcW w:w="12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Filing date</w:t>
            </w:r>
          </w:p>
        </w:tc>
        <w:tc>
          <w:tcPr>
            <w:tcW w:w="11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rPr>
              <w:t>Filed or furnished</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24"/>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89"/>
              </w:rPr>
              <w:t>herewith</w:t>
            </w:r>
          </w:p>
        </w:tc>
        <w:tc>
          <w:tcPr>
            <w:tcW w:w="0" w:type="dxa"/>
            <w:vAlign w:val="bottom"/>
          </w:tcPr>
          <w:p>
            <w:pPr>
              <w:spacing w:after="0"/>
              <w:rPr>
                <w:sz w:val="1"/>
                <w:szCs w:val="1"/>
                <w:color w:val="auto"/>
              </w:rPr>
            </w:pPr>
          </w:p>
        </w:tc>
      </w:tr>
      <w:tr>
        <w:trPr>
          <w:trHeight w:val="161"/>
        </w:trPr>
        <w:tc>
          <w:tcPr>
            <w:tcW w:w="1040" w:type="dxa"/>
            <w:vAlign w:val="bottom"/>
            <w:tcBorders>
              <w:top w:val="single" w:sz="8" w:color="auto"/>
            </w:tcBorders>
          </w:tcPr>
          <w:p>
            <w:pPr>
              <w:ind w:left="20"/>
              <w:spacing w:after="0" w:line="161" w:lineRule="exact"/>
              <w:rPr>
                <w:sz w:val="20"/>
                <w:szCs w:val="20"/>
                <w:color w:val="auto"/>
              </w:rPr>
            </w:pPr>
            <w:r>
              <w:rPr>
                <w:rFonts w:ascii="Arial" w:cs="Arial" w:eastAsia="Arial" w:hAnsi="Arial"/>
                <w:sz w:val="15"/>
                <w:szCs w:val="15"/>
                <w:color w:val="auto"/>
              </w:rPr>
              <w:t>1.1</w:t>
            </w:r>
          </w:p>
        </w:tc>
        <w:tc>
          <w:tcPr>
            <w:tcW w:w="120" w:type="dxa"/>
            <w:vAlign w:val="bottom"/>
          </w:tcPr>
          <w:p>
            <w:pPr>
              <w:spacing w:after="0"/>
              <w:rPr>
                <w:sz w:val="13"/>
                <w:szCs w:val="13"/>
                <w:color w:val="auto"/>
              </w:rPr>
            </w:pPr>
          </w:p>
        </w:tc>
        <w:tc>
          <w:tcPr>
            <w:tcW w:w="2060" w:type="dxa"/>
            <w:vAlign w:val="bottom"/>
            <w:tcBorders>
              <w:bottom w:val="single" w:sz="8" w:color="0000FF"/>
            </w:tcBorders>
            <w:gridSpan w:val="10"/>
          </w:tcPr>
          <w:p>
            <w:pPr>
              <w:spacing w:after="0" w:line="161" w:lineRule="exact"/>
              <w:rPr>
                <w:rFonts w:ascii="Arial" w:cs="Arial" w:eastAsia="Arial" w:hAnsi="Arial"/>
                <w:sz w:val="15"/>
                <w:szCs w:val="15"/>
                <w:color w:val="0000FF"/>
                <w:w w:val="91"/>
              </w:rPr>
            </w:pPr>
            <w:hyperlink w:anchor="page277">
              <w:r>
                <w:rPr>
                  <w:rFonts w:ascii="Arial" w:cs="Arial" w:eastAsia="Arial" w:hAnsi="Arial"/>
                  <w:sz w:val="15"/>
                  <w:szCs w:val="15"/>
                  <w:color w:val="0000FF"/>
                  <w:w w:val="91"/>
                </w:rPr>
                <w:t>Form of Underwriting Agreement.</w:t>
              </w:r>
            </w:hyperlink>
          </w:p>
        </w:tc>
        <w:tc>
          <w:tcPr>
            <w:tcW w:w="1720" w:type="dxa"/>
            <w:vAlign w:val="bottom"/>
            <w:gridSpan w:val="19"/>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w w:val="93"/>
              </w:rPr>
            </w:pPr>
            <w:hyperlink r:id="rId376">
              <w:r>
                <w:rPr>
                  <w:rFonts w:ascii="Arial" w:cs="Arial" w:eastAsia="Arial" w:hAnsi="Arial"/>
                  <w:sz w:val="15"/>
                  <w:szCs w:val="15"/>
                  <w:color w:val="0000FF"/>
                  <w:w w:val="93"/>
                </w:rPr>
                <w:t>Agreement and Plan of Merger, dated as of October 5, 2020,</w:t>
              </w:r>
            </w:hyperlink>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tcBorders>
              <w:top w:val="single" w:sz="8" w:color="0000FF"/>
              <w:bottom w:val="single" w:sz="8" w:color="0000FF"/>
            </w:tcBorders>
            <w:gridSpan w:val="25"/>
          </w:tcPr>
          <w:p>
            <w:pPr>
              <w:spacing w:after="0" w:line="129" w:lineRule="exact"/>
              <w:rPr>
                <w:rFonts w:ascii="Arial" w:cs="Arial" w:eastAsia="Arial" w:hAnsi="Arial"/>
                <w:sz w:val="14"/>
                <w:szCs w:val="14"/>
                <w:color w:val="0000FF"/>
                <w:w w:val="94"/>
              </w:rPr>
            </w:pPr>
            <w:hyperlink r:id="rId376">
              <w:r>
                <w:rPr>
                  <w:rFonts w:ascii="Arial" w:cs="Arial" w:eastAsia="Arial" w:hAnsi="Arial"/>
                  <w:sz w:val="14"/>
                  <w:szCs w:val="14"/>
                  <w:color w:val="0000FF"/>
                  <w:w w:val="94"/>
                </w:rPr>
                <w:t>by and among the Registrant, Asclepius Merger Sub Inc. and</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6"/>
              </w:rPr>
              <w:t>2.1</w:t>
            </w: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2"/>
              </w:rPr>
              <w:t>10/6/2020</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Borders>
              <w:bottom w:val="single" w:sz="8" w:color="0000FF"/>
            </w:tcBorders>
            <w:gridSpan w:val="8"/>
          </w:tcPr>
          <w:p>
            <w:pPr>
              <w:spacing w:after="0" w:line="129" w:lineRule="exact"/>
              <w:rPr>
                <w:rFonts w:ascii="Arial" w:cs="Arial" w:eastAsia="Arial" w:hAnsi="Arial"/>
                <w:sz w:val="14"/>
                <w:szCs w:val="14"/>
                <w:color w:val="0000FF"/>
                <w:w w:val="96"/>
              </w:rPr>
            </w:pPr>
            <w:hyperlink r:id="rId376">
              <w:r>
                <w:rPr>
                  <w:rFonts w:ascii="Arial" w:cs="Arial" w:eastAsia="Arial" w:hAnsi="Arial"/>
                  <w:sz w:val="14"/>
                  <w:szCs w:val="14"/>
                  <w:color w:val="0000FF"/>
                  <w:w w:val="96"/>
                </w:rPr>
                <w:t>Clover Health Investments, Corp.</w:t>
              </w:r>
            </w:hyperlink>
          </w:p>
        </w:tc>
        <w:tc>
          <w:tcPr>
            <w:tcW w:w="1620" w:type="dxa"/>
            <w:vAlign w:val="bottom"/>
            <w:gridSpan w:val="19"/>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2.1(a)</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w w:val="94"/>
              </w:rPr>
            </w:pPr>
            <w:r>
              <w:rPr>
                <w:rFonts w:ascii="Arial" w:cs="Arial" w:eastAsia="Arial" w:hAnsi="Arial"/>
                <w:sz w:val="15"/>
                <w:szCs w:val="15"/>
                <w:color w:val="0000FF"/>
                <w:w w:val="94"/>
              </w:rPr>
              <w:t xml:space="preserve">Amendment </w:t>
            </w:r>
            <w:hyperlink r:id="rId377">
              <w:r>
                <w:rPr>
                  <w:rFonts w:ascii="Arial" w:cs="Arial" w:eastAsia="Arial" w:hAnsi="Arial"/>
                  <w:sz w:val="15"/>
                  <w:szCs w:val="15"/>
                  <w:color w:val="0000FF"/>
                  <w:w w:val="94"/>
                </w:rPr>
                <w:t xml:space="preserve">to the </w:t>
              </w:r>
            </w:hyperlink>
            <w:r>
              <w:rPr>
                <w:rFonts w:ascii="Arial" w:cs="Arial" w:eastAsia="Arial" w:hAnsi="Arial"/>
                <w:sz w:val="15"/>
                <w:szCs w:val="15"/>
                <w:color w:val="0000FF"/>
                <w:w w:val="94"/>
              </w:rPr>
              <w:t xml:space="preserve">Agreement </w:t>
            </w:r>
            <w:hyperlink r:id="rId377">
              <w:r>
                <w:rPr>
                  <w:rFonts w:ascii="Arial" w:cs="Arial" w:eastAsia="Arial" w:hAnsi="Arial"/>
                  <w:sz w:val="15"/>
                  <w:szCs w:val="15"/>
                  <w:color w:val="0000FF"/>
                  <w:w w:val="94"/>
                </w:rPr>
                <w:t>and Plan of Merger, dated as</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6"/>
              </w:rPr>
              <w:t>2.1</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7"/>
              </w:rPr>
              <w:t>12/10/2020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377">
              <w:r>
                <w:rPr>
                  <w:rFonts w:ascii="Arial" w:cs="Arial" w:eastAsia="Arial" w:hAnsi="Arial"/>
                  <w:sz w:val="14"/>
                  <w:szCs w:val="14"/>
                  <w:color w:val="0000FF"/>
                </w:rPr>
                <w:t>of December 8, 2020</w:t>
              </w:r>
            </w:hyperlink>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w w:val="99"/>
              </w:rPr>
            </w:pPr>
            <w:hyperlink r:id="rId378">
              <w:r>
                <w:rPr>
                  <w:rFonts w:ascii="Arial" w:cs="Arial" w:eastAsia="Arial" w:hAnsi="Arial"/>
                  <w:sz w:val="15"/>
                  <w:szCs w:val="15"/>
                  <w:color w:val="0000FF"/>
                  <w:w w:val="99"/>
                </w:rPr>
                <w:t xml:space="preserve">Amended and Restated </w:t>
              </w:r>
            </w:hyperlink>
            <w:r>
              <w:rPr>
                <w:rFonts w:ascii="Arial" w:cs="Arial" w:eastAsia="Arial" w:hAnsi="Arial"/>
                <w:sz w:val="15"/>
                <w:szCs w:val="15"/>
                <w:color w:val="0000FF"/>
                <w:w w:val="99"/>
              </w:rPr>
              <w:t xml:space="preserve">Certificate </w:t>
            </w:r>
            <w:hyperlink r:id="rId378">
              <w:r>
                <w:rPr>
                  <w:rFonts w:ascii="Arial" w:cs="Arial" w:eastAsia="Arial" w:hAnsi="Arial"/>
                  <w:sz w:val="15"/>
                  <w:szCs w:val="15"/>
                  <w:color w:val="0000FF"/>
                  <w:w w:val="99"/>
                </w:rPr>
                <w:t>of Incorporation of the</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6"/>
              </w:rPr>
              <w:t>3.1</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2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378">
              <w:r>
                <w:rPr>
                  <w:rFonts w:ascii="Arial" w:cs="Arial" w:eastAsia="Arial" w:hAnsi="Arial"/>
                  <w:sz w:val="14"/>
                  <w:szCs w:val="14"/>
                  <w:color w:val="0000FF"/>
                </w:rPr>
                <w:t>Registrant</w:t>
              </w:r>
            </w:hyperlink>
          </w:p>
        </w:tc>
        <w:tc>
          <w:tcPr>
            <w:tcW w:w="8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5"/>
                <w:szCs w:val="15"/>
                <w:color w:val="auto"/>
              </w:rPr>
            </w:pPr>
          </w:p>
        </w:tc>
        <w:tc>
          <w:tcPr>
            <w:tcW w:w="2880" w:type="dxa"/>
            <w:vAlign w:val="bottom"/>
            <w:tcBorders>
              <w:bottom w:val="single" w:sz="8" w:color="0000FF"/>
            </w:tcBorders>
            <w:gridSpan w:val="14"/>
          </w:tcPr>
          <w:p>
            <w:pPr>
              <w:spacing w:after="0"/>
              <w:rPr>
                <w:rFonts w:ascii="Arial" w:cs="Arial" w:eastAsia="Arial" w:hAnsi="Arial"/>
                <w:sz w:val="15"/>
                <w:szCs w:val="15"/>
                <w:color w:val="0000FF"/>
                <w:w w:val="88"/>
              </w:rPr>
            </w:pPr>
            <w:hyperlink r:id="rId379">
              <w:r>
                <w:rPr>
                  <w:rFonts w:ascii="Arial" w:cs="Arial" w:eastAsia="Arial" w:hAnsi="Arial"/>
                  <w:sz w:val="15"/>
                  <w:szCs w:val="15"/>
                  <w:color w:val="0000FF"/>
                  <w:w w:val="88"/>
                </w:rPr>
                <w:t xml:space="preserve">Amended and Restated </w:t>
              </w:r>
            </w:hyperlink>
            <w:r>
              <w:rPr>
                <w:rFonts w:ascii="Arial" w:cs="Arial" w:eastAsia="Arial" w:hAnsi="Arial"/>
                <w:sz w:val="15"/>
                <w:szCs w:val="15"/>
                <w:color w:val="0000FF"/>
                <w:w w:val="88"/>
              </w:rPr>
              <w:t xml:space="preserve">Bylaws </w:t>
            </w:r>
            <w:hyperlink r:id="rId379">
              <w:r>
                <w:rPr>
                  <w:rFonts w:ascii="Arial" w:cs="Arial" w:eastAsia="Arial" w:hAnsi="Arial"/>
                  <w:sz w:val="15"/>
                  <w:szCs w:val="15"/>
                  <w:color w:val="0000FF"/>
                  <w:w w:val="88"/>
                </w:rPr>
                <w:t>of the Registrant</w:t>
              </w:r>
            </w:hyperlink>
          </w:p>
        </w:tc>
        <w:tc>
          <w:tcPr>
            <w:tcW w:w="900" w:type="dxa"/>
            <w:vAlign w:val="bottom"/>
            <w:gridSpan w:val="15"/>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6"/>
              </w:rPr>
              <w:t>3.2</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5"/>
                <w:szCs w:val="15"/>
                <w:color w:val="auto"/>
              </w:rPr>
            </w:pPr>
          </w:p>
        </w:tc>
        <w:tc>
          <w:tcPr>
            <w:tcW w:w="3260" w:type="dxa"/>
            <w:vAlign w:val="bottom"/>
            <w:tcBorders>
              <w:bottom w:val="single" w:sz="8" w:color="0000FF"/>
            </w:tcBorders>
            <w:gridSpan w:val="18"/>
          </w:tcPr>
          <w:p>
            <w:pPr>
              <w:spacing w:after="0"/>
              <w:rPr>
                <w:rFonts w:ascii="Arial" w:cs="Arial" w:eastAsia="Arial" w:hAnsi="Arial"/>
                <w:sz w:val="15"/>
                <w:szCs w:val="15"/>
                <w:color w:val="0000FF"/>
                <w:w w:val="89"/>
              </w:rPr>
            </w:pPr>
            <w:hyperlink r:id="rId380">
              <w:r>
                <w:rPr>
                  <w:rFonts w:ascii="Arial" w:cs="Arial" w:eastAsia="Arial" w:hAnsi="Arial"/>
                  <w:sz w:val="15"/>
                  <w:szCs w:val="15"/>
                  <w:color w:val="0000FF"/>
                  <w:w w:val="89"/>
                </w:rPr>
                <w:t>Warrant Agreement, dated April 21, 2020, between the</w:t>
              </w:r>
            </w:hyperlink>
          </w:p>
        </w:tc>
        <w:tc>
          <w:tcPr>
            <w:tcW w:w="520" w:type="dxa"/>
            <w:vAlign w:val="bottom"/>
            <w:gridSpan w:val="11"/>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gridSpan w:val="29"/>
          </w:tcPr>
          <w:p>
            <w:pPr>
              <w:spacing w:after="0" w:line="129" w:lineRule="exact"/>
              <w:rPr>
                <w:rFonts w:ascii="Arial" w:cs="Arial" w:eastAsia="Arial" w:hAnsi="Arial"/>
                <w:sz w:val="14"/>
                <w:szCs w:val="14"/>
                <w:color w:val="0000FF"/>
              </w:rPr>
            </w:pPr>
            <w:hyperlink r:id="rId380">
              <w:r>
                <w:rPr>
                  <w:rFonts w:ascii="Arial" w:cs="Arial" w:eastAsia="Arial" w:hAnsi="Arial"/>
                  <w:sz w:val="14"/>
                  <w:szCs w:val="14"/>
                  <w:color w:val="0000FF"/>
                </w:rPr>
                <w:t>Company and Continental Stock Transfer &amp; Trust Company,</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6"/>
              </w:rPr>
              <w:t>4.1</w:t>
            </w: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2"/>
              </w:rPr>
              <w:t>4/24/2020</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380">
              <w:r>
                <w:rPr>
                  <w:rFonts w:ascii="Arial" w:cs="Arial" w:eastAsia="Arial" w:hAnsi="Arial"/>
                  <w:sz w:val="14"/>
                  <w:szCs w:val="14"/>
                  <w:color w:val="0000FF"/>
                </w:rPr>
                <w:t>as warrant agent.</w:t>
              </w:r>
            </w:hyperlink>
          </w:p>
        </w:tc>
        <w:tc>
          <w:tcPr>
            <w:tcW w:w="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rPr>
            </w:pPr>
            <w:hyperlink r:id="rId381">
              <w:r>
                <w:rPr>
                  <w:rFonts w:ascii="Arial" w:cs="Arial" w:eastAsia="Arial" w:hAnsi="Arial"/>
                  <w:sz w:val="15"/>
                  <w:szCs w:val="15"/>
                  <w:color w:val="0000FF"/>
                </w:rPr>
                <w:t>Specimen Class A Common Stock Certificate of the</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5"/>
              </w:rPr>
              <w:t>S-4/A</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333-249558</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6"/>
              </w:rPr>
              <w:t>4.5</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7"/>
              </w:rPr>
              <w:t>11/20/2020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381">
              <w:r>
                <w:rPr>
                  <w:rFonts w:ascii="Arial" w:cs="Arial" w:eastAsia="Arial" w:hAnsi="Arial"/>
                  <w:sz w:val="14"/>
                  <w:szCs w:val="14"/>
                  <w:color w:val="0000FF"/>
                </w:rPr>
                <w:t>Registrant</w:t>
              </w:r>
            </w:hyperlink>
          </w:p>
        </w:tc>
        <w:tc>
          <w:tcPr>
            <w:tcW w:w="1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4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rPr>
            </w:pPr>
            <w:hyperlink r:id="rId382">
              <w:r>
                <w:rPr>
                  <w:rFonts w:ascii="Arial" w:cs="Arial" w:eastAsia="Arial" w:hAnsi="Arial"/>
                  <w:sz w:val="15"/>
                  <w:szCs w:val="15"/>
                  <w:color w:val="0000FF"/>
                </w:rPr>
                <w:t>Specimen Class B Common Stock Certificate of the</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5"/>
              </w:rPr>
              <w:t>S-4/A</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333-249558</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6"/>
              </w:rPr>
              <w:t>4.6</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7"/>
              </w:rPr>
              <w:t>11/20/2020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382">
              <w:r>
                <w:rPr>
                  <w:rFonts w:ascii="Arial" w:cs="Arial" w:eastAsia="Arial" w:hAnsi="Arial"/>
                  <w:sz w:val="14"/>
                  <w:szCs w:val="14"/>
                  <w:color w:val="0000FF"/>
                </w:rPr>
                <w:t>Registrant</w:t>
              </w:r>
            </w:hyperlink>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4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5"/>
                <w:szCs w:val="15"/>
                <w:color w:val="auto"/>
              </w:rPr>
            </w:pPr>
          </w:p>
        </w:tc>
        <w:tc>
          <w:tcPr>
            <w:tcW w:w="2760" w:type="dxa"/>
            <w:vAlign w:val="bottom"/>
            <w:tcBorders>
              <w:bottom w:val="single" w:sz="8" w:color="0000FF"/>
            </w:tcBorders>
            <w:gridSpan w:val="13"/>
          </w:tcPr>
          <w:p>
            <w:pPr>
              <w:spacing w:after="0"/>
              <w:rPr>
                <w:rFonts w:ascii="Arial" w:cs="Arial" w:eastAsia="Arial" w:hAnsi="Arial"/>
                <w:sz w:val="15"/>
                <w:szCs w:val="15"/>
                <w:color w:val="0000FF"/>
                <w:w w:val="94"/>
              </w:rPr>
            </w:pPr>
            <w:hyperlink w:anchor="page316">
              <w:r>
                <w:rPr>
                  <w:rFonts w:ascii="Arial" w:cs="Arial" w:eastAsia="Arial" w:hAnsi="Arial"/>
                  <w:sz w:val="15"/>
                  <w:szCs w:val="15"/>
                  <w:color w:val="0000FF"/>
                  <w:w w:val="94"/>
                </w:rPr>
                <w:t>Opinion of Orrick Herrington &amp; Sutcliffe LLP</w:t>
              </w:r>
            </w:hyperlink>
          </w:p>
        </w:tc>
        <w:tc>
          <w:tcPr>
            <w:tcW w:w="1020" w:type="dxa"/>
            <w:vAlign w:val="bottom"/>
            <w:gridSpan w:val="16"/>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w w:val="91"/>
              </w:rPr>
            </w:pPr>
            <w:hyperlink r:id="rId383">
              <w:r>
                <w:rPr>
                  <w:rFonts w:ascii="Arial" w:cs="Arial" w:eastAsia="Arial" w:hAnsi="Arial"/>
                  <w:sz w:val="15"/>
                  <w:szCs w:val="15"/>
                  <w:color w:val="0000FF"/>
                  <w:w w:val="91"/>
                </w:rPr>
                <w:t xml:space="preserve">Amended and Restated Registration Rights </w:t>
              </w:r>
            </w:hyperlink>
            <w:r>
              <w:rPr>
                <w:rFonts w:ascii="Arial" w:cs="Arial" w:eastAsia="Arial" w:hAnsi="Arial"/>
                <w:sz w:val="15"/>
                <w:szCs w:val="15"/>
                <w:color w:val="0000FF"/>
                <w:w w:val="91"/>
              </w:rPr>
              <w:t xml:space="preserve">Agreement, </w:t>
            </w:r>
            <w:hyperlink r:id="rId383">
              <w:r>
                <w:rPr>
                  <w:rFonts w:ascii="Arial" w:cs="Arial" w:eastAsia="Arial" w:hAnsi="Arial"/>
                  <w:sz w:val="15"/>
                  <w:szCs w:val="15"/>
                  <w:color w:val="0000FF"/>
                  <w:w w:val="91"/>
                </w:rPr>
                <w:t>dated</w:t>
              </w:r>
            </w:hyperlink>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383">
              <w:r>
                <w:rPr>
                  <w:rFonts w:ascii="Arial" w:cs="Arial" w:eastAsia="Arial" w:hAnsi="Arial"/>
                  <w:sz w:val="14"/>
                  <w:szCs w:val="14"/>
                  <w:color w:val="0000FF"/>
                </w:rPr>
                <w:t>as of January 7, 2021, by and among the Registrant, SCH</w:t>
              </w:r>
            </w:hyperlink>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383">
              <w:r>
                <w:rPr>
                  <w:rFonts w:ascii="Arial" w:cs="Arial" w:eastAsia="Arial" w:hAnsi="Arial"/>
                  <w:sz w:val="14"/>
                  <w:szCs w:val="14"/>
                  <w:color w:val="0000FF"/>
                </w:rPr>
                <w:t>Sponsor III LLC, certain former stockholders of Clover</w:t>
              </w:r>
            </w:hyperlink>
          </w:p>
        </w:tc>
        <w:tc>
          <w:tcPr>
            <w:tcW w:w="100" w:type="dxa"/>
            <w:vAlign w:val="bottom"/>
            <w:gridSpan w:val="2"/>
          </w:tcPr>
          <w:p>
            <w:pPr>
              <w:spacing w:after="0"/>
              <w:rPr>
                <w:sz w:val="11"/>
                <w:szCs w:val="11"/>
                <w:color w:val="auto"/>
              </w:rPr>
            </w:pPr>
          </w:p>
        </w:tc>
        <w:tc>
          <w:tcPr>
            <w:tcW w:w="280" w:type="dxa"/>
            <w:vAlign w:val="bottom"/>
            <w:gridSpan w:val="6"/>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80" w:type="dxa"/>
            <w:vAlign w:val="bottom"/>
            <w:tcBorders>
              <w:top w:val="single" w:sz="8" w:color="0000FF"/>
            </w:tcBorders>
            <w:gridSpan w:val="19"/>
          </w:tcPr>
          <w:p>
            <w:pPr>
              <w:spacing w:after="0" w:line="129" w:lineRule="exact"/>
              <w:rPr>
                <w:rFonts w:ascii="Arial" w:cs="Arial" w:eastAsia="Arial" w:hAnsi="Arial"/>
                <w:sz w:val="14"/>
                <w:szCs w:val="14"/>
                <w:color w:val="0000FF"/>
                <w:w w:val="92"/>
              </w:rPr>
            </w:pPr>
            <w:hyperlink r:id="rId383">
              <w:r>
                <w:rPr>
                  <w:rFonts w:ascii="Arial" w:cs="Arial" w:eastAsia="Arial" w:hAnsi="Arial"/>
                  <w:sz w:val="14"/>
                  <w:szCs w:val="14"/>
                  <w:color w:val="0000FF"/>
                  <w:w w:val="92"/>
                </w:rPr>
                <w:t>Health Investments, Corp., Dr. James Ryans, Jacqueline</w:t>
              </w:r>
            </w:hyperlink>
          </w:p>
        </w:tc>
        <w:tc>
          <w:tcPr>
            <w:tcW w:w="40" w:type="dxa"/>
            <w:vAlign w:val="bottom"/>
          </w:tcPr>
          <w:p>
            <w:pPr>
              <w:spacing w:after="0"/>
              <w:rPr>
                <w:sz w:val="11"/>
                <w:szCs w:val="11"/>
                <w:color w:val="auto"/>
              </w:rPr>
            </w:pPr>
          </w:p>
        </w:tc>
        <w:tc>
          <w:tcPr>
            <w:tcW w:w="460" w:type="dxa"/>
            <w:vAlign w:val="bottom"/>
            <w:gridSpan w:val="9"/>
          </w:tcPr>
          <w:p>
            <w:pPr>
              <w:ind w:left="20"/>
              <w:spacing w:after="0" w:line="129" w:lineRule="exact"/>
              <w:rPr>
                <w:rFonts w:ascii="Arial" w:cs="Arial" w:eastAsia="Arial" w:hAnsi="Arial"/>
                <w:sz w:val="14"/>
                <w:szCs w:val="14"/>
                <w:color w:val="0000FF"/>
              </w:rPr>
            </w:pPr>
            <w:hyperlink r:id="rId383">
              <w:r>
                <w:rPr>
                  <w:rFonts w:ascii="Arial" w:cs="Arial" w:eastAsia="Arial" w:hAnsi="Arial"/>
                  <w:sz w:val="14"/>
                  <w:szCs w:val="14"/>
                  <w:color w:val="0000FF"/>
                </w:rPr>
                <w:t>D.</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8"/>
              </w:rPr>
              <w:t>10.1</w:t>
            </w:r>
          </w:p>
        </w:tc>
        <w:tc>
          <w:tcPr>
            <w:tcW w:w="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2"/>
              </w:rPr>
            </w:pPr>
            <w:hyperlink r:id="rId383">
              <w:r>
                <w:rPr>
                  <w:rFonts w:ascii="Arial" w:cs="Arial" w:eastAsia="Arial" w:hAnsi="Arial"/>
                  <w:sz w:val="14"/>
                  <w:szCs w:val="14"/>
                  <w:color w:val="0000FF"/>
                  <w:w w:val="92"/>
                </w:rPr>
                <w:t>Reses and the other parties thereto</w:t>
              </w:r>
            </w:hyperlink>
          </w:p>
        </w:tc>
        <w:tc>
          <w:tcPr>
            <w:tcW w:w="1460" w:type="dxa"/>
            <w:vAlign w:val="bottom"/>
            <w:tcBorders>
              <w:top w:val="single" w:sz="8" w:color="0000FF"/>
            </w:tcBorders>
            <w:gridSpan w:val="14"/>
          </w:tcPr>
          <w:p>
            <w:pPr>
              <w:spacing w:after="0"/>
              <w:rPr>
                <w:sz w:val="11"/>
                <w:szCs w:val="11"/>
                <w:color w:val="auto"/>
              </w:rPr>
            </w:pPr>
          </w:p>
        </w:tc>
        <w:tc>
          <w:tcPr>
            <w:tcW w:w="280" w:type="dxa"/>
            <w:vAlign w:val="bottom"/>
            <w:gridSpan w:val="6"/>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5"/>
                <w:szCs w:val="15"/>
                <w:color w:val="auto"/>
              </w:rPr>
            </w:pPr>
          </w:p>
        </w:tc>
        <w:tc>
          <w:tcPr>
            <w:tcW w:w="2160" w:type="dxa"/>
            <w:vAlign w:val="bottom"/>
            <w:tcBorders>
              <w:bottom w:val="single" w:sz="8" w:color="0000FF"/>
            </w:tcBorders>
            <w:gridSpan w:val="11"/>
          </w:tcPr>
          <w:p>
            <w:pPr>
              <w:spacing w:after="0"/>
              <w:rPr>
                <w:rFonts w:ascii="Arial" w:cs="Arial" w:eastAsia="Arial" w:hAnsi="Arial"/>
                <w:sz w:val="15"/>
                <w:szCs w:val="15"/>
                <w:color w:val="0000FF"/>
                <w:w w:val="91"/>
              </w:rPr>
            </w:pPr>
            <w:hyperlink r:id="rId384">
              <w:r>
                <w:rPr>
                  <w:rFonts w:ascii="Arial" w:cs="Arial" w:eastAsia="Arial" w:hAnsi="Arial"/>
                  <w:sz w:val="15"/>
                  <w:szCs w:val="15"/>
                  <w:color w:val="0000FF"/>
                  <w:w w:val="91"/>
                </w:rPr>
                <w:t>Form of Indemnification Agreement</w:t>
              </w:r>
            </w:hyperlink>
          </w:p>
        </w:tc>
        <w:tc>
          <w:tcPr>
            <w:tcW w:w="1620" w:type="dxa"/>
            <w:vAlign w:val="bottom"/>
            <w:gridSpan w:val="18"/>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8"/>
              </w:rPr>
              <w:t>10.2</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rPr>
            </w:pPr>
            <w:hyperlink r:id="rId385">
              <w:r>
                <w:rPr>
                  <w:rFonts w:ascii="Arial" w:cs="Arial" w:eastAsia="Arial" w:hAnsi="Arial"/>
                  <w:sz w:val="15"/>
                  <w:szCs w:val="15"/>
                  <w:color w:val="0000FF"/>
                </w:rPr>
                <w:t>Amended and Restated 2014 Equity Incentive Plan, and</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85"/>
              </w:rPr>
              <w:t>S-4</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333-249558</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0"/>
              </w:rPr>
              <w:t>10.15</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7"/>
              </w:rPr>
              <w:t>10/20/2020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3"/>
              </w:rPr>
            </w:pPr>
            <w:hyperlink r:id="rId385">
              <w:r>
                <w:rPr>
                  <w:rFonts w:ascii="Arial" w:cs="Arial" w:eastAsia="Arial" w:hAnsi="Arial"/>
                  <w:sz w:val="14"/>
                  <w:szCs w:val="14"/>
                  <w:color w:val="0000FF"/>
                  <w:w w:val="93"/>
                </w:rPr>
                <w:t>forms of agreement thereunder.</w:t>
              </w:r>
            </w:hyperlink>
          </w:p>
        </w:tc>
        <w:tc>
          <w:tcPr>
            <w:tcW w:w="1460" w:type="dxa"/>
            <w:vAlign w:val="bottom"/>
            <w:tcBorders>
              <w:top w:val="single" w:sz="8" w:color="0000FF"/>
            </w:tcBorders>
            <w:gridSpan w:val="13"/>
          </w:tcPr>
          <w:p>
            <w:pPr>
              <w:spacing w:after="0"/>
              <w:rPr>
                <w:sz w:val="11"/>
                <w:szCs w:val="11"/>
                <w:color w:val="auto"/>
              </w:rPr>
            </w:pPr>
          </w:p>
        </w:tc>
        <w:tc>
          <w:tcPr>
            <w:tcW w:w="460" w:type="dxa"/>
            <w:vAlign w:val="bottom"/>
            <w:gridSpan w:val="9"/>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5"/>
                <w:szCs w:val="15"/>
                <w:color w:val="auto"/>
              </w:rPr>
            </w:pPr>
          </w:p>
        </w:tc>
        <w:tc>
          <w:tcPr>
            <w:tcW w:w="3780" w:type="dxa"/>
            <w:vAlign w:val="bottom"/>
            <w:gridSpan w:val="29"/>
          </w:tcPr>
          <w:p>
            <w:pPr>
              <w:spacing w:after="0"/>
              <w:rPr>
                <w:rFonts w:ascii="Arial" w:cs="Arial" w:eastAsia="Arial" w:hAnsi="Arial"/>
                <w:sz w:val="15"/>
                <w:szCs w:val="15"/>
                <w:color w:val="0000FF"/>
              </w:rPr>
            </w:pPr>
            <w:hyperlink r:id="rId386">
              <w:r>
                <w:rPr>
                  <w:rFonts w:ascii="Arial" w:cs="Arial" w:eastAsia="Arial" w:hAnsi="Arial"/>
                  <w:sz w:val="15"/>
                  <w:szCs w:val="15"/>
                  <w:color w:val="0000FF"/>
                </w:rPr>
                <w:t>2020 Equity Incentive Plan and forms of agreement</w:t>
              </w:r>
            </w:hyperlink>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8"/>
              </w:rPr>
              <w:t>10.4</w:t>
            </w: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386">
              <w:r>
                <w:rPr>
                  <w:rFonts w:ascii="Arial" w:cs="Arial" w:eastAsia="Arial" w:hAnsi="Arial"/>
                  <w:sz w:val="14"/>
                  <w:szCs w:val="14"/>
                  <w:color w:val="0000FF"/>
                </w:rPr>
                <w:t>thereunder</w:t>
              </w:r>
            </w:hyperlink>
          </w:p>
        </w:tc>
        <w:tc>
          <w:tcPr>
            <w:tcW w:w="720" w:type="dxa"/>
            <w:vAlign w:val="bottom"/>
            <w:gridSpan w:val="14"/>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600" w:type="dxa"/>
            <w:vAlign w:val="bottom"/>
            <w:gridSpan w:val="17"/>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15"/>
                <w:szCs w:val="15"/>
                <w:color w:val="auto"/>
              </w:rPr>
            </w:pPr>
          </w:p>
        </w:tc>
        <w:tc>
          <w:tcPr>
            <w:tcW w:w="2180" w:type="dxa"/>
            <w:vAlign w:val="bottom"/>
            <w:tcBorders>
              <w:bottom w:val="single" w:sz="8" w:color="0000FF"/>
            </w:tcBorders>
            <w:gridSpan w:val="12"/>
          </w:tcPr>
          <w:p>
            <w:pPr>
              <w:spacing w:after="0"/>
              <w:rPr>
                <w:rFonts w:ascii="Arial" w:cs="Arial" w:eastAsia="Arial" w:hAnsi="Arial"/>
                <w:sz w:val="15"/>
                <w:szCs w:val="15"/>
                <w:color w:val="0000FF"/>
                <w:w w:val="87"/>
              </w:rPr>
            </w:pPr>
            <w:hyperlink r:id="rId387">
              <w:r>
                <w:rPr>
                  <w:rFonts w:ascii="Arial" w:cs="Arial" w:eastAsia="Arial" w:hAnsi="Arial"/>
                  <w:sz w:val="15"/>
                  <w:szCs w:val="15"/>
                  <w:color w:val="0000FF"/>
                  <w:w w:val="87"/>
                </w:rPr>
                <w:t xml:space="preserve">2020 Employee Stock Purchase </w:t>
              </w:r>
            </w:hyperlink>
            <w:r>
              <w:rPr>
                <w:rFonts w:ascii="Arial" w:cs="Arial" w:eastAsia="Arial" w:hAnsi="Arial"/>
                <w:sz w:val="15"/>
                <w:szCs w:val="15"/>
                <w:color w:val="0000FF"/>
                <w:w w:val="87"/>
              </w:rPr>
              <w:t>Plan</w:t>
            </w:r>
          </w:p>
        </w:tc>
        <w:tc>
          <w:tcPr>
            <w:tcW w:w="1600" w:type="dxa"/>
            <w:vAlign w:val="bottom"/>
            <w:gridSpan w:val="17"/>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8"/>
              </w:rPr>
              <w:t>10.5</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15"/>
                <w:szCs w:val="15"/>
                <w:color w:val="auto"/>
              </w:rPr>
            </w:pPr>
          </w:p>
        </w:tc>
        <w:tc>
          <w:tcPr>
            <w:tcW w:w="1660" w:type="dxa"/>
            <w:vAlign w:val="bottom"/>
            <w:tcBorders>
              <w:bottom w:val="single" w:sz="8" w:color="0000FF"/>
            </w:tcBorders>
            <w:gridSpan w:val="6"/>
          </w:tcPr>
          <w:p>
            <w:pPr>
              <w:spacing w:after="0"/>
              <w:rPr>
                <w:rFonts w:ascii="Arial" w:cs="Arial" w:eastAsia="Arial" w:hAnsi="Arial"/>
                <w:sz w:val="15"/>
                <w:szCs w:val="15"/>
                <w:color w:val="0000FF"/>
                <w:w w:val="88"/>
              </w:rPr>
            </w:pPr>
            <w:hyperlink r:id="rId388">
              <w:r>
                <w:rPr>
                  <w:rFonts w:ascii="Arial" w:cs="Arial" w:eastAsia="Arial" w:hAnsi="Arial"/>
                  <w:sz w:val="15"/>
                  <w:szCs w:val="15"/>
                  <w:color w:val="0000FF"/>
                  <w:w w:val="88"/>
                </w:rPr>
                <w:t>Management Incentive Plan</w:t>
              </w:r>
            </w:hyperlink>
          </w:p>
        </w:tc>
        <w:tc>
          <w:tcPr>
            <w:tcW w:w="2120" w:type="dxa"/>
            <w:vAlign w:val="bottom"/>
            <w:gridSpan w:val="23"/>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color w:val="auto"/>
              </w:rPr>
              <w:t>8-K</w:t>
            </w:r>
          </w:p>
        </w:tc>
        <w:tc>
          <w:tcPr>
            <w:tcW w:w="1200" w:type="dxa"/>
            <w:vAlign w:val="bottom"/>
          </w:tcPr>
          <w:p>
            <w:pPr>
              <w:jc w:val="center"/>
              <w:spacing w:after="0"/>
              <w:rPr>
                <w:sz w:val="20"/>
                <w:szCs w:val="20"/>
                <w:color w:val="auto"/>
              </w:rPr>
            </w:pPr>
            <w:r>
              <w:rPr>
                <w:rFonts w:ascii="Arial" w:cs="Arial" w:eastAsia="Arial" w:hAnsi="Arial"/>
                <w:sz w:val="15"/>
                <w:szCs w:val="15"/>
                <w:color w:val="auto"/>
                <w:w w:val="89"/>
              </w:rPr>
              <w:t>001-39252</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8"/>
              </w:rPr>
              <w:t>10.6</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2"/>
              </w:rPr>
              <w:t>1/12/2021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57"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Incorporated by 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ind w:left="340"/>
              <w:spacing w:after="0" w:line="99" w:lineRule="exact"/>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20" w:type="dxa"/>
            <w:vAlign w:val="bottom"/>
            <w:gridSpan w:val="15"/>
            <w:vMerge w:val="restart"/>
          </w:tcPr>
          <w:p>
            <w:pPr>
              <w:ind w:left="420"/>
              <w:spacing w:after="0"/>
              <w:rPr>
                <w:sz w:val="20"/>
                <w:szCs w:val="20"/>
                <w:color w:val="auto"/>
              </w:rPr>
            </w:pPr>
            <w:r>
              <w:rPr>
                <w:rFonts w:ascii="Arial" w:cs="Arial" w:eastAsia="Arial" w:hAnsi="Arial"/>
                <w:sz w:val="12"/>
                <w:szCs w:val="12"/>
                <w:b w:val="1"/>
                <w:bCs w:val="1"/>
                <w:color w:val="auto"/>
              </w:rPr>
              <w:t>Exhibit title</w:t>
            </w:r>
          </w:p>
        </w:tc>
        <w:tc>
          <w:tcPr>
            <w:tcW w:w="80" w:type="dxa"/>
            <w:vAlign w:val="bottom"/>
            <w:vMerge w:val="restart"/>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Form</w:t>
            </w:r>
          </w:p>
        </w:tc>
        <w:tc>
          <w:tcPr>
            <w:tcW w:w="80" w:type="dxa"/>
            <w:vAlign w:val="bottom"/>
            <w:vMerge w:val="restart"/>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File No.</w:t>
            </w:r>
          </w:p>
        </w:tc>
        <w:tc>
          <w:tcPr>
            <w:tcW w:w="80" w:type="dxa"/>
            <w:vAlign w:val="bottom"/>
            <w:vMerge w:val="restart"/>
          </w:tcPr>
          <w:p>
            <w:pPr>
              <w:spacing w:after="0"/>
              <w:rPr>
                <w:sz w:val="8"/>
                <w:szCs w:val="8"/>
                <w:color w:val="auto"/>
              </w:rPr>
            </w:pPr>
          </w:p>
        </w:tc>
        <w:tc>
          <w:tcPr>
            <w:tcW w:w="11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Exhibit No.</w:t>
            </w:r>
          </w:p>
        </w:tc>
        <w:tc>
          <w:tcPr>
            <w:tcW w:w="80" w:type="dxa"/>
            <w:vAlign w:val="bottom"/>
            <w:vMerge w:val="restart"/>
          </w:tcPr>
          <w:p>
            <w:pPr>
              <w:spacing w:after="0"/>
              <w:rPr>
                <w:sz w:val="8"/>
                <w:szCs w:val="8"/>
                <w:color w:val="auto"/>
              </w:rPr>
            </w:pPr>
          </w:p>
        </w:tc>
        <w:tc>
          <w:tcPr>
            <w:tcW w:w="12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Filing date</w:t>
            </w:r>
          </w:p>
        </w:tc>
        <w:tc>
          <w:tcPr>
            <w:tcW w:w="80" w:type="dxa"/>
            <w:vAlign w:val="bottom"/>
            <w:vMerge w:val="restart"/>
          </w:tcPr>
          <w:p>
            <w:pPr>
              <w:spacing w:after="0"/>
              <w:rPr>
                <w:sz w:val="8"/>
                <w:szCs w:val="8"/>
                <w:color w:val="auto"/>
              </w:rPr>
            </w:pPr>
          </w:p>
        </w:tc>
        <w:tc>
          <w:tcPr>
            <w:tcW w:w="11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rPr>
              <w:t>Filed or furnished</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No.</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5"/>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herewith</w:t>
            </w:r>
          </w:p>
        </w:tc>
        <w:tc>
          <w:tcPr>
            <w:tcW w:w="0" w:type="dxa"/>
            <w:vAlign w:val="bottom"/>
          </w:tcPr>
          <w:p>
            <w:pPr>
              <w:spacing w:after="0"/>
              <w:rPr>
                <w:sz w:val="1"/>
                <w:szCs w:val="1"/>
                <w:color w:val="auto"/>
              </w:rPr>
            </w:pPr>
          </w:p>
        </w:tc>
      </w:tr>
      <w:tr>
        <w:trPr>
          <w:trHeight w:val="159"/>
        </w:trPr>
        <w:tc>
          <w:tcPr>
            <w:tcW w:w="1040" w:type="dxa"/>
            <w:vAlign w:val="bottom"/>
          </w:tcPr>
          <w:p>
            <w:pPr>
              <w:ind w:left="20"/>
              <w:spacing w:after="0" w:line="159" w:lineRule="exact"/>
              <w:rPr>
                <w:sz w:val="20"/>
                <w:szCs w:val="20"/>
                <w:color w:val="auto"/>
              </w:rPr>
            </w:pPr>
            <w:r>
              <w:rPr>
                <w:rFonts w:ascii="Arial" w:cs="Arial" w:eastAsia="Arial" w:hAnsi="Arial"/>
                <w:sz w:val="15"/>
                <w:szCs w:val="15"/>
                <w:color w:val="auto"/>
              </w:rPr>
              <w:t>10.7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bottom w:val="single" w:sz="8" w:color="0000FF"/>
            </w:tcBorders>
            <w:gridSpan w:val="5"/>
          </w:tcPr>
          <w:p>
            <w:pPr>
              <w:spacing w:after="0" w:line="159" w:lineRule="exact"/>
              <w:rPr>
                <w:rFonts w:ascii="Arial" w:cs="Arial" w:eastAsia="Arial" w:hAnsi="Arial"/>
                <w:sz w:val="15"/>
                <w:szCs w:val="15"/>
                <w:color w:val="0000FF"/>
                <w:w w:val="89"/>
              </w:rPr>
            </w:pPr>
            <w:hyperlink r:id="rId390">
              <w:r>
                <w:rPr>
                  <w:rFonts w:ascii="Arial" w:cs="Arial" w:eastAsia="Arial" w:hAnsi="Arial"/>
                  <w:sz w:val="15"/>
                  <w:szCs w:val="15"/>
                  <w:color w:val="0000FF"/>
                  <w:w w:val="89"/>
                </w:rPr>
                <w:t>Executive Incentive Bonus Plan</w:t>
              </w:r>
            </w:hyperlink>
          </w:p>
        </w:tc>
        <w:tc>
          <w:tcPr>
            <w:tcW w:w="1960" w:type="dxa"/>
            <w:vAlign w:val="bottom"/>
            <w:gridSpan w:val="13"/>
          </w:tcPr>
          <w:p>
            <w:pPr>
              <w:spacing w:after="0"/>
              <w:rPr>
                <w:sz w:val="13"/>
                <w:szCs w:val="13"/>
                <w:color w:val="auto"/>
              </w:rPr>
            </w:pPr>
          </w:p>
        </w:tc>
        <w:tc>
          <w:tcPr>
            <w:tcW w:w="1260" w:type="dxa"/>
            <w:vAlign w:val="bottom"/>
            <w:gridSpan w:val="2"/>
          </w:tcPr>
          <w:p>
            <w:pPr>
              <w:jc w:val="center"/>
              <w:ind w:right="80"/>
              <w:spacing w:after="0" w:line="159" w:lineRule="exact"/>
              <w:rPr>
                <w:sz w:val="20"/>
                <w:szCs w:val="20"/>
                <w:color w:val="auto"/>
              </w:rPr>
            </w:pPr>
            <w:r>
              <w:rPr>
                <w:rFonts w:ascii="Arial" w:cs="Arial" w:eastAsia="Arial" w:hAnsi="Arial"/>
                <w:sz w:val="15"/>
                <w:szCs w:val="15"/>
                <w:color w:val="auto"/>
                <w:w w:val="94"/>
              </w:rPr>
              <w:t>8-K</w:t>
            </w:r>
          </w:p>
        </w:tc>
        <w:tc>
          <w:tcPr>
            <w:tcW w:w="1180" w:type="dxa"/>
            <w:vAlign w:val="bottom"/>
          </w:tcPr>
          <w:p>
            <w:pPr>
              <w:jc w:val="center"/>
              <w:spacing w:after="0" w:line="159" w:lineRule="exact"/>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3"/>
                <w:szCs w:val="13"/>
                <w:color w:val="auto"/>
              </w:rPr>
            </w:pPr>
          </w:p>
        </w:tc>
        <w:tc>
          <w:tcPr>
            <w:tcW w:w="1180" w:type="dxa"/>
            <w:vAlign w:val="bottom"/>
          </w:tcPr>
          <w:p>
            <w:pPr>
              <w:jc w:val="center"/>
              <w:spacing w:after="0" w:line="159" w:lineRule="exact"/>
              <w:rPr>
                <w:sz w:val="20"/>
                <w:szCs w:val="20"/>
                <w:color w:val="auto"/>
              </w:rPr>
            </w:pPr>
            <w:r>
              <w:rPr>
                <w:rFonts w:ascii="Arial" w:cs="Arial" w:eastAsia="Arial" w:hAnsi="Arial"/>
                <w:sz w:val="15"/>
                <w:szCs w:val="15"/>
                <w:color w:val="auto"/>
                <w:w w:val="88"/>
              </w:rPr>
              <w:t>10.7</w:t>
            </w:r>
          </w:p>
        </w:tc>
        <w:tc>
          <w:tcPr>
            <w:tcW w:w="8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5"/>
                <w:szCs w:val="15"/>
                <w:color w:val="auto"/>
                <w:w w:val="89"/>
              </w:rPr>
              <w:t>1/12/2021</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0000FF"/>
            </w:tcBorders>
            <w:gridSpan w:val="9"/>
          </w:tcPr>
          <w:p>
            <w:pPr>
              <w:spacing w:after="0"/>
              <w:rPr>
                <w:rFonts w:ascii="Arial" w:cs="Arial" w:eastAsia="Arial" w:hAnsi="Arial"/>
                <w:sz w:val="15"/>
                <w:szCs w:val="15"/>
                <w:color w:val="0000FF"/>
                <w:w w:val="91"/>
              </w:rPr>
            </w:pPr>
            <w:hyperlink r:id="rId391">
              <w:r>
                <w:rPr>
                  <w:rFonts w:ascii="Arial" w:cs="Arial" w:eastAsia="Arial" w:hAnsi="Arial"/>
                  <w:sz w:val="15"/>
                  <w:szCs w:val="15"/>
                  <w:color w:val="0000FF"/>
                  <w:w w:val="91"/>
                </w:rPr>
                <w:t>Non-Employee Director Compensation Policy</w:t>
              </w:r>
            </w:hyperlink>
          </w:p>
        </w:tc>
        <w:tc>
          <w:tcPr>
            <w:tcW w:w="1100" w:type="dxa"/>
            <w:vAlign w:val="bottom"/>
            <w:gridSpan w:val="9"/>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8-K</w:t>
            </w:r>
          </w:p>
        </w:tc>
        <w:tc>
          <w:tcPr>
            <w:tcW w:w="1180" w:type="dxa"/>
            <w:vAlign w:val="bottom"/>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8"/>
              </w:rPr>
              <w:t>10.8</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9"/>
              </w:rPr>
              <w:t>1/12/2021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w w:val="96"/>
              </w:rPr>
            </w:pPr>
            <w:hyperlink r:id="rId392">
              <w:r>
                <w:rPr>
                  <w:rFonts w:ascii="Arial" w:cs="Arial" w:eastAsia="Arial" w:hAnsi="Arial"/>
                  <w:sz w:val="15"/>
                  <w:szCs w:val="15"/>
                  <w:color w:val="0000FF"/>
                  <w:w w:val="96"/>
                </w:rPr>
                <w:t>Employment Agreement dated as of December 31, 2020, by</w:t>
              </w:r>
            </w:hyperlink>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w w:val="94"/>
              </w:rPr>
              <w:t>8-K</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8"/>
              </w:rPr>
              <w:t>10.9</w:t>
            </w: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1/12/2021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w w:val="95"/>
              </w:rPr>
            </w:pPr>
            <w:hyperlink r:id="rId392">
              <w:r>
                <w:rPr>
                  <w:rFonts w:ascii="Arial" w:cs="Arial" w:eastAsia="Arial" w:hAnsi="Arial"/>
                  <w:sz w:val="14"/>
                  <w:szCs w:val="14"/>
                  <w:color w:val="0000FF"/>
                  <w:w w:val="95"/>
                </w:rPr>
                <w:t>and between the Registrant and Vivek Garipalli</w:t>
              </w:r>
            </w:hyperlink>
          </w:p>
        </w:tc>
        <w:tc>
          <w:tcPr>
            <w:tcW w:w="760" w:type="dxa"/>
            <w:vAlign w:val="bottom"/>
            <w:tcBorders>
              <w:top w:val="single" w:sz="8" w:color="0000FF"/>
            </w:tcBorders>
            <w:gridSpan w:val="4"/>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w w:val="96"/>
              </w:rPr>
            </w:pPr>
            <w:hyperlink r:id="rId393">
              <w:r>
                <w:rPr>
                  <w:rFonts w:ascii="Arial" w:cs="Arial" w:eastAsia="Arial" w:hAnsi="Arial"/>
                  <w:sz w:val="15"/>
                  <w:szCs w:val="15"/>
                  <w:color w:val="0000FF"/>
                  <w:w w:val="96"/>
                </w:rPr>
                <w:t>Employment Agreement dated as of December 31, 2020, by</w:t>
              </w:r>
            </w:hyperlink>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w w:val="94"/>
              </w:rPr>
              <w:t>8-K</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0"/>
              </w:rPr>
              <w:t>10.10</w:t>
            </w: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1/12/2021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8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393">
              <w:r>
                <w:rPr>
                  <w:rFonts w:ascii="Arial" w:cs="Arial" w:eastAsia="Arial" w:hAnsi="Arial"/>
                  <w:sz w:val="14"/>
                  <w:szCs w:val="14"/>
                  <w:color w:val="0000FF"/>
                </w:rPr>
                <w:t>and between the Registrant and Andrew Toy</w:t>
              </w:r>
            </w:hyperlink>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w w:val="95"/>
              </w:rPr>
            </w:pPr>
            <w:hyperlink r:id="rId394">
              <w:r>
                <w:rPr>
                  <w:rFonts w:ascii="Arial" w:cs="Arial" w:eastAsia="Arial" w:hAnsi="Arial"/>
                  <w:sz w:val="15"/>
                  <w:szCs w:val="15"/>
                  <w:color w:val="0000FF"/>
                  <w:w w:val="95"/>
                </w:rPr>
                <w:t>Offer Letter dated as of December 20, 2018 by and between</w:t>
              </w:r>
            </w:hyperlink>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w w:val="94"/>
              </w:rPr>
              <w:t>8-K</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5"/>
              </w:rPr>
              <w:t>10.11</w:t>
            </w: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89"/>
              </w:rPr>
              <w:t>1/12/2021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4"/>
              </w:rPr>
            </w:pPr>
            <w:hyperlink r:id="rId394">
              <w:r>
                <w:rPr>
                  <w:rFonts w:ascii="Arial" w:cs="Arial" w:eastAsia="Arial" w:hAnsi="Arial"/>
                  <w:sz w:val="14"/>
                  <w:szCs w:val="14"/>
                  <w:color w:val="0000FF"/>
                  <w:w w:val="94"/>
                </w:rPr>
                <w:t>the Registrant and Gia Lee</w:t>
              </w:r>
            </w:hyperlink>
          </w:p>
        </w:tc>
        <w:tc>
          <w:tcPr>
            <w:tcW w:w="1960" w:type="dxa"/>
            <w:vAlign w:val="bottom"/>
            <w:tcBorders>
              <w:top w:val="single" w:sz="8" w:color="0000FF"/>
            </w:tcBorders>
            <w:gridSpan w:val="10"/>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w w:val="90"/>
              </w:rPr>
            </w:pPr>
            <w:hyperlink r:id="rId395">
              <w:r>
                <w:rPr>
                  <w:rFonts w:ascii="Arial" w:cs="Arial" w:eastAsia="Arial" w:hAnsi="Arial"/>
                  <w:sz w:val="15"/>
                  <w:szCs w:val="15"/>
                  <w:color w:val="0000FF"/>
                  <w:w w:val="90"/>
                </w:rPr>
                <w:t>Letter Agreement dated as of August 13, 2021, by and between</w:t>
              </w:r>
            </w:hyperlink>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w w:val="89"/>
              </w:rPr>
              <w:t>10-Q</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8"/>
              </w:rPr>
              <w:t>10.1</w:t>
            </w: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0"/>
              </w:rPr>
              <w:t>11/09/2021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2"/>
              </w:rPr>
            </w:pPr>
            <w:hyperlink r:id="rId395">
              <w:r>
                <w:rPr>
                  <w:rFonts w:ascii="Arial" w:cs="Arial" w:eastAsia="Arial" w:hAnsi="Arial"/>
                  <w:sz w:val="14"/>
                  <w:szCs w:val="14"/>
                  <w:color w:val="0000FF"/>
                  <w:w w:val="92"/>
                </w:rPr>
                <w:t>the Registrant and Joseph Wagner</w:t>
              </w:r>
            </w:hyperlink>
          </w:p>
        </w:tc>
        <w:tc>
          <w:tcPr>
            <w:tcW w:w="1740" w:type="dxa"/>
            <w:vAlign w:val="bottom"/>
            <w:tcBorders>
              <w:top w:val="single" w:sz="8" w:color="0000FF"/>
            </w:tcBorders>
            <w:gridSpan w:val="10"/>
          </w:tcPr>
          <w:p>
            <w:pPr>
              <w:spacing w:after="0"/>
              <w:rPr>
                <w:sz w:val="11"/>
                <w:szCs w:val="11"/>
                <w:color w:val="auto"/>
              </w:rPr>
            </w:pPr>
          </w:p>
        </w:tc>
        <w:tc>
          <w:tcPr>
            <w:tcW w:w="100" w:type="dxa"/>
            <w:vAlign w:val="bottom"/>
            <w:gridSpan w:val="2"/>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10.13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w w:val="94"/>
              </w:rPr>
            </w:pPr>
            <w:hyperlink r:id="rId396">
              <w:r>
                <w:rPr>
                  <w:rFonts w:ascii="Arial" w:cs="Arial" w:eastAsia="Arial" w:hAnsi="Arial"/>
                  <w:sz w:val="15"/>
                  <w:szCs w:val="15"/>
                  <w:color w:val="0000FF"/>
                  <w:w w:val="94"/>
                </w:rPr>
                <w:t>Agreement for the Provision of Interim Management Services</w:t>
              </w:r>
            </w:hyperlink>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5"/>
                <w:szCs w:val="15"/>
                <w:color w:val="auto"/>
                <w:w w:val="89"/>
              </w:rPr>
              <w:t>10-Q</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88"/>
              </w:rPr>
              <w:t>10.2</w:t>
            </w: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color w:val="auto"/>
                <w:w w:val="90"/>
              </w:rPr>
              <w:t>11/09/2021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5"/>
              </w:rPr>
            </w:pPr>
            <w:hyperlink r:id="rId396">
              <w:r>
                <w:rPr>
                  <w:rFonts w:ascii="Arial" w:cs="Arial" w:eastAsia="Arial" w:hAnsi="Arial"/>
                  <w:sz w:val="14"/>
                  <w:szCs w:val="14"/>
                  <w:color w:val="0000FF"/>
                  <w:w w:val="95"/>
                </w:rPr>
                <w:t>between the Registrant and AP Services, LLC</w:t>
              </w:r>
            </w:hyperlink>
          </w:p>
        </w:tc>
        <w:tc>
          <w:tcPr>
            <w:tcW w:w="940" w:type="dxa"/>
            <w:vAlign w:val="bottom"/>
            <w:tcBorders>
              <w:top w:val="single" w:sz="8" w:color="0000FF"/>
            </w:tcBorders>
            <w:gridSpan w:val="7"/>
          </w:tcPr>
          <w:p>
            <w:pPr>
              <w:spacing w:after="0"/>
              <w:rPr>
                <w:sz w:val="11"/>
                <w:szCs w:val="11"/>
                <w:color w:val="auto"/>
              </w:rPr>
            </w:pPr>
          </w:p>
        </w:tc>
        <w:tc>
          <w:tcPr>
            <w:tcW w:w="180" w:type="dxa"/>
            <w:vAlign w:val="bottom"/>
            <w:gridSpan w:val="3"/>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21.1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0000FF"/>
            </w:tcBorders>
            <w:gridSpan w:val="2"/>
          </w:tcPr>
          <w:p>
            <w:pPr>
              <w:spacing w:after="0"/>
              <w:rPr>
                <w:rFonts w:ascii="Arial" w:cs="Arial" w:eastAsia="Arial" w:hAnsi="Arial"/>
                <w:sz w:val="15"/>
                <w:szCs w:val="15"/>
                <w:color w:val="0000FF"/>
                <w:w w:val="90"/>
              </w:rPr>
            </w:pPr>
            <w:hyperlink r:id="rId397">
              <w:r>
                <w:rPr>
                  <w:rFonts w:ascii="Arial" w:cs="Arial" w:eastAsia="Arial" w:hAnsi="Arial"/>
                  <w:sz w:val="15"/>
                  <w:szCs w:val="15"/>
                  <w:color w:val="0000FF"/>
                  <w:w w:val="90"/>
                </w:rPr>
                <w:t>List of Subsidiaries</w:t>
              </w:r>
            </w:hyperlink>
          </w:p>
        </w:tc>
        <w:tc>
          <w:tcPr>
            <w:tcW w:w="2700" w:type="dxa"/>
            <w:vAlign w:val="bottom"/>
            <w:gridSpan w:val="16"/>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8-K</w:t>
            </w:r>
          </w:p>
        </w:tc>
        <w:tc>
          <w:tcPr>
            <w:tcW w:w="1180" w:type="dxa"/>
            <w:vAlign w:val="bottom"/>
          </w:tcPr>
          <w:p>
            <w:pPr>
              <w:jc w:val="center"/>
              <w:spacing w:after="0"/>
              <w:rPr>
                <w:sz w:val="20"/>
                <w:szCs w:val="20"/>
                <w:color w:val="auto"/>
              </w:rPr>
            </w:pPr>
            <w:r>
              <w:rPr>
                <w:rFonts w:ascii="Arial" w:cs="Arial" w:eastAsia="Arial" w:hAnsi="Arial"/>
                <w:sz w:val="15"/>
                <w:szCs w:val="15"/>
                <w:color w:val="auto"/>
                <w:w w:val="89"/>
              </w:rPr>
              <w:t>001-39252</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88"/>
              </w:rPr>
              <w:t>21.1</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9"/>
              </w:rPr>
              <w:t>1/12/2021</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bottom w:val="single" w:sz="8" w:color="0000FF"/>
            </w:tcBorders>
            <w:gridSpan w:val="4"/>
          </w:tcPr>
          <w:p>
            <w:pPr>
              <w:spacing w:after="0"/>
              <w:rPr>
                <w:rFonts w:ascii="Arial" w:cs="Arial" w:eastAsia="Arial" w:hAnsi="Arial"/>
                <w:sz w:val="15"/>
                <w:szCs w:val="15"/>
                <w:color w:val="0000FF"/>
                <w:w w:val="91"/>
              </w:rPr>
            </w:pPr>
            <w:hyperlink w:anchor="page318">
              <w:r>
                <w:rPr>
                  <w:rFonts w:ascii="Arial" w:cs="Arial" w:eastAsia="Arial" w:hAnsi="Arial"/>
                  <w:sz w:val="15"/>
                  <w:szCs w:val="15"/>
                  <w:color w:val="0000FF"/>
                  <w:w w:val="91"/>
                </w:rPr>
                <w:t>Consent of Ernst &amp; Young LLP</w:t>
              </w:r>
            </w:hyperlink>
          </w:p>
        </w:tc>
        <w:tc>
          <w:tcPr>
            <w:tcW w:w="1980" w:type="dxa"/>
            <w:vAlign w:val="bottom"/>
            <w:gridSpan w:val="14"/>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78"/>
        </w:trPr>
        <w:tc>
          <w:tcPr>
            <w:tcW w:w="1040" w:type="dxa"/>
            <w:vAlign w:val="bottom"/>
            <w:vMerge w:val="restart"/>
          </w:tcPr>
          <w:p>
            <w:pPr>
              <w:ind w:left="20"/>
              <w:spacing w:after="0"/>
              <w:rPr>
                <w:sz w:val="20"/>
                <w:szCs w:val="20"/>
                <w:color w:val="auto"/>
              </w:rPr>
            </w:pPr>
            <w:r>
              <w:rPr>
                <w:rFonts w:ascii="Arial" w:cs="Arial" w:eastAsia="Arial" w:hAnsi="Arial"/>
                <w:sz w:val="15"/>
                <w:szCs w:val="15"/>
                <w:color w:val="auto"/>
              </w:rPr>
              <w:t>23.2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rPr>
            </w:pPr>
            <w:hyperlink w:anchor="page316">
              <w:r>
                <w:rPr>
                  <w:rFonts w:ascii="Arial" w:cs="Arial" w:eastAsia="Arial" w:hAnsi="Arial"/>
                  <w:sz w:val="15"/>
                  <w:szCs w:val="15"/>
                  <w:color w:val="0000FF"/>
                </w:rPr>
                <w:t>Consent of Orrick, Herrington &amp; Sutcliffe LLP (included in</w:t>
              </w:r>
            </w:hyperlink>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w:anchor="page316">
              <w:r>
                <w:rPr>
                  <w:rFonts w:ascii="Arial" w:cs="Arial" w:eastAsia="Arial" w:hAnsi="Arial"/>
                  <w:sz w:val="14"/>
                  <w:szCs w:val="14"/>
                  <w:color w:val="0000FF"/>
                </w:rPr>
                <w:t>Exhibit 5.1)</w:t>
              </w:r>
            </w:hyperlink>
          </w:p>
        </w:tc>
        <w:tc>
          <w:tcPr>
            <w:tcW w:w="320" w:type="dxa"/>
            <w:vAlign w:val="bottom"/>
            <w:gridSpan w:val="6"/>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40" w:type="dxa"/>
            <w:vAlign w:val="bottom"/>
          </w:tcPr>
          <w:p>
            <w:pPr>
              <w:ind w:left="20"/>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18"/>
          </w:tcPr>
          <w:p>
            <w:pPr>
              <w:spacing w:after="0"/>
              <w:rPr>
                <w:rFonts w:ascii="Arial" w:cs="Arial" w:eastAsia="Arial" w:hAnsi="Arial"/>
                <w:sz w:val="15"/>
                <w:szCs w:val="15"/>
                <w:color w:val="0000FF"/>
              </w:rPr>
            </w:pPr>
            <w:hyperlink w:anchor="page274">
              <w:r>
                <w:rPr>
                  <w:rFonts w:ascii="Arial" w:cs="Arial" w:eastAsia="Arial" w:hAnsi="Arial"/>
                  <w:sz w:val="15"/>
                  <w:szCs w:val="15"/>
                  <w:color w:val="0000FF"/>
                </w:rPr>
                <w:t>Power of Attorney (included on signature page)</w:t>
              </w:r>
            </w:hyperlink>
            <w:r>
              <w:rPr>
                <w:rFonts w:ascii="Arial" w:cs="Arial" w:eastAsia="Arial" w:hAnsi="Arial"/>
                <w:sz w:val="15"/>
                <w:szCs w:val="15"/>
                <w:color w:val="000000"/>
              </w:rPr>
              <w:t>.</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Arial" w:cs="Arial" w:eastAsia="Arial" w:hAnsi="Arial"/>
                <w:sz w:val="15"/>
                <w:szCs w:val="15"/>
                <w:color w:val="auto"/>
              </w:rPr>
              <w:t>101.INS</w:t>
            </w:r>
          </w:p>
        </w:tc>
        <w:tc>
          <w:tcPr>
            <w:tcW w:w="20" w:type="dxa"/>
            <w:vAlign w:val="bottom"/>
          </w:tcPr>
          <w:p>
            <w:pPr>
              <w:spacing w:after="0"/>
              <w:rPr>
                <w:sz w:val="18"/>
                <w:szCs w:val="18"/>
                <w:color w:val="auto"/>
              </w:rPr>
            </w:pPr>
          </w:p>
        </w:tc>
        <w:tc>
          <w:tcPr>
            <w:tcW w:w="2840" w:type="dxa"/>
            <w:vAlign w:val="bottom"/>
            <w:tcBorders>
              <w:top w:val="single" w:sz="8" w:color="0000FF"/>
            </w:tcBorders>
            <w:gridSpan w:val="11"/>
          </w:tcPr>
          <w:p>
            <w:pPr>
              <w:spacing w:after="0"/>
              <w:rPr>
                <w:sz w:val="20"/>
                <w:szCs w:val="20"/>
                <w:color w:val="auto"/>
              </w:rPr>
            </w:pPr>
            <w:r>
              <w:rPr>
                <w:rFonts w:ascii="Arial" w:cs="Arial" w:eastAsia="Arial" w:hAnsi="Arial"/>
                <w:sz w:val="15"/>
                <w:szCs w:val="15"/>
                <w:color w:val="auto"/>
              </w:rPr>
              <w:t>XBRL Instance Document</w:t>
            </w:r>
          </w:p>
        </w:tc>
        <w:tc>
          <w:tcPr>
            <w:tcW w:w="1020" w:type="dxa"/>
            <w:vAlign w:val="bottom"/>
            <w:gridSpan w:val="7"/>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98"/>
        </w:trPr>
        <w:tc>
          <w:tcPr>
            <w:tcW w:w="1120" w:type="dxa"/>
            <w:vAlign w:val="bottom"/>
            <w:gridSpan w:val="2"/>
          </w:tcPr>
          <w:p>
            <w:pPr>
              <w:ind w:left="20"/>
              <w:spacing w:after="0"/>
              <w:rPr>
                <w:sz w:val="20"/>
                <w:szCs w:val="20"/>
                <w:color w:val="auto"/>
              </w:rPr>
            </w:pPr>
            <w:r>
              <w:rPr>
                <w:rFonts w:ascii="Arial" w:cs="Arial" w:eastAsia="Arial" w:hAnsi="Arial"/>
                <w:sz w:val="15"/>
                <w:szCs w:val="15"/>
                <w:color w:val="auto"/>
              </w:rPr>
              <w:t>101.SCH</w:t>
            </w:r>
          </w:p>
        </w:tc>
        <w:tc>
          <w:tcPr>
            <w:tcW w:w="20" w:type="dxa"/>
            <w:vAlign w:val="bottom"/>
          </w:tcPr>
          <w:p>
            <w:pPr>
              <w:spacing w:after="0"/>
              <w:rPr>
                <w:sz w:val="17"/>
                <w:szCs w:val="17"/>
                <w:color w:val="auto"/>
              </w:rPr>
            </w:pPr>
          </w:p>
        </w:tc>
        <w:tc>
          <w:tcPr>
            <w:tcW w:w="3860" w:type="dxa"/>
            <w:vAlign w:val="bottom"/>
            <w:gridSpan w:val="18"/>
          </w:tcPr>
          <w:p>
            <w:pPr>
              <w:spacing w:after="0"/>
              <w:rPr>
                <w:sz w:val="20"/>
                <w:szCs w:val="20"/>
                <w:color w:val="auto"/>
              </w:rPr>
            </w:pPr>
            <w:r>
              <w:rPr>
                <w:rFonts w:ascii="Arial" w:cs="Arial" w:eastAsia="Arial" w:hAnsi="Arial"/>
                <w:sz w:val="15"/>
                <w:szCs w:val="15"/>
                <w:color w:val="auto"/>
              </w:rPr>
              <w:t>XBRL Taxonomy Extension Schema Document</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98"/>
        </w:trPr>
        <w:tc>
          <w:tcPr>
            <w:tcW w:w="1120" w:type="dxa"/>
            <w:vAlign w:val="bottom"/>
            <w:gridSpan w:val="2"/>
          </w:tcPr>
          <w:p>
            <w:pPr>
              <w:ind w:left="20"/>
              <w:spacing w:after="0"/>
              <w:rPr>
                <w:sz w:val="20"/>
                <w:szCs w:val="20"/>
                <w:color w:val="auto"/>
              </w:rPr>
            </w:pPr>
            <w:r>
              <w:rPr>
                <w:rFonts w:ascii="Arial" w:cs="Arial" w:eastAsia="Arial" w:hAnsi="Arial"/>
                <w:sz w:val="15"/>
                <w:szCs w:val="15"/>
                <w:color w:val="auto"/>
              </w:rPr>
              <w:t>101.CAL</w:t>
            </w:r>
          </w:p>
        </w:tc>
        <w:tc>
          <w:tcPr>
            <w:tcW w:w="20" w:type="dxa"/>
            <w:vAlign w:val="bottom"/>
          </w:tcPr>
          <w:p>
            <w:pPr>
              <w:spacing w:after="0"/>
              <w:rPr>
                <w:sz w:val="17"/>
                <w:szCs w:val="17"/>
                <w:color w:val="auto"/>
              </w:rPr>
            </w:pPr>
          </w:p>
        </w:tc>
        <w:tc>
          <w:tcPr>
            <w:tcW w:w="3860" w:type="dxa"/>
            <w:vAlign w:val="bottom"/>
            <w:gridSpan w:val="18"/>
          </w:tcPr>
          <w:p>
            <w:pPr>
              <w:spacing w:after="0"/>
              <w:rPr>
                <w:sz w:val="20"/>
                <w:szCs w:val="20"/>
                <w:color w:val="auto"/>
              </w:rPr>
            </w:pPr>
            <w:r>
              <w:rPr>
                <w:rFonts w:ascii="Arial" w:cs="Arial" w:eastAsia="Arial" w:hAnsi="Arial"/>
                <w:sz w:val="15"/>
                <w:szCs w:val="15"/>
                <w:color w:val="auto"/>
                <w:w w:val="96"/>
              </w:rPr>
              <w:t>XBRL Taxonomy Extension Calculation Linkbase Document</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98"/>
        </w:trPr>
        <w:tc>
          <w:tcPr>
            <w:tcW w:w="1120" w:type="dxa"/>
            <w:vAlign w:val="bottom"/>
            <w:gridSpan w:val="2"/>
          </w:tcPr>
          <w:p>
            <w:pPr>
              <w:ind w:left="20"/>
              <w:spacing w:after="0"/>
              <w:rPr>
                <w:sz w:val="20"/>
                <w:szCs w:val="20"/>
                <w:color w:val="auto"/>
              </w:rPr>
            </w:pPr>
            <w:r>
              <w:rPr>
                <w:rFonts w:ascii="Arial" w:cs="Arial" w:eastAsia="Arial" w:hAnsi="Arial"/>
                <w:sz w:val="15"/>
                <w:szCs w:val="15"/>
                <w:color w:val="auto"/>
              </w:rPr>
              <w:t>101.DEF</w:t>
            </w:r>
          </w:p>
        </w:tc>
        <w:tc>
          <w:tcPr>
            <w:tcW w:w="20" w:type="dxa"/>
            <w:vAlign w:val="bottom"/>
          </w:tcPr>
          <w:p>
            <w:pPr>
              <w:spacing w:after="0"/>
              <w:rPr>
                <w:sz w:val="17"/>
                <w:szCs w:val="17"/>
                <w:color w:val="auto"/>
              </w:rPr>
            </w:pPr>
          </w:p>
        </w:tc>
        <w:tc>
          <w:tcPr>
            <w:tcW w:w="3860" w:type="dxa"/>
            <w:vAlign w:val="bottom"/>
            <w:gridSpan w:val="18"/>
          </w:tcPr>
          <w:p>
            <w:pPr>
              <w:spacing w:after="0"/>
              <w:rPr>
                <w:sz w:val="20"/>
                <w:szCs w:val="20"/>
                <w:color w:val="auto"/>
              </w:rPr>
            </w:pPr>
            <w:r>
              <w:rPr>
                <w:rFonts w:ascii="Arial" w:cs="Arial" w:eastAsia="Arial" w:hAnsi="Arial"/>
                <w:sz w:val="15"/>
                <w:szCs w:val="15"/>
                <w:color w:val="auto"/>
                <w:w w:val="99"/>
              </w:rPr>
              <w:t>XBRL Taxonomy Extension Definition Linkbase Document</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98"/>
        </w:trPr>
        <w:tc>
          <w:tcPr>
            <w:tcW w:w="1120" w:type="dxa"/>
            <w:vAlign w:val="bottom"/>
            <w:gridSpan w:val="2"/>
          </w:tcPr>
          <w:p>
            <w:pPr>
              <w:ind w:left="20"/>
              <w:spacing w:after="0"/>
              <w:rPr>
                <w:sz w:val="20"/>
                <w:szCs w:val="20"/>
                <w:color w:val="auto"/>
              </w:rPr>
            </w:pPr>
            <w:r>
              <w:rPr>
                <w:rFonts w:ascii="Arial" w:cs="Arial" w:eastAsia="Arial" w:hAnsi="Arial"/>
                <w:sz w:val="15"/>
                <w:szCs w:val="15"/>
                <w:color w:val="auto"/>
              </w:rPr>
              <w:t>101.LAB</w:t>
            </w:r>
          </w:p>
        </w:tc>
        <w:tc>
          <w:tcPr>
            <w:tcW w:w="20" w:type="dxa"/>
            <w:vAlign w:val="bottom"/>
          </w:tcPr>
          <w:p>
            <w:pPr>
              <w:spacing w:after="0"/>
              <w:rPr>
                <w:sz w:val="17"/>
                <w:szCs w:val="17"/>
                <w:color w:val="auto"/>
              </w:rPr>
            </w:pPr>
          </w:p>
        </w:tc>
        <w:tc>
          <w:tcPr>
            <w:tcW w:w="3860" w:type="dxa"/>
            <w:vAlign w:val="bottom"/>
            <w:gridSpan w:val="18"/>
          </w:tcPr>
          <w:p>
            <w:pPr>
              <w:spacing w:after="0"/>
              <w:rPr>
                <w:sz w:val="20"/>
                <w:szCs w:val="20"/>
                <w:color w:val="auto"/>
              </w:rPr>
            </w:pPr>
            <w:r>
              <w:rPr>
                <w:rFonts w:ascii="Arial" w:cs="Arial" w:eastAsia="Arial" w:hAnsi="Arial"/>
                <w:sz w:val="15"/>
                <w:szCs w:val="15"/>
                <w:color w:val="auto"/>
              </w:rPr>
              <w:t>XBRL Taxonomy Extension Label Linkbase Document</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98"/>
        </w:trPr>
        <w:tc>
          <w:tcPr>
            <w:tcW w:w="1120" w:type="dxa"/>
            <w:vAlign w:val="bottom"/>
            <w:gridSpan w:val="2"/>
          </w:tcPr>
          <w:p>
            <w:pPr>
              <w:ind w:left="20"/>
              <w:spacing w:after="0"/>
              <w:rPr>
                <w:sz w:val="20"/>
                <w:szCs w:val="20"/>
                <w:color w:val="auto"/>
              </w:rPr>
            </w:pPr>
            <w:r>
              <w:rPr>
                <w:rFonts w:ascii="Arial" w:cs="Arial" w:eastAsia="Arial" w:hAnsi="Arial"/>
                <w:sz w:val="15"/>
                <w:szCs w:val="15"/>
                <w:color w:val="auto"/>
              </w:rPr>
              <w:t>101.PRE</w:t>
            </w:r>
          </w:p>
        </w:tc>
        <w:tc>
          <w:tcPr>
            <w:tcW w:w="20" w:type="dxa"/>
            <w:vAlign w:val="bottom"/>
          </w:tcPr>
          <w:p>
            <w:pPr>
              <w:spacing w:after="0"/>
              <w:rPr>
                <w:sz w:val="17"/>
                <w:szCs w:val="17"/>
                <w:color w:val="auto"/>
              </w:rPr>
            </w:pPr>
          </w:p>
        </w:tc>
        <w:tc>
          <w:tcPr>
            <w:tcW w:w="3860" w:type="dxa"/>
            <w:vAlign w:val="bottom"/>
            <w:gridSpan w:val="18"/>
          </w:tcPr>
          <w:p>
            <w:pPr>
              <w:spacing w:after="0"/>
              <w:rPr>
                <w:sz w:val="20"/>
                <w:szCs w:val="20"/>
                <w:color w:val="auto"/>
              </w:rPr>
            </w:pPr>
            <w:r>
              <w:rPr>
                <w:rFonts w:ascii="Arial" w:cs="Arial" w:eastAsia="Arial" w:hAnsi="Arial"/>
                <w:sz w:val="15"/>
                <w:szCs w:val="15"/>
                <w:color w:val="auto"/>
                <w:w w:val="93"/>
              </w:rPr>
              <w:t>XBRL Taxonomy Extension Presentation Linkbase Document</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w:t>
      </w:r>
    </w:p>
    <w:p>
      <w:pPr>
        <w:spacing w:after="0" w:line="9" w:lineRule="exact"/>
        <w:rPr>
          <w:sz w:val="20"/>
          <w:szCs w:val="20"/>
          <w:color w:val="auto"/>
        </w:rPr>
      </w:pPr>
    </w:p>
    <w:p>
      <w:pPr>
        <w:ind w:left="301" w:right="300" w:hanging="301"/>
        <w:spacing w:after="0" w:line="247" w:lineRule="auto"/>
        <w:tabs>
          <w:tab w:leader="none" w:pos="293" w:val="left"/>
        </w:tabs>
        <w:numPr>
          <w:ilvl w:val="0"/>
          <w:numId w:val="143"/>
        </w:numPr>
        <w:rPr>
          <w:rFonts w:ascii="Arial" w:cs="Arial" w:eastAsia="Arial" w:hAnsi="Arial"/>
          <w:sz w:val="13"/>
          <w:szCs w:val="13"/>
          <w:color w:val="auto"/>
        </w:rPr>
      </w:pPr>
      <w:r>
        <w:rPr>
          <w:rFonts w:ascii="Arial" w:cs="Arial" w:eastAsia="Arial" w:hAnsi="Arial"/>
          <w:sz w:val="13"/>
          <w:szCs w:val="13"/>
          <w:color w:val="auto"/>
        </w:rPr>
        <w:t>Schedules to this exhibit have been omitted in accordance with Regulation S-K Item 601(b)(2). The registrant hereby agrees to furnish supplementally a copy of any omitted schedule to the SEC upon its request.</w:t>
      </w:r>
    </w:p>
    <w:p>
      <w:pPr>
        <w:spacing w:after="0" w:line="3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17. Undertakings.</w:t>
      </w:r>
    </w:p>
    <w:p>
      <w:pPr>
        <w:spacing w:after="0" w:line="16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The undersigned registrant hereby undertakes:</w:t>
      </w:r>
    </w:p>
    <w:p>
      <w:pPr>
        <w:spacing w:after="0" w:line="162" w:lineRule="exact"/>
        <w:rPr>
          <w:sz w:val="20"/>
          <w:szCs w:val="20"/>
          <w:color w:val="auto"/>
        </w:rPr>
      </w:pPr>
    </w:p>
    <w:p>
      <w:pPr>
        <w:ind w:left="601" w:right="20" w:hanging="304"/>
        <w:spacing w:after="0" w:line="268" w:lineRule="auto"/>
        <w:tabs>
          <w:tab w:leader="none" w:pos="59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18" w:lineRule="exact"/>
        <w:rPr>
          <w:sz w:val="20"/>
          <w:szCs w:val="20"/>
          <w:color w:val="auto"/>
        </w:rPr>
      </w:pPr>
    </w:p>
    <w:p>
      <w:pPr>
        <w:ind w:left="1" w:right="40" w:firstLine="297"/>
        <w:spacing w:after="0" w:line="268" w:lineRule="auto"/>
        <w:rPr>
          <w:sz w:val="20"/>
          <w:szCs w:val="20"/>
          <w:color w:val="auto"/>
        </w:rPr>
      </w:pPr>
      <w:r>
        <w:rPr>
          <w:rFonts w:ascii="Arial" w:cs="Arial" w:eastAsia="Arial" w:hAnsi="Arial"/>
          <w:sz w:val="16"/>
          <w:szCs w:val="16"/>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69150"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440" w:right="339" w:bottom="1440" w:gutter="0" w:footer="0" w:header="0"/>
        </w:sectPr>
      </w:pPr>
    </w:p>
    <w:bookmarkStart w:id="273" w:name="page274"/>
    <w:bookmarkEnd w:id="273"/>
    <w:p>
      <w:pPr>
        <w:spacing w:after="0" w:line="2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18" w:lineRule="exact"/>
        <w:rPr>
          <w:sz w:val="20"/>
          <w:szCs w:val="20"/>
          <w:color w:val="auto"/>
        </w:rPr>
      </w:pPr>
    </w:p>
    <w:p>
      <w:pPr>
        <w:ind w:left="600" w:hanging="304"/>
        <w:spacing w:after="0" w:line="325" w:lineRule="auto"/>
        <w:tabs>
          <w:tab w:leader="none" w:pos="59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Arial" w:cs="Arial" w:eastAsia="Arial" w:hAnsi="Arial"/>
          <w:sz w:val="15"/>
          <w:szCs w:val="15"/>
          <w:color w:val="auto"/>
        </w:rPr>
      </w:pPr>
    </w:p>
    <w:p>
      <w:pPr>
        <w:ind w:left="580" w:hanging="284"/>
        <w:spacing w:after="0"/>
        <w:tabs>
          <w:tab w:leader="none" w:pos="5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73" w:lineRule="exact"/>
        <w:rPr>
          <w:rFonts w:ascii="Arial" w:cs="Arial" w:eastAsia="Arial" w:hAnsi="Arial"/>
          <w:sz w:val="15"/>
          <w:szCs w:val="15"/>
          <w:color w:val="auto"/>
        </w:rPr>
      </w:pPr>
    </w:p>
    <w:p>
      <w:pPr>
        <w:ind w:left="580" w:hanging="284"/>
        <w:spacing w:after="0"/>
        <w:tabs>
          <w:tab w:leader="none" w:pos="5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w:t>
      </w:r>
    </w:p>
    <w:p>
      <w:pPr>
        <w:spacing w:after="0" w:line="162" w:lineRule="exact"/>
        <w:rPr>
          <w:sz w:val="20"/>
          <w:szCs w:val="20"/>
          <w:color w:val="auto"/>
        </w:rPr>
      </w:pPr>
    </w:p>
    <w:p>
      <w:pPr>
        <w:ind w:right="120" w:firstLine="297"/>
        <w:spacing w:after="0" w:line="264" w:lineRule="auto"/>
        <w:rPr>
          <w:sz w:val="20"/>
          <w:szCs w:val="20"/>
          <w:color w:val="auto"/>
        </w:rPr>
      </w:pPr>
      <w:r>
        <w:rPr>
          <w:rFonts w:ascii="Arial" w:cs="Arial" w:eastAsia="Arial" w:hAnsi="Arial"/>
          <w:sz w:val="16"/>
          <w:szCs w:val="16"/>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21" w:lineRule="exact"/>
        <w:rPr>
          <w:sz w:val="20"/>
          <w:szCs w:val="20"/>
          <w:color w:val="auto"/>
        </w:rPr>
      </w:pPr>
    </w:p>
    <w:p>
      <w:pPr>
        <w:ind w:left="600" w:right="60" w:hanging="304"/>
        <w:spacing w:after="0" w:line="292" w:lineRule="auto"/>
        <w:tabs>
          <w:tab w:leader="none" w:pos="594"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0" w:lineRule="exact"/>
        <w:rPr>
          <w:sz w:val="20"/>
          <w:szCs w:val="20"/>
          <w:color w:val="auto"/>
        </w:rPr>
      </w:pPr>
    </w:p>
    <w:p>
      <w:pPr>
        <w:ind w:left="580" w:hanging="284"/>
        <w:spacing w:after="0"/>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62" w:lineRule="exact"/>
        <w:rPr>
          <w:rFonts w:ascii="Arial" w:cs="Arial" w:eastAsia="Arial" w:hAnsi="Arial"/>
          <w:sz w:val="16"/>
          <w:szCs w:val="16"/>
          <w:color w:val="auto"/>
        </w:rPr>
      </w:pPr>
    </w:p>
    <w:p>
      <w:pPr>
        <w:ind w:left="580" w:hanging="284"/>
        <w:spacing w:after="0"/>
        <w:tabs>
          <w:tab w:leader="none" w:pos="5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173" w:lineRule="exact"/>
        <w:rPr>
          <w:rFonts w:ascii="Arial" w:cs="Arial" w:eastAsia="Arial" w:hAnsi="Arial"/>
          <w:sz w:val="15"/>
          <w:szCs w:val="15"/>
          <w:color w:val="auto"/>
        </w:rPr>
      </w:pPr>
    </w:p>
    <w:p>
      <w:pPr>
        <w:ind w:left="600" w:right="40" w:hanging="304"/>
        <w:spacing w:after="0" w:line="290" w:lineRule="auto"/>
        <w:tabs>
          <w:tab w:leader="none" w:pos="59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an undersigned registrant; and</w:t>
      </w:r>
    </w:p>
    <w:p>
      <w:pPr>
        <w:spacing w:after="0" w:line="99" w:lineRule="exact"/>
        <w:rPr>
          <w:rFonts w:ascii="Arial" w:cs="Arial" w:eastAsia="Arial" w:hAnsi="Arial"/>
          <w:sz w:val="16"/>
          <w:szCs w:val="16"/>
          <w:color w:val="auto"/>
        </w:rPr>
      </w:pPr>
    </w:p>
    <w:p>
      <w:pPr>
        <w:ind w:left="580" w:hanging="284"/>
        <w:spacing w:after="0"/>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162" w:lineRule="exact"/>
        <w:rPr>
          <w:sz w:val="20"/>
          <w:szCs w:val="20"/>
          <w:color w:val="auto"/>
        </w:rPr>
      </w:pPr>
    </w:p>
    <w:p>
      <w:pPr>
        <w:ind w:right="20" w:firstLine="297"/>
        <w:spacing w:after="0" w:line="283"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6" w:lineRule="exact"/>
        <w:rPr>
          <w:sz w:val="20"/>
          <w:szCs w:val="20"/>
          <w:color w:val="auto"/>
        </w:rPr>
      </w:pPr>
    </w:p>
    <w:p>
      <w:pPr>
        <w:ind w:right="300" w:firstLine="297"/>
        <w:spacing w:after="0" w:line="290"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Franklin, State of Tennessee, on November 15, 2021.</w:t>
      </w:r>
    </w:p>
    <w:p>
      <w:pPr>
        <w:spacing w:after="0" w:line="137" w:lineRule="exact"/>
        <w:rPr>
          <w:sz w:val="20"/>
          <w:szCs w:val="20"/>
          <w:color w:val="auto"/>
        </w:rPr>
      </w:pPr>
    </w:p>
    <w:p>
      <w:pPr>
        <w:ind w:left="5400"/>
        <w:spacing w:after="0"/>
        <w:rPr>
          <w:sz w:val="20"/>
          <w:szCs w:val="20"/>
          <w:color w:val="auto"/>
        </w:rPr>
      </w:pPr>
      <w:r>
        <w:rPr>
          <w:rFonts w:ascii="Arial" w:cs="Arial" w:eastAsia="Arial" w:hAnsi="Arial"/>
          <w:sz w:val="15"/>
          <w:szCs w:val="15"/>
          <w:b w:val="1"/>
          <w:bCs w:val="1"/>
          <w:color w:val="auto"/>
        </w:rPr>
        <w:t>CLOVER HEALTH INVESTMENTS, CORP.</w:t>
      </w:r>
    </w:p>
    <w:p>
      <w:pPr>
        <w:spacing w:after="0" w:line="277"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13335</wp:posOffset>
            </wp:positionV>
            <wp:extent cx="341503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Vivek Garipalli</w:t>
      </w:r>
    </w:p>
    <w:p>
      <w:pPr>
        <w:spacing w:after="0" w:line="25" w:lineRule="exact"/>
        <w:rPr>
          <w:sz w:val="20"/>
          <w:szCs w:val="20"/>
          <w:color w:val="auto"/>
        </w:rPr>
      </w:pPr>
    </w:p>
    <w:p>
      <w:pPr>
        <w:ind w:left="5880"/>
        <w:spacing w:after="0"/>
        <w:rPr>
          <w:sz w:val="20"/>
          <w:szCs w:val="20"/>
          <w:color w:val="auto"/>
        </w:rPr>
      </w:pPr>
      <w:r>
        <w:rPr>
          <w:rFonts w:ascii="Arial" w:cs="Arial" w:eastAsia="Arial" w:hAnsi="Arial"/>
          <w:sz w:val="15"/>
          <w:szCs w:val="15"/>
          <w:i w:val="1"/>
          <w:iCs w:val="1"/>
          <w:color w:val="auto"/>
        </w:rPr>
        <w:t>Chief Executive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66"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Vivek Garipalli, Mark C. Herbers, and Gia Lee, and each of them, as his or her true and lawful attorneys-in-fact and agents, each with full power of substitution and resubstitution, for him or her and in his or her name, place and stead, in any and all capacities, to sign any and all amendments, including post- 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161290</wp:posOffset>
            </wp:positionV>
            <wp:extent cx="7169150"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3"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jc w:val="center"/>
              <w:spacing w:after="0"/>
              <w:rPr>
                <w:sz w:val="20"/>
                <w:szCs w:val="20"/>
                <w:color w:val="auto"/>
              </w:rPr>
            </w:pPr>
            <w:r>
              <w:rPr>
                <w:rFonts w:ascii="Arial" w:cs="Arial" w:eastAsia="Arial" w:hAnsi="Arial"/>
                <w:sz w:val="12"/>
                <w:szCs w:val="12"/>
                <w:b w:val="1"/>
                <w:bCs w:val="1"/>
                <w:color w:val="auto"/>
                <w:w w:val="86"/>
              </w:rPr>
              <w:t>Signature</w:t>
            </w:r>
          </w:p>
        </w:tc>
        <w:tc>
          <w:tcPr>
            <w:tcW w:w="4660" w:type="dxa"/>
            <w:vAlign w:val="bottom"/>
          </w:tcPr>
          <w:p>
            <w:pPr>
              <w:jc w:val="center"/>
              <w:spacing w:after="0"/>
              <w:rPr>
                <w:sz w:val="20"/>
                <w:szCs w:val="20"/>
                <w:color w:val="auto"/>
              </w:rPr>
            </w:pPr>
            <w:r>
              <w:rPr>
                <w:rFonts w:ascii="Arial" w:cs="Arial" w:eastAsia="Arial" w:hAnsi="Arial"/>
                <w:sz w:val="12"/>
                <w:szCs w:val="12"/>
                <w:b w:val="1"/>
                <w:bCs w:val="1"/>
                <w:color w:val="auto"/>
                <w:w w:val="97"/>
              </w:rPr>
              <w:t>Title</w:t>
            </w:r>
          </w:p>
        </w:tc>
        <w:tc>
          <w:tcPr>
            <w:tcW w:w="2020" w:type="dxa"/>
            <w:vAlign w:val="bottom"/>
          </w:tcPr>
          <w:p>
            <w:pPr>
              <w:jc w:val="center"/>
              <w:ind w:left="748"/>
              <w:spacing w:after="0"/>
              <w:rPr>
                <w:sz w:val="20"/>
                <w:szCs w:val="20"/>
                <w:color w:val="auto"/>
              </w:rPr>
            </w:pPr>
            <w:r>
              <w:rPr>
                <w:rFonts w:ascii="Arial" w:cs="Arial" w:eastAsia="Arial" w:hAnsi="Arial"/>
                <w:sz w:val="12"/>
                <w:szCs w:val="12"/>
                <w:b w:val="1"/>
                <w:bCs w:val="1"/>
                <w:color w:val="auto"/>
                <w:w w:val="92"/>
              </w:rPr>
              <w:t>Date</w:t>
            </w:r>
          </w:p>
        </w:tc>
      </w:tr>
      <w:tr>
        <w:trPr>
          <w:trHeight w:val="40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Vivek Garipalli</w:t>
            </w:r>
          </w:p>
        </w:tc>
        <w:tc>
          <w:tcPr>
            <w:tcW w:w="4660" w:type="dxa"/>
            <w:vAlign w:val="bottom"/>
          </w:tcPr>
          <w:p>
            <w:pPr>
              <w:jc w:val="center"/>
              <w:spacing w:after="0"/>
              <w:rPr>
                <w:sz w:val="20"/>
                <w:szCs w:val="20"/>
                <w:color w:val="auto"/>
              </w:rPr>
            </w:pPr>
            <w:r>
              <w:rPr>
                <w:rFonts w:ascii="Arial" w:cs="Arial" w:eastAsia="Arial" w:hAnsi="Arial"/>
                <w:sz w:val="15"/>
                <w:szCs w:val="15"/>
                <w:color w:val="auto"/>
                <w:w w:val="92"/>
              </w:rPr>
              <w:t>Chief Executive Officer and 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90"/>
        </w:trPr>
        <w:tc>
          <w:tcPr>
            <w:tcW w:w="3800" w:type="dxa"/>
            <w:vAlign w:val="bottom"/>
          </w:tcPr>
          <w:p>
            <w:pPr>
              <w:jc w:val="center"/>
              <w:spacing w:after="0"/>
              <w:rPr>
                <w:sz w:val="20"/>
                <w:szCs w:val="20"/>
                <w:color w:val="auto"/>
              </w:rPr>
            </w:pPr>
            <w:r>
              <w:rPr>
                <w:rFonts w:ascii="Arial" w:cs="Arial" w:eastAsia="Arial" w:hAnsi="Arial"/>
                <w:sz w:val="15"/>
                <w:szCs w:val="15"/>
                <w:color w:val="auto"/>
                <w:w w:val="95"/>
              </w:rPr>
              <w:t>Vivek Garipalli</w:t>
            </w:r>
          </w:p>
        </w:tc>
        <w:tc>
          <w:tcPr>
            <w:tcW w:w="4660" w:type="dxa"/>
            <w:vAlign w:val="bottom"/>
          </w:tcPr>
          <w:p>
            <w:pPr>
              <w:jc w:val="center"/>
              <w:spacing w:after="0"/>
              <w:rPr>
                <w:sz w:val="20"/>
                <w:szCs w:val="20"/>
                <w:color w:val="auto"/>
              </w:rPr>
            </w:pPr>
            <w:r>
              <w:rPr>
                <w:rFonts w:ascii="Arial" w:cs="Arial" w:eastAsia="Arial" w:hAnsi="Arial"/>
                <w:sz w:val="15"/>
                <w:szCs w:val="15"/>
                <w:i w:val="1"/>
                <w:iCs w:val="1"/>
                <w:color w:val="auto"/>
                <w:w w:val="92"/>
              </w:rPr>
              <w:t>(Principal Executive Officer)</w:t>
            </w:r>
          </w:p>
        </w:tc>
        <w:tc>
          <w:tcPr>
            <w:tcW w:w="2020" w:type="dxa"/>
            <w:vAlign w:val="bottom"/>
          </w:tcPr>
          <w:p>
            <w:pPr>
              <w:spacing w:after="0"/>
              <w:rPr>
                <w:sz w:val="16"/>
                <w:szCs w:val="16"/>
                <w:color w:val="auto"/>
              </w:rPr>
            </w:pPr>
          </w:p>
        </w:tc>
      </w:tr>
      <w:tr>
        <w:trPr>
          <w:trHeight w:val="433"/>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/s/ Mark C. Herbers</w:t>
            </w:r>
          </w:p>
        </w:tc>
        <w:tc>
          <w:tcPr>
            <w:tcW w:w="4660" w:type="dxa"/>
            <w:vAlign w:val="bottom"/>
          </w:tcPr>
          <w:p>
            <w:pPr>
              <w:jc w:val="center"/>
              <w:spacing w:after="0"/>
              <w:rPr>
                <w:sz w:val="20"/>
                <w:szCs w:val="20"/>
                <w:color w:val="auto"/>
              </w:rPr>
            </w:pPr>
            <w:r>
              <w:rPr>
                <w:rFonts w:ascii="Arial" w:cs="Arial" w:eastAsia="Arial" w:hAnsi="Arial"/>
                <w:sz w:val="15"/>
                <w:szCs w:val="15"/>
                <w:color w:val="auto"/>
                <w:w w:val="93"/>
              </w:rPr>
              <w:t>Interim Chief Financial Officer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90"/>
        </w:trPr>
        <w:tc>
          <w:tcPr>
            <w:tcW w:w="3800" w:type="dxa"/>
            <w:vAlign w:val="bottom"/>
          </w:tcPr>
          <w:p>
            <w:pPr>
              <w:jc w:val="center"/>
              <w:spacing w:after="0"/>
              <w:rPr>
                <w:sz w:val="20"/>
                <w:szCs w:val="20"/>
                <w:color w:val="auto"/>
              </w:rPr>
            </w:pPr>
            <w:r>
              <w:rPr>
                <w:rFonts w:ascii="Arial" w:cs="Arial" w:eastAsia="Arial" w:hAnsi="Arial"/>
                <w:sz w:val="15"/>
                <w:szCs w:val="15"/>
                <w:color w:val="auto"/>
                <w:w w:val="90"/>
              </w:rPr>
              <w:t>Mark C. Herbers</w:t>
            </w:r>
          </w:p>
        </w:tc>
        <w:tc>
          <w:tcPr>
            <w:tcW w:w="4660" w:type="dxa"/>
            <w:vAlign w:val="bottom"/>
          </w:tcPr>
          <w:p>
            <w:pPr>
              <w:jc w:val="center"/>
              <w:ind w:left="7"/>
              <w:spacing w:after="0"/>
              <w:rPr>
                <w:sz w:val="20"/>
                <w:szCs w:val="20"/>
                <w:color w:val="auto"/>
              </w:rPr>
            </w:pPr>
            <w:r>
              <w:rPr>
                <w:rFonts w:ascii="Arial" w:cs="Arial" w:eastAsia="Arial" w:hAnsi="Arial"/>
                <w:sz w:val="15"/>
                <w:szCs w:val="15"/>
                <w:i w:val="1"/>
                <w:iCs w:val="1"/>
                <w:color w:val="auto"/>
                <w:w w:val="93"/>
              </w:rPr>
              <w:t>(Principal Financial and Accounting Officer)</w:t>
            </w:r>
          </w:p>
        </w:tc>
        <w:tc>
          <w:tcPr>
            <w:tcW w:w="2020" w:type="dxa"/>
            <w:vAlign w:val="bottom"/>
          </w:tcPr>
          <w:p>
            <w:pPr>
              <w:spacing w:after="0"/>
              <w:rPr>
                <w:sz w:val="16"/>
                <w:szCs w:val="16"/>
                <w:color w:val="auto"/>
              </w:rPr>
            </w:pPr>
          </w:p>
        </w:tc>
      </w:tr>
      <w:tr>
        <w:trPr>
          <w:trHeight w:val="398"/>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Andrew Toy</w:t>
            </w:r>
          </w:p>
        </w:tc>
        <w:tc>
          <w:tcPr>
            <w:tcW w:w="4660" w:type="dxa"/>
            <w:vAlign w:val="bottom"/>
          </w:tcPr>
          <w:p>
            <w:pPr>
              <w:jc w:val="center"/>
              <w:ind w:left="7"/>
              <w:spacing w:after="0"/>
              <w:rPr>
                <w:sz w:val="20"/>
                <w:szCs w:val="20"/>
                <w:color w:val="auto"/>
              </w:rPr>
            </w:pPr>
            <w:r>
              <w:rPr>
                <w:rFonts w:ascii="Arial" w:cs="Arial" w:eastAsia="Arial" w:hAnsi="Arial"/>
                <w:sz w:val="15"/>
                <w:szCs w:val="15"/>
                <w:color w:val="auto"/>
                <w:w w:val="91"/>
              </w:rPr>
              <w:t>President, Chief Technology Officer and 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87"/>
        </w:trPr>
        <w:tc>
          <w:tcPr>
            <w:tcW w:w="3800" w:type="dxa"/>
            <w:vAlign w:val="bottom"/>
          </w:tcPr>
          <w:p>
            <w:pPr>
              <w:jc w:val="center"/>
              <w:spacing w:after="0"/>
              <w:rPr>
                <w:sz w:val="20"/>
                <w:szCs w:val="20"/>
                <w:color w:val="auto"/>
              </w:rPr>
            </w:pPr>
            <w:r>
              <w:rPr>
                <w:rFonts w:ascii="Arial" w:cs="Arial" w:eastAsia="Arial" w:hAnsi="Arial"/>
                <w:sz w:val="15"/>
                <w:szCs w:val="15"/>
                <w:color w:val="auto"/>
                <w:w w:val="92"/>
              </w:rPr>
              <w:t>Andrew Toy</w:t>
            </w:r>
          </w:p>
        </w:tc>
        <w:tc>
          <w:tcPr>
            <w:tcW w:w="46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9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/s/ Chelsea Clinton</w:t>
            </w:r>
          </w:p>
        </w:tc>
        <w:tc>
          <w:tcPr>
            <w:tcW w:w="46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87"/>
        </w:trPr>
        <w:tc>
          <w:tcPr>
            <w:tcW w:w="3800" w:type="dxa"/>
            <w:vAlign w:val="bottom"/>
          </w:tcPr>
          <w:p>
            <w:pPr>
              <w:jc w:val="center"/>
              <w:spacing w:after="0"/>
              <w:rPr>
                <w:sz w:val="20"/>
                <w:szCs w:val="20"/>
                <w:color w:val="auto"/>
              </w:rPr>
            </w:pPr>
            <w:r>
              <w:rPr>
                <w:rFonts w:ascii="Arial" w:cs="Arial" w:eastAsia="Arial" w:hAnsi="Arial"/>
                <w:sz w:val="15"/>
                <w:szCs w:val="15"/>
                <w:color w:val="auto"/>
                <w:w w:val="90"/>
              </w:rPr>
              <w:t>Chelsea Clinton</w:t>
            </w:r>
          </w:p>
        </w:tc>
        <w:tc>
          <w:tcPr>
            <w:tcW w:w="46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9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/s/ Demetrios Kouzoukas</w:t>
            </w:r>
          </w:p>
        </w:tc>
        <w:tc>
          <w:tcPr>
            <w:tcW w:w="46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87"/>
        </w:trPr>
        <w:tc>
          <w:tcPr>
            <w:tcW w:w="3800" w:type="dxa"/>
            <w:vAlign w:val="bottom"/>
          </w:tcPr>
          <w:p>
            <w:pPr>
              <w:jc w:val="center"/>
              <w:spacing w:after="0"/>
              <w:rPr>
                <w:sz w:val="20"/>
                <w:szCs w:val="20"/>
                <w:color w:val="auto"/>
              </w:rPr>
            </w:pPr>
            <w:r>
              <w:rPr>
                <w:rFonts w:ascii="Arial" w:cs="Arial" w:eastAsia="Arial" w:hAnsi="Arial"/>
                <w:sz w:val="15"/>
                <w:szCs w:val="15"/>
                <w:color w:val="auto"/>
                <w:w w:val="89"/>
              </w:rPr>
              <w:t>Demetrios Kouzoukas</w:t>
            </w:r>
          </w:p>
        </w:tc>
        <w:tc>
          <w:tcPr>
            <w:tcW w:w="46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9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William G. Robinson, Jr.</w:t>
            </w:r>
          </w:p>
        </w:tc>
        <w:tc>
          <w:tcPr>
            <w:tcW w:w="46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87"/>
        </w:trPr>
        <w:tc>
          <w:tcPr>
            <w:tcW w:w="3800" w:type="dxa"/>
            <w:vAlign w:val="bottom"/>
          </w:tcPr>
          <w:p>
            <w:pPr>
              <w:jc w:val="center"/>
              <w:spacing w:after="0"/>
              <w:rPr>
                <w:sz w:val="20"/>
                <w:szCs w:val="20"/>
                <w:color w:val="auto"/>
              </w:rPr>
            </w:pPr>
            <w:r>
              <w:rPr>
                <w:rFonts w:ascii="Arial" w:cs="Arial" w:eastAsia="Arial" w:hAnsi="Arial"/>
                <w:sz w:val="15"/>
                <w:szCs w:val="15"/>
                <w:color w:val="auto"/>
                <w:w w:val="91"/>
              </w:rPr>
              <w:t>William G. Robinson, Jr.</w:t>
            </w:r>
          </w:p>
        </w:tc>
        <w:tc>
          <w:tcPr>
            <w:tcW w:w="46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9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/s/ Lee A. Shapiro</w:t>
            </w:r>
          </w:p>
        </w:tc>
        <w:tc>
          <w:tcPr>
            <w:tcW w:w="46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87"/>
        </w:trPr>
        <w:tc>
          <w:tcPr>
            <w:tcW w:w="3800" w:type="dxa"/>
            <w:vAlign w:val="bottom"/>
          </w:tcPr>
          <w:p>
            <w:pPr>
              <w:jc w:val="center"/>
              <w:spacing w:after="0"/>
              <w:rPr>
                <w:sz w:val="20"/>
                <w:szCs w:val="20"/>
                <w:color w:val="auto"/>
              </w:rPr>
            </w:pPr>
            <w:r>
              <w:rPr>
                <w:rFonts w:ascii="Arial" w:cs="Arial" w:eastAsia="Arial" w:hAnsi="Arial"/>
                <w:sz w:val="15"/>
                <w:szCs w:val="15"/>
                <w:color w:val="auto"/>
                <w:w w:val="90"/>
              </w:rPr>
              <w:t>Lee A. Shapiro</w:t>
            </w:r>
          </w:p>
        </w:tc>
        <w:tc>
          <w:tcPr>
            <w:tcW w:w="46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9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/s/ Nathaniel S. Turner</w:t>
            </w:r>
          </w:p>
        </w:tc>
        <w:tc>
          <w:tcPr>
            <w:tcW w:w="4660" w:type="dxa"/>
            <w:vAlign w:val="bottom"/>
          </w:tcPr>
          <w:p>
            <w:pPr>
              <w:jc w:val="center"/>
              <w:spacing w:after="0"/>
              <w:rPr>
                <w:sz w:val="20"/>
                <w:szCs w:val="20"/>
                <w:color w:val="auto"/>
              </w:rPr>
            </w:pPr>
            <w:r>
              <w:rPr>
                <w:rFonts w:ascii="Arial" w:cs="Arial" w:eastAsia="Arial" w:hAnsi="Arial"/>
                <w:sz w:val="15"/>
                <w:szCs w:val="15"/>
                <w:color w:val="auto"/>
                <w:w w:val="91"/>
              </w:rPr>
              <w:t>Director</w:t>
            </w:r>
          </w:p>
        </w:tc>
        <w:tc>
          <w:tcPr>
            <w:tcW w:w="2020" w:type="dxa"/>
            <w:vAlign w:val="bottom"/>
          </w:tcPr>
          <w:p>
            <w:pPr>
              <w:jc w:val="center"/>
              <w:ind w:left="768"/>
              <w:spacing w:after="0"/>
              <w:rPr>
                <w:sz w:val="20"/>
                <w:szCs w:val="20"/>
                <w:color w:val="auto"/>
              </w:rPr>
            </w:pPr>
            <w:r>
              <w:rPr>
                <w:rFonts w:ascii="Arial" w:cs="Arial" w:eastAsia="Arial" w:hAnsi="Arial"/>
                <w:sz w:val="15"/>
                <w:szCs w:val="15"/>
                <w:color w:val="auto"/>
                <w:w w:val="89"/>
              </w:rPr>
              <w:t>November 15, 2021</w:t>
            </w:r>
          </w:p>
        </w:tc>
      </w:tr>
      <w:tr>
        <w:trPr>
          <w:trHeight w:val="187"/>
        </w:trPr>
        <w:tc>
          <w:tcPr>
            <w:tcW w:w="3800" w:type="dxa"/>
            <w:vAlign w:val="bottom"/>
          </w:tcPr>
          <w:p>
            <w:pPr>
              <w:jc w:val="center"/>
              <w:spacing w:after="0"/>
              <w:rPr>
                <w:sz w:val="20"/>
                <w:szCs w:val="20"/>
                <w:color w:val="auto"/>
              </w:rPr>
            </w:pPr>
            <w:r>
              <w:rPr>
                <w:rFonts w:ascii="Arial" w:cs="Arial" w:eastAsia="Arial" w:hAnsi="Arial"/>
                <w:sz w:val="15"/>
                <w:szCs w:val="15"/>
                <w:color w:val="auto"/>
                <w:w w:val="89"/>
              </w:rPr>
              <w:t>Nathaniel S. Turner</w:t>
            </w:r>
          </w:p>
        </w:tc>
        <w:tc>
          <w:tcPr>
            <w:tcW w:w="466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0880"/>
          </w:cols>
          <w:pgMar w:left="320" w:top="1440" w:right="6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6"/>
          <w:szCs w:val="16"/>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81"/>
        <w:spacing w:after="0"/>
        <w:rPr>
          <w:sz w:val="20"/>
          <w:szCs w:val="20"/>
          <w:color w:val="auto"/>
        </w:rPr>
      </w:pPr>
      <w:r>
        <w:rPr>
          <w:rFonts w:ascii="Arial" w:cs="Arial" w:eastAsia="Arial" w:hAnsi="Arial"/>
          <w:sz w:val="20"/>
          <w:szCs w:val="20"/>
          <w:color w:val="auto"/>
        </w:rPr>
        <w:t>CLOVER HEALTH INVESTMENTS, CORP.</w:t>
      </w:r>
    </w:p>
    <w:p>
      <w:pPr>
        <w:spacing w:after="0" w:line="153" w:lineRule="exact"/>
        <w:rPr>
          <w:sz w:val="20"/>
          <w:szCs w:val="20"/>
          <w:color w:val="auto"/>
        </w:rPr>
      </w:pPr>
    </w:p>
    <w:p>
      <w:pPr>
        <w:ind w:left="4461"/>
        <w:spacing w:after="0"/>
        <w:rPr>
          <w:sz w:val="20"/>
          <w:szCs w:val="20"/>
          <w:color w:val="auto"/>
        </w:rPr>
      </w:pPr>
      <w:r>
        <w:rPr>
          <w:rFonts w:ascii="Arial" w:cs="Arial" w:eastAsia="Arial" w:hAnsi="Arial"/>
          <w:sz w:val="20"/>
          <w:szCs w:val="20"/>
          <w:color w:val="auto"/>
        </w:rPr>
        <w:t>[●] Shares of Common Stock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Plus an option to purchase from the Company up to </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 Securities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($0.0001 par value)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Underwriting Agreement</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York, New York</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November </w:t>
      </w:r>
      <w:r>
        <w:rPr>
          <w:rFonts w:ascii="Arial" w:cs="Arial" w:eastAsia="Arial" w:hAnsi="Arial"/>
          <w:sz w:val="20"/>
          <w:szCs w:val="20"/>
          <w:b w:val="1"/>
          <w:bCs w:val="1"/>
          <w:color w:val="auto"/>
        </w:rPr>
        <w:t>[●]</w:t>
      </w:r>
      <w:r>
        <w:rPr>
          <w:rFonts w:ascii="Arial" w:cs="Arial" w:eastAsia="Arial" w:hAnsi="Arial"/>
          <w:sz w:val="20"/>
          <w:szCs w:val="20"/>
          <w:color w:val="auto"/>
        </w:rPr>
        <w:t>, 2021</w:t>
      </w:r>
    </w:p>
    <w:p>
      <w:pPr>
        <w:spacing w:after="0" w:line="385" w:lineRule="exact"/>
        <w:rPr>
          <w:sz w:val="20"/>
          <w:szCs w:val="20"/>
          <w:color w:val="auto"/>
        </w:rPr>
      </w:pPr>
    </w:p>
    <w:p>
      <w:pPr>
        <w:ind w:left="1"/>
        <w:spacing w:after="0"/>
        <w:rPr>
          <w:sz w:val="20"/>
          <w:szCs w:val="20"/>
          <w:color w:val="auto"/>
        </w:rPr>
      </w:pPr>
      <w:r>
        <w:rPr>
          <w:rFonts w:ascii="Arial" w:cs="Arial" w:eastAsia="Arial" w:hAnsi="Arial"/>
          <w:sz w:val="20"/>
          <w:szCs w:val="20"/>
          <w:color w:val="auto"/>
        </w:rPr>
        <w:t>Citigroup Global Markets Inc.</w:t>
      </w:r>
    </w:p>
    <w:p>
      <w:pPr>
        <w:spacing w:after="0" w:line="20" w:lineRule="exact"/>
        <w:rPr>
          <w:sz w:val="20"/>
          <w:szCs w:val="20"/>
          <w:color w:val="auto"/>
        </w:rPr>
      </w:pPr>
    </w:p>
    <w:p>
      <w:pPr>
        <w:ind w:left="1"/>
        <w:spacing w:after="0"/>
        <w:rPr>
          <w:sz w:val="20"/>
          <w:szCs w:val="20"/>
          <w:color w:val="auto"/>
        </w:rPr>
      </w:pPr>
      <w:r>
        <w:rPr>
          <w:rFonts w:ascii="Arial" w:cs="Arial" w:eastAsia="Arial" w:hAnsi="Arial"/>
          <w:sz w:val="20"/>
          <w:szCs w:val="20"/>
          <w:color w:val="auto"/>
        </w:rPr>
        <w:t>Deutsche Bank Securities Inc.</w:t>
      </w:r>
    </w:p>
    <w:p>
      <w:pPr>
        <w:spacing w:after="0" w:line="5" w:lineRule="exact"/>
        <w:rPr>
          <w:sz w:val="20"/>
          <w:szCs w:val="20"/>
          <w:color w:val="auto"/>
        </w:rPr>
      </w:pPr>
    </w:p>
    <w:p>
      <w:pPr>
        <w:ind w:left="601"/>
        <w:spacing w:after="0"/>
        <w:rPr>
          <w:sz w:val="20"/>
          <w:szCs w:val="20"/>
          <w:color w:val="auto"/>
        </w:rPr>
      </w:pPr>
      <w:r>
        <w:rPr>
          <w:rFonts w:ascii="Arial" w:cs="Arial" w:eastAsia="Arial" w:hAnsi="Arial"/>
          <w:sz w:val="20"/>
          <w:szCs w:val="20"/>
          <w:color w:val="auto"/>
        </w:rPr>
        <w:t>As Representatives of the several Underwriters,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0"/>
          <w:szCs w:val="20"/>
          <w:color w:val="auto"/>
        </w:rPr>
        <w:t>c/o Citigroup Global Markets Inc.</w:t>
      </w:r>
    </w:p>
    <w:p>
      <w:pPr>
        <w:spacing w:after="0" w:line="20" w:lineRule="exact"/>
        <w:rPr>
          <w:sz w:val="20"/>
          <w:szCs w:val="20"/>
          <w:color w:val="auto"/>
        </w:rPr>
      </w:pPr>
    </w:p>
    <w:p>
      <w:pPr>
        <w:ind w:left="1"/>
        <w:spacing w:after="0"/>
        <w:rPr>
          <w:sz w:val="20"/>
          <w:szCs w:val="20"/>
          <w:color w:val="auto"/>
        </w:rPr>
      </w:pPr>
      <w:r>
        <w:rPr>
          <w:rFonts w:ascii="Arial" w:cs="Arial" w:eastAsia="Arial" w:hAnsi="Arial"/>
          <w:sz w:val="20"/>
          <w:szCs w:val="20"/>
          <w:color w:val="auto"/>
        </w:rPr>
        <w:t>388 Greenwich Street</w:t>
      </w:r>
    </w:p>
    <w:p>
      <w:pPr>
        <w:spacing w:after="0" w:line="5" w:lineRule="exact"/>
        <w:rPr>
          <w:sz w:val="20"/>
          <w:szCs w:val="20"/>
          <w:color w:val="auto"/>
        </w:rPr>
      </w:pPr>
    </w:p>
    <w:p>
      <w:pPr>
        <w:ind w:left="1"/>
        <w:spacing w:after="0"/>
        <w:rPr>
          <w:sz w:val="20"/>
          <w:szCs w:val="20"/>
          <w:color w:val="auto"/>
        </w:rPr>
      </w:pPr>
      <w:r>
        <w:rPr>
          <w:rFonts w:ascii="Arial" w:cs="Arial" w:eastAsia="Arial" w:hAnsi="Arial"/>
          <w:sz w:val="20"/>
          <w:szCs w:val="20"/>
          <w:color w:val="auto"/>
        </w:rPr>
        <w:t>New York, New York 10013</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0"/>
          <w:szCs w:val="20"/>
          <w:color w:val="auto"/>
        </w:rPr>
        <w:t>c/o Deutsche Bank Securities Inc.</w:t>
      </w:r>
    </w:p>
    <w:p>
      <w:pPr>
        <w:spacing w:after="0" w:line="20" w:lineRule="exact"/>
        <w:rPr>
          <w:sz w:val="20"/>
          <w:szCs w:val="20"/>
          <w:color w:val="auto"/>
        </w:rPr>
      </w:pPr>
    </w:p>
    <w:p>
      <w:pPr>
        <w:ind w:left="1"/>
        <w:spacing w:after="0"/>
        <w:rPr>
          <w:sz w:val="20"/>
          <w:szCs w:val="20"/>
          <w:color w:val="auto"/>
        </w:rPr>
      </w:pPr>
      <w:r>
        <w:rPr>
          <w:rFonts w:ascii="Arial" w:cs="Arial" w:eastAsia="Arial" w:hAnsi="Arial"/>
          <w:sz w:val="20"/>
          <w:szCs w:val="20"/>
          <w:color w:val="auto"/>
        </w:rPr>
        <w:t>1 Columbus Circle</w:t>
      </w:r>
    </w:p>
    <w:p>
      <w:pPr>
        <w:spacing w:after="0" w:line="5" w:lineRule="exact"/>
        <w:rPr>
          <w:sz w:val="20"/>
          <w:szCs w:val="20"/>
          <w:color w:val="auto"/>
        </w:rPr>
      </w:pPr>
    </w:p>
    <w:p>
      <w:pPr>
        <w:ind w:left="1"/>
        <w:spacing w:after="0"/>
        <w:rPr>
          <w:sz w:val="20"/>
          <w:szCs w:val="20"/>
          <w:color w:val="auto"/>
        </w:rPr>
      </w:pPr>
      <w:r>
        <w:rPr>
          <w:rFonts w:ascii="Arial" w:cs="Arial" w:eastAsia="Arial" w:hAnsi="Arial"/>
          <w:sz w:val="20"/>
          <w:szCs w:val="20"/>
          <w:color w:val="auto"/>
        </w:rPr>
        <w:t>New York, New York 10019</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0"/>
          <w:szCs w:val="20"/>
          <w:color w:val="auto"/>
        </w:rPr>
        <w:t>Ladies and Gentlemen:</w:t>
      </w:r>
    </w:p>
    <w:p>
      <w:pPr>
        <w:spacing w:after="0" w:line="203" w:lineRule="exact"/>
        <w:rPr>
          <w:sz w:val="20"/>
          <w:szCs w:val="20"/>
          <w:color w:val="auto"/>
        </w:rPr>
      </w:pPr>
    </w:p>
    <w:p>
      <w:pPr>
        <w:ind w:left="1" w:firstLine="1187"/>
        <w:spacing w:after="0" w:line="316" w:lineRule="auto"/>
        <w:rPr>
          <w:sz w:val="20"/>
          <w:szCs w:val="20"/>
          <w:color w:val="auto"/>
        </w:rPr>
      </w:pPr>
      <w:r>
        <w:rPr>
          <w:rFonts w:ascii="Arial" w:cs="Arial" w:eastAsia="Arial" w:hAnsi="Arial"/>
          <w:sz w:val="16"/>
          <w:szCs w:val="16"/>
          <w:color w:val="auto"/>
        </w:rPr>
        <w:t>Clover Health Investments, Corp.,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w:t>
      </w:r>
    </w:p>
    <w:p>
      <w:pPr>
        <w:spacing w:after="0" w:line="1" w:lineRule="exact"/>
        <w:rPr>
          <w:sz w:val="20"/>
          <w:szCs w:val="20"/>
          <w:color w:val="auto"/>
        </w:rPr>
      </w:pPr>
    </w:p>
    <w:p>
      <w:pPr>
        <w:ind w:left="1" w:right="80" w:hanging="1"/>
        <w:spacing w:after="0" w:line="261" w:lineRule="auto"/>
        <w:tabs>
          <w:tab w:leader="none" w:pos="301" w:val="left"/>
        </w:tabs>
        <w:numPr>
          <w:ilvl w:val="0"/>
          <w:numId w:val="148"/>
        </w:numPr>
        <w:rPr>
          <w:rFonts w:ascii="Arial" w:cs="Arial" w:eastAsia="Arial" w:hAnsi="Arial"/>
          <w:sz w:val="19"/>
          <w:szCs w:val="19"/>
          <w:b w:val="1"/>
          <w:bCs w:val="1"/>
          <w:color w:val="auto"/>
        </w:rPr>
      </w:pPr>
      <w:r>
        <w:rPr>
          <w:rFonts w:ascii="Arial" w:cs="Arial" w:eastAsia="Arial" w:hAnsi="Arial"/>
          <w:sz w:val="19"/>
          <w:szCs w:val="19"/>
          <w:color w:val="auto"/>
        </w:rPr>
        <w:t>shares of Class A common stock, $0.0001 par value (“</w:t>
      </w:r>
      <w:r>
        <w:rPr>
          <w:rFonts w:ascii="Arial" w:cs="Arial" w:eastAsia="Arial" w:hAnsi="Arial"/>
          <w:sz w:val="19"/>
          <w:szCs w:val="19"/>
          <w:u w:val="single" w:color="auto"/>
          <w:color w:val="auto"/>
        </w:rPr>
        <w:t>Common Stock</w:t>
      </w:r>
      <w:r>
        <w:rPr>
          <w:rFonts w:ascii="Arial" w:cs="Arial" w:eastAsia="Arial" w:hAnsi="Arial"/>
          <w:sz w:val="19"/>
          <w:szCs w:val="19"/>
          <w:color w:val="auto"/>
        </w:rPr>
        <w:t>”) of the Company (said shares to be issued and sold by the Company being hereinafter called the “</w:t>
      </w:r>
      <w:r>
        <w:rPr>
          <w:rFonts w:ascii="Arial" w:cs="Arial" w:eastAsia="Arial" w:hAnsi="Arial"/>
          <w:sz w:val="19"/>
          <w:szCs w:val="19"/>
          <w:u w:val="single" w:color="auto"/>
          <w:color w:val="auto"/>
        </w:rPr>
        <w:t>Underwritten Securities</w:t>
      </w:r>
      <w:r>
        <w:rPr>
          <w:rFonts w:ascii="Arial" w:cs="Arial" w:eastAsia="Arial" w:hAnsi="Arial"/>
          <w:sz w:val="19"/>
          <w:szCs w:val="19"/>
          <w:color w:val="auto"/>
        </w:rPr>
        <w:t xml:space="preserve">”). The Company also proposes to grant to the Underwriters an option to purchase up to </w:t>
      </w:r>
      <w:r>
        <w:rPr>
          <w:rFonts w:ascii="Arial" w:cs="Arial" w:eastAsia="Arial" w:hAnsi="Arial"/>
          <w:sz w:val="19"/>
          <w:szCs w:val="19"/>
          <w:b w:val="1"/>
          <w:bCs w:val="1"/>
          <w:color w:val="auto"/>
        </w:rPr>
        <w:t>[●]</w:t>
      </w:r>
      <w:r>
        <w:rPr>
          <w:rFonts w:ascii="Arial" w:cs="Arial" w:eastAsia="Arial" w:hAnsi="Arial"/>
          <w:sz w:val="19"/>
          <w:szCs w:val="19"/>
          <w:color w:val="auto"/>
        </w:rPr>
        <w:t xml:space="preserve"> additional shares of Common Stock (the “</w:t>
      </w:r>
      <w:r>
        <w:rPr>
          <w:rFonts w:ascii="Arial" w:cs="Arial" w:eastAsia="Arial" w:hAnsi="Arial"/>
          <w:sz w:val="19"/>
          <w:szCs w:val="19"/>
          <w:u w:val="single" w:color="auto"/>
          <w:color w:val="auto"/>
        </w:rPr>
        <w:t>Option Securities</w:t>
      </w:r>
      <w:r>
        <w:rPr>
          <w:rFonts w:ascii="Arial" w:cs="Arial" w:eastAsia="Arial" w:hAnsi="Arial"/>
          <w:sz w:val="19"/>
          <w:szCs w:val="19"/>
          <w:color w:val="auto"/>
        </w:rPr>
        <w:t>;” the Option Securities, together with the Underwritten Securities, being hereinafter called the “</w:t>
      </w:r>
      <w:r>
        <w:rPr>
          <w:rFonts w:ascii="Arial" w:cs="Arial" w:eastAsia="Arial" w:hAnsi="Arial"/>
          <w:sz w:val="19"/>
          <w:szCs w:val="19"/>
          <w:u w:val="single" w:color="auto"/>
          <w:color w:val="auto"/>
        </w:rPr>
        <w:t>Securities</w:t>
      </w:r>
      <w:r>
        <w:rPr>
          <w:rFonts w:ascii="Arial" w:cs="Arial" w:eastAsia="Arial" w:hAnsi="Arial"/>
          <w:sz w:val="19"/>
          <w:szCs w:val="19"/>
          <w:color w:val="auto"/>
        </w:rPr>
        <w:t>”). To the extent there are no additional Underwriters listed on Schedule I hereto other than you, the term Representatives as used herein shall mean you, as Underwriters, and the terms Representatives and Underwriters shall mean either the singular or plural as the context requires.</w:t>
      </w:r>
    </w:p>
    <w:p>
      <w:pPr>
        <w:spacing w:after="0" w:line="117" w:lineRule="exact"/>
        <w:rPr>
          <w:sz w:val="20"/>
          <w:szCs w:val="20"/>
          <w:color w:val="auto"/>
        </w:rPr>
      </w:pPr>
    </w:p>
    <w:p>
      <w:pPr>
        <w:ind w:left="1" w:firstLine="1187"/>
        <w:spacing w:after="0" w:line="323" w:lineRule="auto"/>
        <w:rPr>
          <w:sz w:val="20"/>
          <w:szCs w:val="20"/>
          <w:color w:val="auto"/>
        </w:rPr>
      </w:pPr>
      <w:r>
        <w:rPr>
          <w:rFonts w:ascii="Arial" w:cs="Arial" w:eastAsia="Arial" w:hAnsi="Arial"/>
          <w:sz w:val="16"/>
          <w:szCs w:val="16"/>
          <w:color w:val="auto"/>
        </w:rPr>
        <w:t>As used in this underwriting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referred to in paragraph 1(a) hereof, including the exhibits, schedules and financial statements and any prospectus supplement relating to the Securities that is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Rule 424(b) under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deemed part of such registration statement pursuant to Rule 430A under the Securities Act (“</w:t>
      </w:r>
      <w:r>
        <w:rPr>
          <w:rFonts w:ascii="Arial" w:cs="Arial" w:eastAsia="Arial" w:hAnsi="Arial"/>
          <w:sz w:val="16"/>
          <w:szCs w:val="16"/>
          <w:u w:val="single" w:color="auto"/>
          <w:color w:val="auto"/>
        </w:rPr>
        <w:t>Rule 430A</w:t>
      </w:r>
      <w:r>
        <w:rPr>
          <w:rFonts w:ascii="Arial" w:cs="Arial" w:eastAsia="Arial" w:hAnsi="Arial"/>
          <w:sz w:val="16"/>
          <w:szCs w:val="16"/>
          <w:color w:val="auto"/>
        </w:rPr>
        <w:t>”), as amended at the date and time that this Agreement is executed and delivered by the parties hereto (the “</w:t>
      </w:r>
      <w:r>
        <w:rPr>
          <w:rFonts w:ascii="Arial" w:cs="Arial" w:eastAsia="Arial" w:hAnsi="Arial"/>
          <w:sz w:val="16"/>
          <w:szCs w:val="16"/>
          <w:u w:val="single" w:color="auto"/>
          <w:color w:val="auto"/>
        </w:rPr>
        <w:t>Execution Time</w:t>
      </w:r>
      <w:r>
        <w:rPr>
          <w:rFonts w:ascii="Arial" w:cs="Arial" w:eastAsia="Arial" w:hAnsi="Arial"/>
          <w:sz w:val="16"/>
          <w:szCs w:val="16"/>
          <w:color w:val="auto"/>
        </w:rPr>
        <w:t>”), and, in the event any post-effective amendment thereto or any registration statement and any</w:t>
      </w:r>
    </w:p>
    <w:p>
      <w:pPr>
        <w:sectPr>
          <w:pgSz w:w="11900" w:h="16838" w:orient="portrait"/>
          <w:cols w:equalWidth="0" w:num="1">
            <w:col w:w="11241"/>
          </w:cols>
          <w:pgMar w:left="319" w:top="123" w:right="339" w:bottom="1440" w:gutter="0" w:footer="0" w:header="0"/>
        </w:sectPr>
      </w:pPr>
    </w:p>
    <w:bookmarkStart w:id="277" w:name="page278"/>
    <w:bookmarkEnd w:id="277"/>
    <w:p>
      <w:pPr>
        <w:spacing w:after="0" w:line="247" w:lineRule="auto"/>
        <w:rPr>
          <w:sz w:val="20"/>
          <w:szCs w:val="20"/>
          <w:color w:val="auto"/>
        </w:rPr>
      </w:pPr>
      <w:r>
        <w:rPr>
          <w:rFonts w:ascii="Arial" w:cs="Arial" w:eastAsia="Arial" w:hAnsi="Arial"/>
          <w:sz w:val="20"/>
          <w:szCs w:val="20"/>
          <w:color w:val="auto"/>
        </w:rPr>
        <w:t>amendments thereto filed pursuant to Rule 462(b) under the Securities Act (a “</w:t>
      </w:r>
      <w:r>
        <w:rPr>
          <w:rFonts w:ascii="Arial" w:cs="Arial" w:eastAsia="Arial" w:hAnsi="Arial"/>
          <w:sz w:val="20"/>
          <w:szCs w:val="20"/>
          <w:u w:val="single" w:color="auto"/>
          <w:color w:val="auto"/>
        </w:rPr>
        <w:t>Rule 462(b) Registration Statement</w:t>
      </w:r>
      <w:r>
        <w:rPr>
          <w:rFonts w:ascii="Arial" w:cs="Arial" w:eastAsia="Arial" w:hAnsi="Arial"/>
          <w:sz w:val="20"/>
          <w:szCs w:val="20"/>
          <w:color w:val="auto"/>
        </w:rPr>
        <w:t>”) becomes effective prior to the Closing Date (as defined in Section 3 hereof), shall also mean such registration statement as so amended or such Rule 462(b) Registration Statement, as the case may be; the “</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each date and time that the Registration Statement, any post-effective amendment or amendments thereto or any Rule 462(b) Registration Statement became or becomes effective; the “</w:t>
      </w:r>
      <w:r>
        <w:rPr>
          <w:rFonts w:ascii="Arial" w:cs="Arial" w:eastAsia="Arial" w:hAnsi="Arial"/>
          <w:sz w:val="20"/>
          <w:szCs w:val="20"/>
          <w:u w:val="single" w:color="auto"/>
          <w:color w:val="auto"/>
        </w:rPr>
        <w:t>Preliminary Prospectus</w:t>
      </w:r>
      <w:r>
        <w:rPr>
          <w:rFonts w:ascii="Arial" w:cs="Arial" w:eastAsia="Arial" w:hAnsi="Arial"/>
          <w:sz w:val="20"/>
          <w:szCs w:val="20"/>
          <w:color w:val="auto"/>
        </w:rPr>
        <w:t>” means any preliminary prospectus referred to in paragraph 1(a) hereof and any preliminary prospectus included in the Registration Statement at the Effective Date that omits information with respect to the Securities and the offering thereof permitted to be omitted from the Registration Statement when it becomes effective pursuant to Rule 430A (the “</w:t>
      </w:r>
      <w:r>
        <w:rPr>
          <w:rFonts w:ascii="Arial" w:cs="Arial" w:eastAsia="Arial" w:hAnsi="Arial"/>
          <w:sz w:val="20"/>
          <w:szCs w:val="20"/>
          <w:u w:val="single" w:color="auto"/>
          <w:color w:val="auto"/>
        </w:rPr>
        <w:t>Rule 430A Information</w:t>
      </w:r>
      <w:r>
        <w:rPr>
          <w:rFonts w:ascii="Arial" w:cs="Arial" w:eastAsia="Arial" w:hAnsi="Arial"/>
          <w:sz w:val="20"/>
          <w:szCs w:val="20"/>
          <w:color w:val="auto"/>
        </w:rPr>
        <w:t>”); and the “</w:t>
      </w:r>
      <w:r>
        <w:rPr>
          <w:rFonts w:ascii="Arial" w:cs="Arial" w:eastAsia="Arial" w:hAnsi="Arial"/>
          <w:sz w:val="20"/>
          <w:szCs w:val="20"/>
          <w:u w:val="single" w:color="auto"/>
          <w:color w:val="auto"/>
        </w:rPr>
        <w:t>Prospectus</w:t>
      </w:r>
      <w:r>
        <w:rPr>
          <w:rFonts w:ascii="Arial" w:cs="Arial" w:eastAsia="Arial" w:hAnsi="Arial"/>
          <w:sz w:val="20"/>
          <w:szCs w:val="20"/>
          <w:color w:val="auto"/>
        </w:rPr>
        <w:t>” means the prospectus relating to the Securities that is first filed pursuant to Rule 424(b) under the Securities Act (“</w:t>
      </w:r>
      <w:r>
        <w:rPr>
          <w:rFonts w:ascii="Arial" w:cs="Arial" w:eastAsia="Arial" w:hAnsi="Arial"/>
          <w:sz w:val="20"/>
          <w:szCs w:val="20"/>
          <w:u w:val="single" w:color="auto"/>
          <w:color w:val="auto"/>
        </w:rPr>
        <w:t>Rule 424(b)</w:t>
      </w:r>
      <w:r>
        <w:rPr>
          <w:rFonts w:ascii="Arial" w:cs="Arial" w:eastAsia="Arial" w:hAnsi="Arial"/>
          <w:sz w:val="20"/>
          <w:szCs w:val="20"/>
          <w:color w:val="auto"/>
        </w:rPr>
        <w:t>”) after the Execution Time.</w:t>
      </w:r>
    </w:p>
    <w:p>
      <w:pPr>
        <w:spacing w:after="0" w:line="132" w:lineRule="exact"/>
        <w:rPr>
          <w:sz w:val="20"/>
          <w:szCs w:val="20"/>
          <w:color w:val="auto"/>
        </w:rPr>
      </w:pPr>
    </w:p>
    <w:p>
      <w:pPr>
        <w:ind w:right="40" w:firstLine="1187"/>
        <w:spacing w:after="0" w:line="266" w:lineRule="auto"/>
        <w:rPr>
          <w:sz w:val="20"/>
          <w:szCs w:val="20"/>
          <w:color w:val="auto"/>
        </w:rPr>
      </w:pPr>
      <w:r>
        <w:rPr>
          <w:rFonts w:ascii="Arial" w:cs="Arial" w:eastAsia="Arial" w:hAnsi="Arial"/>
          <w:sz w:val="19"/>
          <w:szCs w:val="19"/>
          <w:color w:val="auto"/>
        </w:rPr>
        <w:t>As used in this Agreement, the “</w:t>
      </w:r>
      <w:r>
        <w:rPr>
          <w:rFonts w:ascii="Arial" w:cs="Arial" w:eastAsia="Arial" w:hAnsi="Arial"/>
          <w:sz w:val="19"/>
          <w:szCs w:val="19"/>
          <w:u w:val="single" w:color="auto"/>
          <w:color w:val="auto"/>
        </w:rPr>
        <w:t>Disclosure Package</w:t>
      </w:r>
      <w:r>
        <w:rPr>
          <w:rFonts w:ascii="Arial" w:cs="Arial" w:eastAsia="Arial" w:hAnsi="Arial"/>
          <w:sz w:val="19"/>
          <w:szCs w:val="19"/>
          <w:color w:val="auto"/>
        </w:rPr>
        <w:t>” shall mean (i) the Preliminary Prospectus that is generally distributed to investors and used to offer the Securities, including any document that is incorporated by reference therein, (ii) any issuer free writing prospectus, as defined in Rule 433 under the Securities Act (an “</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 identified in Schedule II hereto, and (iii) any other free writing prospectus, as defined in Rule 405 under the Securities Act (a “</w:t>
      </w:r>
      <w:r>
        <w:rPr>
          <w:rFonts w:ascii="Arial" w:cs="Arial" w:eastAsia="Arial" w:hAnsi="Arial"/>
          <w:sz w:val="19"/>
          <w:szCs w:val="19"/>
          <w:u w:val="single" w:color="auto"/>
          <w:color w:val="auto"/>
        </w:rPr>
        <w:t>Free Writing Prospectus</w:t>
      </w:r>
      <w:r>
        <w:rPr>
          <w:rFonts w:ascii="Arial" w:cs="Arial" w:eastAsia="Arial" w:hAnsi="Arial"/>
          <w:sz w:val="19"/>
          <w:szCs w:val="19"/>
          <w:color w:val="auto"/>
        </w:rPr>
        <w:t>”), that the parties hereto shall hereafter expressly agree in writing to treat as part of the Disclosure Package.</w:t>
      </w:r>
    </w:p>
    <w:p>
      <w:pPr>
        <w:spacing w:after="0" w:line="112" w:lineRule="exact"/>
        <w:rPr>
          <w:sz w:val="20"/>
          <w:szCs w:val="20"/>
          <w:color w:val="auto"/>
        </w:rPr>
      </w:pPr>
    </w:p>
    <w:p>
      <w:pPr>
        <w:ind w:right="260" w:firstLine="1186"/>
        <w:spacing w:after="0" w:line="266" w:lineRule="auto"/>
        <w:tabs>
          <w:tab w:leader="none" w:pos="178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Company represents and warrants to, and agrees with, each Underwriter as set forth below in this Section 1.</w:t>
      </w:r>
    </w:p>
    <w:p>
      <w:pPr>
        <w:spacing w:after="0" w:line="102" w:lineRule="exact"/>
        <w:rPr>
          <w:sz w:val="20"/>
          <w:szCs w:val="20"/>
          <w:color w:val="auto"/>
        </w:rPr>
      </w:pPr>
    </w:p>
    <w:p>
      <w:pPr>
        <w:ind w:left="600" w:right="40" w:firstLine="586"/>
        <w:spacing w:after="0" w:line="278" w:lineRule="auto"/>
        <w:tabs>
          <w:tab w:leader="none" w:pos="17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Company has prepared and filed with the SEC a registration statement (file number </w:t>
      </w:r>
      <w:r>
        <w:rPr>
          <w:rFonts w:ascii="Arial" w:cs="Arial" w:eastAsia="Arial" w:hAnsi="Arial"/>
          <w:sz w:val="18"/>
          <w:szCs w:val="18"/>
          <w:b w:val="1"/>
          <w:bCs w:val="1"/>
          <w:color w:val="auto"/>
        </w:rPr>
        <w:t>[●]</w:t>
      </w:r>
      <w:r>
        <w:rPr>
          <w:rFonts w:ascii="Arial" w:cs="Arial" w:eastAsia="Arial" w:hAnsi="Arial"/>
          <w:sz w:val="18"/>
          <w:szCs w:val="18"/>
          <w:color w:val="auto"/>
        </w:rPr>
        <w:t>) on Form S-1, including a related preliminary prospectus, for the registration of the offering and sale of the Securities under the Securities Act. Such Registration Statement, including any amendments thereto filed prior to the Execution Time, has become effective. The Company may have filed one or more amendments thereto, including a related preliminary prospectus, each of which has previously been furnished to you. The Company will file with the SEC a final prospectus relating to the Securities in accordance with Rule 424(b) after the Execution Time. As filed, such final prospectus shall contain all information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05" w:lineRule="exact"/>
        <w:rPr>
          <w:rFonts w:ascii="Arial" w:cs="Arial" w:eastAsia="Arial" w:hAnsi="Arial"/>
          <w:sz w:val="18"/>
          <w:szCs w:val="18"/>
          <w:color w:val="auto"/>
        </w:rPr>
      </w:pPr>
    </w:p>
    <w:p>
      <w:pPr>
        <w:ind w:left="1780" w:hanging="594"/>
        <w:spacing w:after="0"/>
        <w:tabs>
          <w:tab w:leader="none" w:pos="17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On the Effective Date, the Registration Statement did, and when the Prospectus is first filed in accordance with</w:t>
      </w:r>
    </w:p>
    <w:p>
      <w:pPr>
        <w:spacing w:after="0" w:line="32" w:lineRule="exact"/>
        <w:rPr>
          <w:sz w:val="20"/>
          <w:szCs w:val="20"/>
          <w:color w:val="auto"/>
        </w:rPr>
      </w:pPr>
    </w:p>
    <w:p>
      <w:pPr>
        <w:ind w:left="600"/>
        <w:spacing w:after="0" w:line="288" w:lineRule="auto"/>
        <w:rPr>
          <w:sz w:val="20"/>
          <w:szCs w:val="20"/>
          <w:color w:val="auto"/>
        </w:rPr>
      </w:pPr>
      <w:r>
        <w:rPr>
          <w:rFonts w:ascii="Arial" w:cs="Arial" w:eastAsia="Arial" w:hAnsi="Arial"/>
          <w:sz w:val="18"/>
          <w:szCs w:val="18"/>
          <w:color w:val="auto"/>
        </w:rPr>
        <w:t>Rule 424(b) and on the Closing Date (as defined herein) and on any date on which Option Securities are purchased, if such date is not the Closing Date (a “</w:t>
      </w:r>
      <w:r>
        <w:rPr>
          <w:rFonts w:ascii="Arial" w:cs="Arial" w:eastAsia="Arial" w:hAnsi="Arial"/>
          <w:sz w:val="18"/>
          <w:szCs w:val="18"/>
          <w:u w:val="single" w:color="auto"/>
          <w:color w:val="auto"/>
        </w:rPr>
        <w:t>Settlement Date</w:t>
      </w:r>
      <w:r>
        <w:rPr>
          <w:rFonts w:ascii="Arial" w:cs="Arial" w:eastAsia="Arial" w:hAnsi="Arial"/>
          <w:sz w:val="18"/>
          <w:szCs w:val="18"/>
          <w:color w:val="auto"/>
        </w:rPr>
        <w:t>”), the Prospectus (and any supplement thereto) will, comply in all material respects with the applicable requirements of the Securities Act and the rules thereunder; on the Effective Date, at the Execution Time and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80"/>
          </w:cols>
          <w:pgMar w:left="320" w:top="1320" w:right="399" w:bottom="1440" w:gutter="0" w:footer="0" w:header="0"/>
        </w:sectPr>
      </w:pPr>
    </w:p>
    <w:bookmarkStart w:id="278" w:name="page279"/>
    <w:bookmarkEnd w:id="278"/>
    <w:p>
      <w:pPr>
        <w:ind w:right="60"/>
        <w:spacing w:after="0" w:line="261" w:lineRule="auto"/>
        <w:rPr>
          <w:sz w:val="20"/>
          <w:szCs w:val="20"/>
          <w:color w:val="auto"/>
        </w:rPr>
      </w:pPr>
      <w:r>
        <w:rPr>
          <w:rFonts w:ascii="Arial" w:cs="Arial" w:eastAsia="Arial" w:hAnsi="Arial"/>
          <w:sz w:val="19"/>
          <w:szCs w:val="19"/>
          <w:color w:val="auto"/>
        </w:rPr>
        <w:t xml:space="preserve">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8 hereof.</w:t>
      </w:r>
    </w:p>
    <w:p>
      <w:pPr>
        <w:spacing w:after="0" w:line="121" w:lineRule="exact"/>
        <w:rPr>
          <w:sz w:val="20"/>
          <w:szCs w:val="20"/>
          <w:color w:val="auto"/>
        </w:rPr>
      </w:pPr>
    </w:p>
    <w:p>
      <w:pPr>
        <w:ind w:right="20" w:firstLine="586"/>
        <w:spacing w:after="0" w:line="277" w:lineRule="auto"/>
        <w:tabs>
          <w:tab w:leader="none" w:pos="118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and (iii) any individual Written Testing-the-Waters Communication,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104" w:lineRule="exact"/>
        <w:rPr>
          <w:rFonts w:ascii="Arial" w:cs="Arial" w:eastAsia="Arial" w:hAnsi="Arial"/>
          <w:sz w:val="18"/>
          <w:szCs w:val="18"/>
          <w:color w:val="auto"/>
        </w:rPr>
      </w:pPr>
    </w:p>
    <w:p>
      <w:pPr>
        <w:ind w:left="1180" w:hanging="594"/>
        <w:spacing w:after="0"/>
        <w:tabs>
          <w:tab w:leader="none" w:pos="11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[Reserved.]</w:t>
      </w:r>
    </w:p>
    <w:p>
      <w:pPr>
        <w:spacing w:after="0" w:line="153" w:lineRule="exact"/>
        <w:rPr>
          <w:rFonts w:ascii="Arial" w:cs="Arial" w:eastAsia="Arial" w:hAnsi="Arial"/>
          <w:sz w:val="20"/>
          <w:szCs w:val="20"/>
          <w:color w:val="auto"/>
        </w:rPr>
      </w:pPr>
    </w:p>
    <w:p>
      <w:pPr>
        <w:ind w:firstLine="586"/>
        <w:spacing w:after="0" w:line="266" w:lineRule="auto"/>
        <w:tabs>
          <w:tab w:leader="none" w:pos="118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From the time of initial confidential submission of the Registration Statement to the SEC (or, if earlier, the first date on which the Company engaged directly or through any Person authorized to act on its behalf in any Testing-the-Waters Communication) through the Execution Time, the Company has been and is an “emerging growth company,” as defined in Section 2(a) of the Securities Act (an “</w:t>
      </w:r>
      <w:r>
        <w:rPr>
          <w:rFonts w:ascii="Arial" w:cs="Arial" w:eastAsia="Arial" w:hAnsi="Arial"/>
          <w:sz w:val="19"/>
          <w:szCs w:val="19"/>
          <w:u w:val="single" w:color="auto"/>
          <w:color w:val="auto"/>
        </w:rPr>
        <w:t>Emerging Growth Company</w:t>
      </w:r>
      <w:r>
        <w:rPr>
          <w:rFonts w:ascii="Arial" w:cs="Arial" w:eastAsia="Arial" w:hAnsi="Arial"/>
          <w:sz w:val="19"/>
          <w:szCs w:val="19"/>
          <w:color w:val="auto"/>
        </w:rPr>
        <w:t>”). “</w:t>
      </w:r>
      <w:r>
        <w:rPr>
          <w:rFonts w:ascii="Arial" w:cs="Arial" w:eastAsia="Arial" w:hAnsi="Arial"/>
          <w:sz w:val="19"/>
          <w:szCs w:val="19"/>
          <w:u w:val="single" w:color="auto"/>
          <w:color w:val="auto"/>
        </w:rPr>
        <w:t>Testing-the-Waters Communication</w:t>
      </w:r>
      <w:r>
        <w:rPr>
          <w:rFonts w:ascii="Arial" w:cs="Arial" w:eastAsia="Arial" w:hAnsi="Arial"/>
          <w:sz w:val="19"/>
          <w:szCs w:val="19"/>
          <w:color w:val="auto"/>
        </w:rPr>
        <w:t>” means any oral or written communication with potential investors undertaken in reliance on Section 5(d)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20"/>
          </w:cols>
          <w:pgMar w:left="920" w:top="1320" w:right="359" w:bottom="1440" w:gutter="0" w:footer="0" w:header="0"/>
        </w:sectPr>
      </w:pPr>
    </w:p>
    <w:bookmarkStart w:id="279" w:name="page280"/>
    <w:bookmarkEnd w:id="279"/>
    <w:p>
      <w:pPr>
        <w:ind w:left="-520" w:right="60" w:firstLine="586"/>
        <w:spacing w:after="0" w:line="263" w:lineRule="auto"/>
        <w:tabs>
          <w:tab w:leader="none" w:pos="667"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Company (i) has not alone engaged in any Testing-the-Waters Communication other than Testing-the-Waters Communications with the consent of the Representatives with entities that are reasonably believed to be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III hereto. “</w:t>
      </w:r>
      <w:r>
        <w:rPr>
          <w:rFonts w:ascii="Arial" w:cs="Arial" w:eastAsia="Arial" w:hAnsi="Arial"/>
          <w:sz w:val="19"/>
          <w:szCs w:val="19"/>
          <w:u w:val="single" w:color="auto"/>
          <w:color w:val="auto"/>
        </w:rPr>
        <w:t>Written Testing-the-Waters Communication</w:t>
      </w:r>
      <w:r>
        <w:rPr>
          <w:rFonts w:ascii="Arial" w:cs="Arial" w:eastAsia="Arial" w:hAnsi="Arial"/>
          <w:sz w:val="19"/>
          <w:szCs w:val="19"/>
          <w:color w:val="auto"/>
        </w:rPr>
        <w:t>” means any Testing-the-Waters Communication that is a written communication within the meaning of Rule 405.</w:t>
      </w:r>
    </w:p>
    <w:p>
      <w:pPr>
        <w:spacing w:after="0" w:line="112" w:lineRule="exact"/>
        <w:rPr>
          <w:rFonts w:ascii="Arial" w:cs="Arial" w:eastAsia="Arial" w:hAnsi="Arial"/>
          <w:sz w:val="19"/>
          <w:szCs w:val="19"/>
          <w:color w:val="auto"/>
        </w:rPr>
      </w:pPr>
    </w:p>
    <w:p>
      <w:pPr>
        <w:ind w:left="660" w:hanging="594"/>
        <w:spacing w:after="0"/>
        <w:tabs>
          <w:tab w:leader="none" w:pos="6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Company has not used any Issuer Free Writing Prospectus.</w:t>
      </w:r>
    </w:p>
    <w:p>
      <w:pPr>
        <w:spacing w:after="0" w:line="153" w:lineRule="exact"/>
        <w:rPr>
          <w:rFonts w:ascii="Arial" w:cs="Arial" w:eastAsia="Arial" w:hAnsi="Arial"/>
          <w:sz w:val="20"/>
          <w:szCs w:val="20"/>
          <w:color w:val="auto"/>
        </w:rPr>
      </w:pPr>
    </w:p>
    <w:p>
      <w:pPr>
        <w:ind w:left="-520" w:firstLine="586"/>
        <w:spacing w:after="0" w:line="261" w:lineRule="auto"/>
        <w:tabs>
          <w:tab w:leader="none" w:pos="66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Company’s authorized equity capitalization is as set forth in the Disclosure Package and the Prospectus; the capital stock of the Company conforms in all material respects to the description thereof contained in the Disclosure Package and the Prospectus; the outstanding shares of Common Stock have been duly and validly authorized and issued and are fully paid and nonassessable; the Securities have been duly and validly authorized and, when issued and delivered to and paid for by the Underwriters pursuant to this Agreement, will be fully paid and nonassessable; the Securities in book-entry form are in valid and sufficient form; the holders of outstanding shares of capital stock of the Company are not entitled to preemptive or other rights to subscribe for the Securities, except for any such rights as have been effectively waived; and, except as set forth in the Registration Statement,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21" w:lineRule="exact"/>
        <w:rPr>
          <w:rFonts w:ascii="Arial" w:cs="Arial" w:eastAsia="Arial" w:hAnsi="Arial"/>
          <w:sz w:val="19"/>
          <w:szCs w:val="19"/>
          <w:color w:val="auto"/>
        </w:rPr>
      </w:pPr>
    </w:p>
    <w:p>
      <w:pPr>
        <w:ind w:left="-520" w:right="80" w:firstLine="586"/>
        <w:spacing w:after="0" w:line="255" w:lineRule="auto"/>
        <w:tabs>
          <w:tab w:leader="none" w:pos="65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interactive data in the eXtensible Business Reporting Language (“</w:t>
      </w:r>
      <w:r>
        <w:rPr>
          <w:rFonts w:ascii="Arial" w:cs="Arial" w:eastAsia="Arial" w:hAnsi="Arial"/>
          <w:sz w:val="20"/>
          <w:szCs w:val="20"/>
          <w:u w:val="single" w:color="auto"/>
          <w:color w:val="auto"/>
        </w:rPr>
        <w:t>XBRL</w:t>
      </w:r>
      <w:r>
        <w:rPr>
          <w:rFonts w:ascii="Arial" w:cs="Arial" w:eastAsia="Arial" w:hAnsi="Arial"/>
          <w:sz w:val="20"/>
          <w:szCs w:val="20"/>
          <w:color w:val="auto"/>
        </w:rPr>
        <w:t>”) included as an exhibit to the Registration Statement fairly presents the information called for in all material respects and has been prepared in accordance with the SEC’s rules and guidelines applicable thereto.</w:t>
      </w:r>
    </w:p>
    <w:p>
      <w:pPr>
        <w:spacing w:after="0" w:line="119" w:lineRule="exact"/>
        <w:rPr>
          <w:rFonts w:ascii="Arial" w:cs="Arial" w:eastAsia="Arial" w:hAnsi="Arial"/>
          <w:sz w:val="20"/>
          <w:szCs w:val="20"/>
          <w:color w:val="auto"/>
        </w:rPr>
      </w:pPr>
    </w:p>
    <w:p>
      <w:pPr>
        <w:ind w:left="-520" w:firstLine="586"/>
        <w:spacing w:after="0" w:line="248" w:lineRule="auto"/>
        <w:tabs>
          <w:tab w:leader="none" w:pos="65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where the failure to be so qualified or in good standing would not reasonably be expected to have a material adverse effect on the condition (financial or otherwise), earnings, prospects, business or properties of the Company and its subsidiaries, taken as a whole, whether or not arising from transactions in the ordinary course of business (a “</w:t>
      </w:r>
      <w:r>
        <w:rPr>
          <w:rFonts w:ascii="Arial" w:cs="Arial" w:eastAsia="Arial" w:hAnsi="Arial"/>
          <w:sz w:val="20"/>
          <w:szCs w:val="20"/>
          <w:u w:val="single" w:color="auto"/>
          <w:color w:val="auto"/>
        </w:rPr>
        <w:t>Material Adverse</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00"/>
          </w:cols>
          <w:pgMar w:left="1440" w:top="1320" w:right="359" w:bottom="1440" w:gutter="0" w:footer="0" w:header="0"/>
        </w:sectPr>
      </w:pPr>
    </w:p>
    <w:bookmarkStart w:id="280" w:name="page281"/>
    <w:bookmarkEnd w:id="280"/>
    <w:p>
      <w:pPr>
        <w:ind w:left="-520" w:right="120" w:firstLine="586"/>
        <w:spacing w:after="0" w:line="284" w:lineRule="auto"/>
        <w:tabs>
          <w:tab w:leader="none" w:pos="66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of the Company have been duly and validly authorized and issued and are fully paid and non-assessable (to the extent such concepts are applicable in the jurisdiction in which it is chartered or organized), and, except as otherwise set forth in the Disclosure Package and the Prospectus, all outstanding shares of capital stock of material subsidiaries are owned by the Company either directly or through wholly owned subsidiaries free and clear of any perfected security interest or any other security interests, claims, liens or encumbrances.</w:t>
      </w:r>
    </w:p>
    <w:p>
      <w:pPr>
        <w:spacing w:after="0" w:line="98" w:lineRule="exact"/>
        <w:rPr>
          <w:rFonts w:ascii="Arial" w:cs="Arial" w:eastAsia="Arial" w:hAnsi="Arial"/>
          <w:sz w:val="18"/>
          <w:szCs w:val="18"/>
          <w:color w:val="auto"/>
        </w:rPr>
      </w:pPr>
    </w:p>
    <w:p>
      <w:pPr>
        <w:ind w:left="-520" w:right="140" w:firstLine="586"/>
        <w:spacing w:after="0" w:line="297" w:lineRule="auto"/>
        <w:tabs>
          <w:tab w:leader="none" w:pos="6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is no franchise, contract or other document of a character required to be described in the Registration Statement or the Prospectus, or to be filed as an exhibit thereto, which is not described or filed as required (and the Preliminary Prospectus contains in all material respects the same description of the foregoing matters contained in the Prospectus).</w:t>
      </w:r>
    </w:p>
    <w:p>
      <w:pPr>
        <w:spacing w:after="0" w:line="84" w:lineRule="exact"/>
        <w:rPr>
          <w:rFonts w:ascii="Arial" w:cs="Arial" w:eastAsia="Arial" w:hAnsi="Arial"/>
          <w:sz w:val="18"/>
          <w:szCs w:val="18"/>
          <w:color w:val="auto"/>
        </w:rPr>
      </w:pPr>
    </w:p>
    <w:p>
      <w:pPr>
        <w:ind w:left="-520" w:firstLine="586"/>
        <w:spacing w:after="0" w:line="279" w:lineRule="auto"/>
        <w:tabs>
          <w:tab w:leader="none" w:pos="6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statements in the Preliminary Prospectus and the Prospectus under the headings “Risk Factors—Risks Related to Governmental Regulations,” “Risk Factors—Risks Related to Our Intellectual Property,” “Business—Intellectual Property,” “Business—Legal Proceedings,” “Business—Government Regulation,” “Description of Securities,” and “Shares Eligible for Future Sale” insofar as such statements summarize legal matters, agreements, documents or proceedings discussed therein, are accurate and fair summaries of such legal matters, agreements, documents or proceedings in all material respects. The statements under the heading “Certain United States Federal Income Tax Considerations,” insofar as such statements purport to constitute descriptions or summaries of United States federal income tax law and regulations or legal conclusions with respect thereto, constitute accurate descriptions or summaries of the matters described therein in all material respects.</w:t>
      </w:r>
    </w:p>
    <w:p>
      <w:pPr>
        <w:spacing w:after="0" w:line="102" w:lineRule="exact"/>
        <w:rPr>
          <w:rFonts w:ascii="Arial" w:cs="Arial" w:eastAsia="Arial" w:hAnsi="Arial"/>
          <w:sz w:val="18"/>
          <w:szCs w:val="18"/>
          <w:color w:val="auto"/>
        </w:rPr>
      </w:pPr>
    </w:p>
    <w:p>
      <w:pPr>
        <w:ind w:left="-520" w:right="280" w:firstLine="586"/>
        <w:spacing w:after="0" w:line="255" w:lineRule="auto"/>
        <w:tabs>
          <w:tab w:leader="none" w:pos="66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Company is not and, after giving effect to the offering and sale of the Securities and the application of the proceeds thereof as described in the Disclosure Package and the Prospectus, will not be an “investment company” as defined in the Investment Company Act of 1940, as amended.</w:t>
      </w:r>
    </w:p>
    <w:p>
      <w:pPr>
        <w:spacing w:after="0" w:line="119" w:lineRule="exact"/>
        <w:rPr>
          <w:rFonts w:ascii="Arial" w:cs="Arial" w:eastAsia="Arial" w:hAnsi="Arial"/>
          <w:sz w:val="20"/>
          <w:szCs w:val="20"/>
          <w:color w:val="auto"/>
        </w:rPr>
      </w:pPr>
    </w:p>
    <w:p>
      <w:pPr>
        <w:ind w:left="-520" w:right="80" w:firstLine="586"/>
        <w:spacing w:after="0" w:line="266" w:lineRule="auto"/>
        <w:tabs>
          <w:tab w:leader="none" w:pos="66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listing rules of the Nasdaq Stock Market (“</w:t>
      </w:r>
      <w:r>
        <w:rPr>
          <w:rFonts w:ascii="Arial" w:cs="Arial" w:eastAsia="Arial" w:hAnsi="Arial"/>
          <w:sz w:val="19"/>
          <w:szCs w:val="19"/>
          <w:u w:val="single" w:color="auto"/>
          <w:color w:val="auto"/>
        </w:rPr>
        <w:t>Nasdaq</w:t>
      </w:r>
      <w:r>
        <w:rPr>
          <w:rFonts w:ascii="Arial" w:cs="Arial" w:eastAsia="Arial" w:hAnsi="Arial"/>
          <w:sz w:val="19"/>
          <w:szCs w:val="19"/>
          <w:color w:val="auto"/>
        </w:rPr>
        <w:t>”), applicable rules of the Financial Industry Regulatory Authority, Inc. (“</w:t>
      </w:r>
      <w:r>
        <w:rPr>
          <w:rFonts w:ascii="Arial" w:cs="Arial" w:eastAsia="Arial" w:hAnsi="Arial"/>
          <w:sz w:val="19"/>
          <w:szCs w:val="19"/>
          <w:u w:val="single" w:color="auto"/>
          <w:color w:val="auto"/>
        </w:rPr>
        <w:t>FINRA</w:t>
      </w:r>
      <w:r>
        <w:rPr>
          <w:rFonts w:ascii="Arial" w:cs="Arial" w:eastAsia="Arial" w:hAnsi="Arial"/>
          <w:sz w:val="19"/>
          <w:szCs w:val="19"/>
          <w:color w:val="auto"/>
        </w:rPr>
        <w:t>”) and the blue sky laws of any jurisdiction in connection with the purchase and distribution of the Securities by the Underwriters in the manner contemplated herein and in the Disclosure Package and the Prospectus.</w:t>
      </w:r>
    </w:p>
    <w:p>
      <w:pPr>
        <w:spacing w:after="0" w:line="112" w:lineRule="exact"/>
        <w:rPr>
          <w:rFonts w:ascii="Arial" w:cs="Arial" w:eastAsia="Arial" w:hAnsi="Arial"/>
          <w:sz w:val="19"/>
          <w:szCs w:val="19"/>
          <w:color w:val="auto"/>
        </w:rPr>
      </w:pPr>
    </w:p>
    <w:p>
      <w:pPr>
        <w:ind w:left="-520" w:right="120" w:firstLine="586"/>
        <w:spacing w:after="0" w:line="252" w:lineRule="auto"/>
        <w:tabs>
          <w:tab w:leader="none" w:pos="66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1320" w:right="339" w:bottom="1440" w:gutter="0" w:footer="0" w:header="0"/>
        </w:sectPr>
      </w:pPr>
    </w:p>
    <w:bookmarkStart w:id="281" w:name="page282"/>
    <w:bookmarkEnd w:id="281"/>
    <w:p>
      <w:pPr>
        <w:ind w:right="80"/>
        <w:spacing w:after="0" w:line="280" w:lineRule="auto"/>
        <w:rPr>
          <w:sz w:val="20"/>
          <w:szCs w:val="20"/>
          <w:color w:val="auto"/>
        </w:rPr>
      </w:pPr>
      <w:r>
        <w:rPr>
          <w:rFonts w:ascii="Arial" w:cs="Arial" w:eastAsia="Arial" w:hAnsi="Arial"/>
          <w:sz w:val="18"/>
          <w:szCs w:val="18"/>
          <w:color w:val="auto"/>
        </w:rPr>
        <w:t>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 except in the case of clauses (ii) and (iii) for any such breach, violation or imposition as would not reasonably be expected to have a Material Adverse Effect and except as would not materially adversely affect the ability of the Underwriters to consummate the transaction contemplated by this Agreement..</w:t>
      </w:r>
    </w:p>
    <w:p>
      <w:pPr>
        <w:spacing w:after="0" w:line="102" w:lineRule="exact"/>
        <w:rPr>
          <w:sz w:val="20"/>
          <w:szCs w:val="20"/>
          <w:color w:val="auto"/>
        </w:rPr>
      </w:pPr>
    </w:p>
    <w:p>
      <w:pPr>
        <w:ind w:right="140" w:firstLine="586"/>
        <w:spacing w:after="0" w:line="255" w:lineRule="auto"/>
        <w:tabs>
          <w:tab w:leader="none" w:pos="118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 holders of securities of the Company have rights to the registration of such securities under the Registration Statement, except as have been validly waived in connection with the issuance and sale of the Securities contemplated hereby and as have been described in the Disclosure Package and the Prospectus.</w:t>
      </w:r>
    </w:p>
    <w:p>
      <w:pPr>
        <w:spacing w:after="0" w:line="119" w:lineRule="exact"/>
        <w:rPr>
          <w:rFonts w:ascii="Arial" w:cs="Arial" w:eastAsia="Arial" w:hAnsi="Arial"/>
          <w:sz w:val="20"/>
          <w:szCs w:val="20"/>
          <w:color w:val="auto"/>
        </w:rPr>
      </w:pPr>
    </w:p>
    <w:p>
      <w:pPr>
        <w:ind w:firstLine="586"/>
        <w:spacing w:after="0" w:line="276" w:lineRule="auto"/>
        <w:tabs>
          <w:tab w:leader="none" w:pos="118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in the Preliminary Prospectus,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conformity with generally accepted accounting principles in the United States applied on a consistent basis throughout the periods involved (except as otherwise noted therein). The selected financial data set forth under the caption “Summary Consolidated Financial Data and Other Data” in the Preliminary Prospectus, the Prospectus and Registration Statement fairly present, on the basis stated in the Preliminary Prospectus, the Prospectus and the Registration Statement, the information included therein. The pro forma financial statements included in the Preliminary Prospectus, the Prospectus and the Registration Statement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in the Preliminary Prospectus, the Prospectus and the Registration Statement.</w:t>
      </w:r>
    </w:p>
    <w:p>
      <w:pPr>
        <w:spacing w:after="0" w:line="107" w:lineRule="exact"/>
        <w:rPr>
          <w:rFonts w:ascii="Arial" w:cs="Arial" w:eastAsia="Arial" w:hAnsi="Arial"/>
          <w:sz w:val="18"/>
          <w:szCs w:val="18"/>
          <w:color w:val="auto"/>
        </w:rPr>
      </w:pPr>
    </w:p>
    <w:p>
      <w:pPr>
        <w:ind w:right="60" w:firstLine="586"/>
        <w:spacing w:after="0" w:line="284" w:lineRule="auto"/>
        <w:tabs>
          <w:tab w:leader="none" w:pos="11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Disclosure Package and the Prospectus (exclusive of any amendment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640"/>
          </w:cols>
          <w:pgMar w:left="920" w:top="1320" w:right="339" w:bottom="1440" w:gutter="0" w:footer="0" w:header="0"/>
        </w:sectPr>
      </w:pPr>
    </w:p>
    <w:bookmarkStart w:id="282" w:name="page283"/>
    <w:bookmarkEnd w:id="282"/>
    <w:p>
      <w:pPr>
        <w:ind w:left="-520" w:firstLine="586"/>
        <w:spacing w:after="0" w:line="255" w:lineRule="auto"/>
        <w:tabs>
          <w:tab w:leader="none" w:pos="65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Each of the Company and each of its subsidiaries owns or leases all such properties (other than Intellectual Property (as defined below), which is addressed exclusively in Section XX below) as are necessary to the conduct of its operations as presently conducted.</w:t>
      </w:r>
    </w:p>
    <w:p>
      <w:pPr>
        <w:spacing w:after="0" w:line="119" w:lineRule="exact"/>
        <w:rPr>
          <w:rFonts w:ascii="Arial" w:cs="Arial" w:eastAsia="Arial" w:hAnsi="Arial"/>
          <w:sz w:val="20"/>
          <w:szCs w:val="20"/>
          <w:color w:val="auto"/>
        </w:rPr>
      </w:pPr>
    </w:p>
    <w:p>
      <w:pPr>
        <w:ind w:left="-520" w:right="100" w:firstLine="586"/>
        <w:spacing w:after="0" w:line="248" w:lineRule="auto"/>
        <w:tabs>
          <w:tab w:leader="none" w:pos="66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Neither the Company nor any subsidiary is in violation or default of (i) any provision of its charter or bylaws or comparable constituting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any such violation or default as would not reasonably be expected to have a Material Adverse Effect.</w:t>
      </w:r>
    </w:p>
    <w:p>
      <w:pPr>
        <w:spacing w:after="0" w:line="129" w:lineRule="exact"/>
        <w:rPr>
          <w:rFonts w:ascii="Arial" w:cs="Arial" w:eastAsia="Arial" w:hAnsi="Arial"/>
          <w:sz w:val="20"/>
          <w:szCs w:val="20"/>
          <w:color w:val="auto"/>
        </w:rPr>
      </w:pPr>
    </w:p>
    <w:p>
      <w:pPr>
        <w:ind w:left="-520" w:right="20" w:firstLine="586"/>
        <w:spacing w:after="0" w:line="269" w:lineRule="auto"/>
        <w:tabs>
          <w:tab w:leader="none" w:pos="663"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Ernst &amp; Young LLP, who has certified certain financial statements of the Company and its consolidated subsidiaries and delivered its report with respect to the audited consolidated financial statements and schedules included in the Disclosure Package and the Prospectus, is an independent registered public accounting firm with respect to the Company within the meaning of the Securities Act and the applicable published rules and regulations thereunder.</w:t>
      </w:r>
    </w:p>
    <w:p>
      <w:pPr>
        <w:spacing w:after="0" w:line="108" w:lineRule="exact"/>
        <w:rPr>
          <w:rFonts w:ascii="Arial" w:cs="Arial" w:eastAsia="Arial" w:hAnsi="Arial"/>
          <w:sz w:val="19"/>
          <w:szCs w:val="19"/>
          <w:color w:val="auto"/>
        </w:rPr>
      </w:pPr>
    </w:p>
    <w:p>
      <w:pPr>
        <w:ind w:left="-520" w:right="200" w:firstLine="586"/>
        <w:spacing w:after="0" w:line="255" w:lineRule="auto"/>
        <w:tabs>
          <w:tab w:leader="none" w:pos="65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There are no transfer taxes or other similar fees or charges under Federal law or the laws of any state, or any political subdivision thereof, required to be paid in connection with the execution and delivery of this Agreement or the issuance by the Company or sale by the Company to the Underwriters of the Securities.</w:t>
      </w:r>
    </w:p>
    <w:p>
      <w:pPr>
        <w:spacing w:after="0" w:line="119" w:lineRule="exact"/>
        <w:rPr>
          <w:rFonts w:ascii="Arial" w:cs="Arial" w:eastAsia="Arial" w:hAnsi="Arial"/>
          <w:sz w:val="20"/>
          <w:szCs w:val="20"/>
          <w:color w:val="auto"/>
        </w:rPr>
      </w:pPr>
    </w:p>
    <w:p>
      <w:pPr>
        <w:ind w:left="-520" w:right="220" w:firstLine="586"/>
        <w:spacing w:after="0" w:line="280" w:lineRule="auto"/>
        <w:tabs>
          <w:tab w:leader="none" w:pos="66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has filed all applicable tax returns that are required to be filed or has requested extensions thereof through the date of this Agreement (except in any case in which the failure so to file would not reasonably be expected to have a Material Adverse Effect, except as set forth in or contemplated in the Disclosure Package and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reasonably be expected to have a Material Adverse Effect, except as set forth in or contemplated in the Disclosure Package and the Prospectus (exclusive of any amendment or supplement thereto).</w:t>
      </w:r>
    </w:p>
    <w:p>
      <w:pPr>
        <w:spacing w:after="0" w:line="102" w:lineRule="exact"/>
        <w:rPr>
          <w:rFonts w:ascii="Arial" w:cs="Arial" w:eastAsia="Arial" w:hAnsi="Arial"/>
          <w:sz w:val="18"/>
          <w:szCs w:val="18"/>
          <w:color w:val="auto"/>
        </w:rPr>
      </w:pPr>
    </w:p>
    <w:p>
      <w:pPr>
        <w:ind w:left="-520" w:right="60" w:firstLine="586"/>
        <w:spacing w:after="0" w:line="250" w:lineRule="auto"/>
        <w:tabs>
          <w:tab w:leader="none" w:pos="66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No labor problem 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except, in each case, as would not reasonably be expected to have a Material Adverse Effect, and except as set forth in or contemplated in the Disclosure Package and the Prospectus (exclusive of any amendment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20"/>
          </w:cols>
          <w:pgMar w:left="1440" w:top="1320" w:right="339" w:bottom="1440" w:gutter="0" w:footer="0" w:header="0"/>
        </w:sectPr>
      </w:pPr>
    </w:p>
    <w:bookmarkStart w:id="283" w:name="page284"/>
    <w:bookmarkEnd w:id="283"/>
    <w:p>
      <w:pPr>
        <w:ind w:left="-520" w:right="20" w:firstLine="586"/>
        <w:spacing w:after="0" w:line="277" w:lineRule="auto"/>
        <w:tabs>
          <w:tab w:leader="none" w:pos="6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and each of its subsidiaries are insured by insurers of recognized financial responsibility against such losses and risks and in such amounts as, in the Company’s reasonable judgment, are prudent and customary in the businesses in which they are engaged;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 (exclusive of any amendment or supplement thereto).</w:t>
      </w:r>
    </w:p>
    <w:p>
      <w:pPr>
        <w:spacing w:after="0" w:line="104" w:lineRule="exact"/>
        <w:rPr>
          <w:sz w:val="20"/>
          <w:szCs w:val="20"/>
          <w:color w:val="auto"/>
        </w:rPr>
      </w:pPr>
    </w:p>
    <w:p>
      <w:pPr>
        <w:ind w:left="-520" w:right="20" w:firstLine="586"/>
        <w:spacing w:after="0" w:line="250" w:lineRule="auto"/>
        <w:tabs>
          <w:tab w:leader="none" w:pos="66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in the Disclosure Package and the Prospectus (exclusive of any amendment or supplement thereto).</w:t>
      </w:r>
    </w:p>
    <w:p>
      <w:pPr>
        <w:spacing w:after="0" w:line="125" w:lineRule="exact"/>
        <w:rPr>
          <w:rFonts w:ascii="Arial" w:cs="Arial" w:eastAsia="Arial" w:hAnsi="Arial"/>
          <w:sz w:val="20"/>
          <w:szCs w:val="20"/>
          <w:color w:val="auto"/>
        </w:rPr>
      </w:pPr>
    </w:p>
    <w:p>
      <w:pPr>
        <w:ind w:left="-520" w:firstLine="586"/>
        <w:spacing w:after="0" w:line="276" w:lineRule="auto"/>
        <w:tabs>
          <w:tab w:leader="none" w:pos="66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sub-licenses, certificates, permits, accreditations, clearances, exemptions, approvals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including those required to be organized or licensed as an insurance, health insurance, managed care organization, health maintenance organization or health care management company or holding company in respect thereof (collectively, the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obtain such Permits as would not individually or in the aggregate reasonably be expected to have a Material Adverse Effect and all such Permits are valid and in full force and effect, except as would not individually or in the aggregate reasonably be expected to have a Material Adverse Effect; and neither the Company nor any of its subsidiaries has received notice of any revocation, termination, suspension, modification or material restriction, nor has knowledge of any potential revocation, termination, suspension, modification or material restriction, of any such Permit, nor has any reason to believe that any such Permit will not be renewed in the ordinary course, which, individually or in the aggregate, if the subject of an unfavorable decision, ruling or finding, would have a Material Adverse Effect. Except as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319" w:right="339" w:bottom="1440" w:gutter="0" w:footer="0" w:header="0"/>
        </w:sectPr>
      </w:pPr>
    </w:p>
    <w:bookmarkStart w:id="284" w:name="page285"/>
    <w:bookmarkEnd w:id="284"/>
    <w:p>
      <w:pPr>
        <w:ind w:left="8" w:right="140"/>
        <w:spacing w:after="0" w:line="250" w:lineRule="auto"/>
        <w:rPr>
          <w:sz w:val="20"/>
          <w:szCs w:val="20"/>
          <w:color w:val="auto"/>
        </w:rPr>
      </w:pPr>
      <w:r>
        <w:rPr>
          <w:rFonts w:ascii="Arial" w:cs="Arial" w:eastAsia="Arial" w:hAnsi="Arial"/>
          <w:sz w:val="20"/>
          <w:szCs w:val="20"/>
          <w:color w:val="auto"/>
        </w:rPr>
        <w:t>reasonably be expected to have a Material Adverse Effect, the Company and its subsidiaries are, and at all times have been, in compliance with applicable deposit, reserve, risk based or other capital requirements imposed by each applicable state department of insurance, and the Company and each such subsidiary of the Company currently maintains all cash, marketable securities or other assets required to be retained by the Company or any of its subsidiaries pursuant to any applicable Health Care Laws, including any state statutory capital reserve requirements.</w:t>
      </w:r>
    </w:p>
    <w:p>
      <w:pPr>
        <w:spacing w:after="0" w:line="125" w:lineRule="exact"/>
        <w:rPr>
          <w:sz w:val="20"/>
          <w:szCs w:val="20"/>
          <w:color w:val="auto"/>
        </w:rPr>
      </w:pPr>
    </w:p>
    <w:p>
      <w:pPr>
        <w:ind w:left="8" w:right="260" w:firstLine="586"/>
        <w:spacing w:after="0" w:line="311" w:lineRule="auto"/>
        <w:tabs>
          <w:tab w:leader="none" w:pos="119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(as contemplated under Rule 13a-15(f) of the Exchange Act)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8" w:hanging="8"/>
        <w:spacing w:after="0" w:line="278" w:lineRule="auto"/>
        <w:tabs>
          <w:tab w:leader="none" w:pos="35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in the Registration Statement, the Preliminary Prospectus and the Prospectus is in compliance with the SEC’s published rules, regulations and guidelines applicable thereto. Except as described in the Disclosure Package and Prospectus, the Company and its subsidiaries’ internal controls over financial reporting are effective and the Company and its subsidiaries are not aware of any material weakness in their internal controls over financial reporting.</w:t>
      </w:r>
    </w:p>
    <w:p>
      <w:pPr>
        <w:spacing w:after="0" w:line="103" w:lineRule="exact"/>
        <w:rPr>
          <w:rFonts w:ascii="Arial" w:cs="Arial" w:eastAsia="Arial" w:hAnsi="Arial"/>
          <w:sz w:val="18"/>
          <w:szCs w:val="18"/>
          <w:color w:val="auto"/>
        </w:rPr>
      </w:pPr>
    </w:p>
    <w:p>
      <w:pPr>
        <w:jc w:val="both"/>
        <w:ind w:left="8" w:right="120" w:firstLine="586"/>
        <w:spacing w:after="0" w:line="255" w:lineRule="auto"/>
        <w:tabs>
          <w:tab w:leader="none" w:pos="119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Company and its subsidiaries maintain “disclosure controls and procedures” (as such term is defined in Rule 13a-15(e) under the Securities and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such disclosure controls and procedures are effective.</w:t>
      </w:r>
    </w:p>
    <w:p>
      <w:pPr>
        <w:spacing w:after="0" w:line="119" w:lineRule="exact"/>
        <w:rPr>
          <w:rFonts w:ascii="Arial" w:cs="Arial" w:eastAsia="Arial" w:hAnsi="Arial"/>
          <w:sz w:val="20"/>
          <w:szCs w:val="20"/>
          <w:color w:val="auto"/>
        </w:rPr>
      </w:pPr>
    </w:p>
    <w:p>
      <w:pPr>
        <w:jc w:val="both"/>
        <w:ind w:left="8" w:right="300" w:firstLine="586"/>
        <w:spacing w:after="0" w:line="297" w:lineRule="auto"/>
        <w:tabs>
          <w:tab w:leader="none" w:pos="119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has not taken, directly or indirectly (without giving effect to the activities of the Underwriters),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84" w:lineRule="exact"/>
        <w:rPr>
          <w:rFonts w:ascii="Arial" w:cs="Arial" w:eastAsia="Arial" w:hAnsi="Arial"/>
          <w:sz w:val="18"/>
          <w:szCs w:val="18"/>
          <w:color w:val="auto"/>
        </w:rPr>
      </w:pPr>
    </w:p>
    <w:p>
      <w:pPr>
        <w:ind w:left="8" w:firstLine="586"/>
        <w:spacing w:after="0" w:line="248" w:lineRule="auto"/>
        <w:tabs>
          <w:tab w:leader="none" w:pos="1182"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20"/>
          <w:szCs w:val="20"/>
          <w:u w:val="single" w:color="auto"/>
          <w:color w:val="auto"/>
        </w:rPr>
        <w:t>Environmental Laws</w:t>
      </w:r>
      <w:r>
        <w:rPr>
          <w:rFonts w:ascii="Arial" w:cs="Arial" w:eastAsia="Arial" w:hAnsi="Arial"/>
          <w:sz w:val="20"/>
          <w:szCs w:val="20"/>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reasonably be expected to have a Material Adverse Effect, except as set forth in or contemplated in the Disclosure Package and the Prospectus (exclusive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88"/>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648"/>
          </w:cols>
          <w:pgMar w:left="912" w:top="1320" w:right="339" w:bottom="1440" w:gutter="0" w:footer="0" w:header="0"/>
        </w:sectPr>
      </w:pPr>
    </w:p>
    <w:bookmarkStart w:id="285" w:name="page286"/>
    <w:bookmarkEnd w:id="285"/>
    <w:p>
      <w:pPr>
        <w:ind w:left="8" w:right="40"/>
        <w:spacing w:after="0" w:line="255" w:lineRule="auto"/>
        <w:rPr>
          <w:sz w:val="20"/>
          <w:szCs w:val="20"/>
          <w:color w:val="auto"/>
        </w:rPr>
      </w:pPr>
      <w:r>
        <w:rPr>
          <w:rFonts w:ascii="Arial" w:cs="Arial" w:eastAsia="Arial" w:hAnsi="Arial"/>
          <w:sz w:val="20"/>
          <w:szCs w:val="20"/>
          <w:color w:val="auto"/>
        </w:rPr>
        <w:t>amendment or supplement thereto). Except as set forth in the Disclosure Package and the Prospectus, neither the Company nor any of the subsidiaries has been named as a “potentially responsible party” under the Comprehensive Environmental Response, Compensation, and Liability Act of 1980, as amended.</w:t>
      </w:r>
    </w:p>
    <w:p>
      <w:pPr>
        <w:spacing w:after="0" w:line="120" w:lineRule="exact"/>
        <w:rPr>
          <w:sz w:val="20"/>
          <w:szCs w:val="20"/>
          <w:color w:val="auto"/>
        </w:rPr>
      </w:pPr>
    </w:p>
    <w:p>
      <w:pPr>
        <w:ind w:left="8" w:right="40" w:firstLine="586"/>
        <w:spacing w:after="0" w:line="280" w:lineRule="auto"/>
        <w:tabs>
          <w:tab w:leader="none" w:pos="119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reasonably be expected to, individually or in the aggregate, have a Material Adverse Effect, except as set forth in or contemplated in the Disclosure Package and the Prospectus (exclusive of any amendment or supplement thereto).</w:t>
      </w:r>
    </w:p>
    <w:p>
      <w:pPr>
        <w:spacing w:after="0" w:line="102" w:lineRule="exact"/>
        <w:rPr>
          <w:rFonts w:ascii="Arial" w:cs="Arial" w:eastAsia="Arial" w:hAnsi="Arial"/>
          <w:sz w:val="18"/>
          <w:szCs w:val="18"/>
          <w:color w:val="auto"/>
        </w:rPr>
      </w:pPr>
    </w:p>
    <w:p>
      <w:pPr>
        <w:ind w:left="8" w:right="80" w:firstLine="586"/>
        <w:spacing w:after="0" w:line="310" w:lineRule="auto"/>
        <w:tabs>
          <w:tab w:leader="none" w:pos="119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None of the following events has occurred or exists, except as would not, individually or in the aggregate, reasonably be expected to result in a Material Adverse Effect: (i) a failure to fulfill the obligations, if any, under the minimum 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a Plan that is required to be funded, determined without regard to any waiver of such obligations or extension of any amortization period; (ii) an audit or investigation by the Internal Revenue Service, the U.S.</w:t>
      </w:r>
    </w:p>
    <w:p>
      <w:pPr>
        <w:spacing w:after="0" w:line="1" w:lineRule="exact"/>
        <w:rPr>
          <w:rFonts w:ascii="Arial" w:cs="Arial" w:eastAsia="Arial" w:hAnsi="Arial"/>
          <w:sz w:val="16"/>
          <w:szCs w:val="16"/>
          <w:color w:val="auto"/>
        </w:rPr>
      </w:pPr>
    </w:p>
    <w:p>
      <w:pPr>
        <w:ind w:left="8" w:right="240"/>
        <w:spacing w:after="0" w:line="306" w:lineRule="auto"/>
        <w:rPr>
          <w:rFonts w:ascii="Arial" w:cs="Arial" w:eastAsia="Arial" w:hAnsi="Arial"/>
          <w:sz w:val="16"/>
          <w:szCs w:val="16"/>
          <w:color w:val="auto"/>
        </w:rPr>
      </w:pPr>
      <w:r>
        <w:rPr>
          <w:rFonts w:ascii="Arial" w:cs="Arial" w:eastAsia="Arial" w:hAnsi="Arial"/>
          <w:sz w:val="16"/>
          <w:szCs w:val="16"/>
          <w:color w:val="auto"/>
        </w:rPr>
        <w:t>Department of Labor, the Pension Benefit Guaranty Corporation or any other federal or state governmental agency or any foreign regulatory agency with respect to the employment or compensation of employees by any of the Company or any of its subsidiaries;</w:t>
      </w:r>
    </w:p>
    <w:p>
      <w:pPr>
        <w:ind w:left="8" w:hanging="8"/>
        <w:spacing w:after="0" w:line="272" w:lineRule="auto"/>
        <w:tabs>
          <w:tab w:leader="none" w:pos="35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breach of any contractual obligation, or any violation of law or applicable qualification standards, with respect to the employment or compensation of employees by the Company or any of its subsidiaries. None of the following events has occurred or is reasonably likely to occur: (i) a material increase in the aggregate amount of Company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w:t>
      </w:r>
    </w:p>
    <w:p>
      <w:pPr>
        <w:spacing w:after="0" w:line="2" w:lineRule="exact"/>
        <w:rPr>
          <w:rFonts w:ascii="Arial" w:cs="Arial" w:eastAsia="Arial" w:hAnsi="Arial"/>
          <w:sz w:val="18"/>
          <w:szCs w:val="18"/>
          <w:color w:val="auto"/>
        </w:rPr>
      </w:pPr>
    </w:p>
    <w:p>
      <w:pPr>
        <w:ind w:left="8" w:right="80" w:hanging="8"/>
        <w:spacing w:after="0" w:line="246" w:lineRule="auto"/>
        <w:tabs>
          <w:tab w:leader="none" w:pos="34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filing of a claim by one or more employees or former employees of the Company or any of its subsidiaries related to their employment that would reasonably be expected to have a Material Adverse Effect. For purposes of this paragraph, the term “</w:t>
      </w:r>
      <w:r>
        <w:rPr>
          <w:rFonts w:ascii="Arial" w:cs="Arial" w:eastAsia="Arial" w:hAnsi="Arial"/>
          <w:sz w:val="20"/>
          <w:szCs w:val="20"/>
          <w:u w:val="single" w:color="auto"/>
          <w:color w:val="auto"/>
        </w:rPr>
        <w:t>Plan</w:t>
      </w:r>
      <w:r>
        <w:rPr>
          <w:rFonts w:ascii="Arial" w:cs="Arial" w:eastAsia="Arial" w:hAnsi="Arial"/>
          <w:sz w:val="20"/>
          <w:szCs w:val="20"/>
          <w:color w:val="auto"/>
        </w:rPr>
        <w:t>” means a plan (within the meaning of Section 3(3) of ERISA) subject to Title IV of ERISA with respect to which the Company or any of its subsidiaries may have any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28"/>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628"/>
          </w:cols>
          <w:pgMar w:left="912" w:top="1320" w:right="359" w:bottom="1440" w:gutter="0" w:footer="0" w:header="0"/>
        </w:sectPr>
      </w:pPr>
    </w:p>
    <w:bookmarkStart w:id="286" w:name="page287"/>
    <w:bookmarkEnd w:id="286"/>
    <w:p>
      <w:pPr>
        <w:ind w:left="-520" w:right="320" w:firstLine="586"/>
        <w:spacing w:after="0" w:line="335" w:lineRule="auto"/>
        <w:tabs>
          <w:tab w:leader="none" w:pos="66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in effect and with which the Company is required to comply as of the Effective Date, including Section 402 relating to loans and Sections 302 and 906 relating to certifications.</w:t>
      </w:r>
    </w:p>
    <w:p>
      <w:pPr>
        <w:spacing w:after="0" w:line="60" w:lineRule="exact"/>
        <w:rPr>
          <w:rFonts w:ascii="Arial" w:cs="Arial" w:eastAsia="Arial" w:hAnsi="Arial"/>
          <w:sz w:val="16"/>
          <w:szCs w:val="16"/>
          <w:color w:val="auto"/>
        </w:rPr>
      </w:pPr>
    </w:p>
    <w:p>
      <w:pPr>
        <w:ind w:left="-520" w:right="20" w:firstLine="586"/>
        <w:spacing w:after="0" w:line="279" w:lineRule="auto"/>
        <w:tabs>
          <w:tab w:leader="none" w:pos="66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or the U.K. Bribery Act 2010, each as may be amended, or similar law of any other relevant jurisdiction to which the Company is subject, or the rules or regulations thereunder; and the Company and its subsidiaries have instituted and maintain policies and procedures reasonably designed to ensure compliance therewith. No part of the proceeds of the offering of the Securities will be used, directly or indirectly, in violation of the Foreign Corrupt Practices Act of 1977 or the U.K. Bribery Act 2010, each as may be amended, or similar law of any other relevant jurisdiction to which the Company is subject, or the rules or regulations thereunder.</w:t>
      </w:r>
    </w:p>
    <w:p>
      <w:pPr>
        <w:spacing w:after="0" w:line="102" w:lineRule="exact"/>
        <w:rPr>
          <w:rFonts w:ascii="Arial" w:cs="Arial" w:eastAsia="Arial" w:hAnsi="Arial"/>
          <w:sz w:val="18"/>
          <w:szCs w:val="18"/>
          <w:color w:val="auto"/>
        </w:rPr>
      </w:pPr>
    </w:p>
    <w:p>
      <w:pPr>
        <w:ind w:left="-520" w:right="120" w:firstLine="586"/>
        <w:spacing w:after="0" w:line="264" w:lineRule="auto"/>
        <w:tabs>
          <w:tab w:leader="none" w:pos="66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applicable financial recordkeeping and reporting requirements and applicable anti-money laundering statutes and the applicable rules and regulations thereunder or any applicable related or similar rules, regulations or guidelines, issued, administered or enforced by any governmental agency (collectively, the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15" w:lineRule="exact"/>
        <w:rPr>
          <w:rFonts w:ascii="Arial" w:cs="Arial" w:eastAsia="Arial" w:hAnsi="Arial"/>
          <w:sz w:val="19"/>
          <w:szCs w:val="19"/>
          <w:color w:val="auto"/>
        </w:rPr>
      </w:pPr>
    </w:p>
    <w:p>
      <w:pPr>
        <w:ind w:left="-520" w:firstLine="586"/>
        <w:spacing w:after="0" w:line="277" w:lineRule="auto"/>
        <w:tabs>
          <w:tab w:leader="none" w:pos="66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and such persons, “</w:t>
      </w:r>
      <w:r>
        <w:rPr>
          <w:rFonts w:ascii="Arial" w:cs="Arial" w:eastAsia="Arial" w:hAnsi="Arial"/>
          <w:sz w:val="18"/>
          <w:szCs w:val="18"/>
          <w:u w:val="single" w:color="auto"/>
          <w:color w:val="auto"/>
        </w:rPr>
        <w:t>Sanctioned Persons</w:t>
      </w:r>
      <w:r>
        <w:rPr>
          <w:rFonts w:ascii="Arial" w:cs="Arial" w:eastAsia="Arial" w:hAnsi="Arial"/>
          <w:sz w:val="18"/>
          <w:szCs w:val="18"/>
          <w:color w:val="auto"/>
        </w:rPr>
        <w:t>” and each such person, a “</w:t>
      </w:r>
      <w:r>
        <w:rPr>
          <w:rFonts w:ascii="Arial" w:cs="Arial" w:eastAsia="Arial" w:hAnsi="Arial"/>
          <w:sz w:val="18"/>
          <w:szCs w:val="18"/>
          <w:u w:val="single" w:color="auto"/>
          <w:color w:val="auto"/>
        </w:rPr>
        <w:t>Sanctioned Person</w:t>
      </w:r>
      <w:r>
        <w:rPr>
          <w:rFonts w:ascii="Arial" w:cs="Arial" w:eastAsia="Arial" w:hAnsi="Arial"/>
          <w:sz w:val="18"/>
          <w:szCs w:val="18"/>
          <w:color w:val="auto"/>
        </w:rPr>
        <w:t>”), (ii) is located, organized or resident in a country or territory that is, or whose government is, the subject of Sanctions that broadly prohibit dealings with that country or territory (collectively, “</w:t>
      </w:r>
      <w:r>
        <w:rPr>
          <w:rFonts w:ascii="Arial" w:cs="Arial" w:eastAsia="Arial" w:hAnsi="Arial"/>
          <w:sz w:val="18"/>
          <w:szCs w:val="18"/>
          <w:u w:val="single" w:color="auto"/>
          <w:color w:val="auto"/>
        </w:rPr>
        <w:t>Sanctioned Countries</w:t>
      </w:r>
      <w:r>
        <w:rPr>
          <w:rFonts w:ascii="Arial" w:cs="Arial" w:eastAsia="Arial" w:hAnsi="Arial"/>
          <w:sz w:val="18"/>
          <w:szCs w:val="18"/>
          <w:color w:val="auto"/>
        </w:rPr>
        <w:t>” and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or (iii) will, directly or indirectly, use the proceeds of the offering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20"/>
          </w:cols>
          <w:pgMar w:left="1440" w:top="1320" w:right="339" w:bottom="1440" w:gutter="0" w:footer="0" w:header="0"/>
        </w:sectPr>
      </w:pPr>
    </w:p>
    <w:bookmarkStart w:id="287" w:name="page288"/>
    <w:bookmarkEnd w:id="287"/>
    <w:p>
      <w:pPr>
        <w:spacing w:after="0" w:line="252" w:lineRule="auto"/>
        <w:rPr>
          <w:sz w:val="20"/>
          <w:szCs w:val="20"/>
          <w:color w:val="auto"/>
        </w:rPr>
      </w:pPr>
      <w:r>
        <w:rPr>
          <w:rFonts w:ascii="Arial" w:cs="Arial" w:eastAsia="Arial" w:hAnsi="Arial"/>
          <w:sz w:val="20"/>
          <w:szCs w:val="20"/>
          <w:color w:val="auto"/>
        </w:rPr>
        <w:t>Securities,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22" w:lineRule="exact"/>
        <w:rPr>
          <w:sz w:val="20"/>
          <w:szCs w:val="20"/>
          <w:color w:val="auto"/>
        </w:rPr>
      </w:pPr>
    </w:p>
    <w:p>
      <w:pPr>
        <w:jc w:val="both"/>
        <w:ind w:right="20" w:firstLine="586"/>
        <w:spacing w:after="0" w:line="349" w:lineRule="auto"/>
        <w:tabs>
          <w:tab w:leader="none" w:pos="118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spacing w:after="0" w:line="50" w:lineRule="exact"/>
        <w:rPr>
          <w:rFonts w:ascii="Arial" w:cs="Arial" w:eastAsia="Arial" w:hAnsi="Arial"/>
          <w:sz w:val="16"/>
          <w:szCs w:val="16"/>
          <w:color w:val="auto"/>
        </w:rPr>
      </w:pPr>
    </w:p>
    <w:p>
      <w:pPr>
        <w:ind w:right="100" w:firstLine="586"/>
        <w:spacing w:after="0" w:line="266" w:lineRule="auto"/>
        <w:tabs>
          <w:tab w:leader="none" w:pos="118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subsidiaries listed on Annex A attached hereto are the only significant subsidiaries of the Company as defined by Rule 1-02 of Regulation S-X.</w:t>
      </w:r>
    </w:p>
    <w:p>
      <w:pPr>
        <w:spacing w:after="0" w:line="108" w:lineRule="exact"/>
        <w:rPr>
          <w:rFonts w:ascii="Arial" w:cs="Arial" w:eastAsia="Arial" w:hAnsi="Arial"/>
          <w:sz w:val="20"/>
          <w:szCs w:val="20"/>
          <w:color w:val="auto"/>
        </w:rPr>
      </w:pPr>
    </w:p>
    <w:p>
      <w:pPr>
        <w:ind w:firstLine="586"/>
        <w:spacing w:after="0" w:line="274" w:lineRule="auto"/>
        <w:tabs>
          <w:tab w:leader="none" w:pos="118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as described in the Disclosure Package and Prospectus or where it would not reasonably be expected, individually or in the aggregate, to have a Material Adverse Effect (i) The Company and its subsidiaries own, possess, or have the right to use, or can acquire the right to use on reasonable terms, all patents, trademarks, service marks, trade names, domain names and other source indicators, copyrights and copyrightable works, licenses know-how (including trade secrets, data and other unpatented and/or unpatentable proprietary or confidential information, systems or procedures), software, proprietary or confidential information and all other worldwide intellectual property and proprietary rights (including all registrations, and applications for registration of, and all goodwill associated with, the foregoing) (collectively,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used in, or, to the knowledge of the Company, necessary for use in, the conduct of their respective businesses as currently conducted and as proposed to be conducted in the Registration Statement, the Disclosure Package and the Prospectus; (ii) to the knowledge of the Company, the Company’s and its subsidiaries’ conduct of their respective businesses as currently conducted has not infringed, misappropriated or otherwise violated any valid Intellectual Property of any person; (iii) other than in connection with proceedings with the relevant patent, trademark, or similar intellectual property offices in relevant jurisdictions (including the United States Patent and Trademark Office) in the ordinary course of prosecuting, maintaining, obtaining, or registering patent rights, trademark rights, copyrights, or other Intellectual Property of the Company or its Subsidiaries, there is no claim, action, suit, investigation or proceeding pending against, or to the knowledge of the Company, threatened against, the Company or its subsidiaries (A) based upon, or challenging or seeking to deny or restrict, any rights of the Company and its subsidiaries in any Intellectual Property owned by or exclusively licensed to the Company or any of its subsidiaries, (B) challenging the ownership, validity, enforceability or scope of any Intellectual Property owned by or exclusively licensed to the Company or its subsidiaries, or (C) alleging that the Company or any of its subsidiaries have infringed, misappropriated or otherwise violated any Intellectual Property of any person; (iv) to the knowledge of the Company, the Intellectual Property owned or exclusively licensed by the Company and its subsidiaries has not been infringed, misappropriated or otherwise violated by any person; (v) to the knowledge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600"/>
          </w:cols>
          <w:pgMar w:left="920" w:top="1319" w:right="379" w:bottom="1440" w:gutter="0" w:footer="0" w:header="0"/>
        </w:sectPr>
      </w:pPr>
    </w:p>
    <w:bookmarkStart w:id="288" w:name="page289"/>
    <w:bookmarkEnd w:id="288"/>
    <w:p>
      <w:pPr>
        <w:ind w:right="100"/>
        <w:spacing w:after="0" w:line="280" w:lineRule="auto"/>
        <w:rPr>
          <w:sz w:val="20"/>
          <w:szCs w:val="20"/>
          <w:color w:val="auto"/>
        </w:rPr>
      </w:pPr>
      <w:r>
        <w:rPr>
          <w:rFonts w:ascii="Arial" w:cs="Arial" w:eastAsia="Arial" w:hAnsi="Arial"/>
          <w:sz w:val="18"/>
          <w:szCs w:val="18"/>
          <w:color w:val="auto"/>
        </w:rPr>
        <w:t>the Company, none of the Intellectual Property owned by or exclusively licensed to the Company and its subsidiaries has been adjudged invalid or unenforceable and all such Intellectual Property is valid and enforceable; and (vi) the Company and its subsidiaries have taken reasonable steps in accordance with normal industry practice to maintain the confidentiality of all Intellectual Property of the Company and its subsidiaries the value of which to the Company and its subsidiaries is contingent upon maintaining the confidentiality thereof, and, to the knowledge of the Company, no such Intellectual Property has been disclosed other than to employees, representatives, partners, legal or financial advisors and agents of the Company, or other authorized third parties, all of whom are bound by written or other professional or ethical obligations of confidentiality with respect thereto.</w:t>
      </w:r>
    </w:p>
    <w:p>
      <w:pPr>
        <w:spacing w:after="0" w:line="102" w:lineRule="exact"/>
        <w:rPr>
          <w:sz w:val="20"/>
          <w:szCs w:val="20"/>
          <w:color w:val="auto"/>
        </w:rPr>
      </w:pPr>
    </w:p>
    <w:p>
      <w:pPr>
        <w:ind w:firstLine="586"/>
        <w:spacing w:after="0" w:line="275" w:lineRule="auto"/>
        <w:tabs>
          <w:tab w:leader="none" w:pos="118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and its subsidiaries’ information technology assets and equipment, computers, systems, networks, hardware, software, websites, applications, and databases owned or used by the Company or its subsidiaries (collectively, “</w:t>
      </w:r>
      <w:r>
        <w:rPr>
          <w:rFonts w:ascii="Arial" w:cs="Arial" w:eastAsia="Arial" w:hAnsi="Arial"/>
          <w:sz w:val="18"/>
          <w:szCs w:val="18"/>
          <w:u w:val="single" w:color="auto"/>
          <w:color w:val="auto"/>
        </w:rPr>
        <w:t>IT</w:t>
      </w:r>
      <w:r>
        <w:rPr>
          <w:rFonts w:ascii="Arial" w:cs="Arial" w:eastAsia="Arial" w:hAnsi="Arial"/>
          <w:sz w:val="18"/>
          <w:szCs w:val="18"/>
          <w:color w:val="auto"/>
        </w:rPr>
        <w:t xml:space="preserve"> </w:t>
      </w:r>
      <w:r>
        <w:rPr>
          <w:rFonts w:ascii="Arial" w:cs="Arial" w:eastAsia="Arial" w:hAnsi="Arial"/>
          <w:sz w:val="18"/>
          <w:szCs w:val="18"/>
          <w:u w:val="single" w:color="auto"/>
          <w:color w:val="auto"/>
        </w:rPr>
        <w:t>Systems</w:t>
      </w:r>
      <w:r>
        <w:rPr>
          <w:rFonts w:ascii="Arial" w:cs="Arial" w:eastAsia="Arial" w:hAnsi="Arial"/>
          <w:sz w:val="18"/>
          <w:szCs w:val="18"/>
          <w:color w:val="auto"/>
        </w:rPr>
        <w:t>”) are, to the knowledge of the Company, adequate for, and operate and perform in all material respects as required in connection with the operation of the business of the Company and its subsidiaries as currently conducted and as proposed to be conducted in the Registration Statement, the Disclosure Package and the Prospectus. To the knowledge of the Company, the IT systems are free and clear of all material bugs, errors, defects, Trojan horses, time bombs, malware, viruses, ransomware, and other disabling or malicious codes or corruptants. The Company and its subsidiaries have implemented and maintained commercially reasonable controls, policies, procedures, and safeguards designed to maintain and protect their material confidential information and the integrity, continuous operation, redundancy and security of the IT Systems and data collected, used, maintained or otherwise processed, by the Company and its subsidiaries (including all personal, personally identifiable, household, sensitive, confidential or regulated data collected, used or processed in connection with their respective businesses (including “personal data,” “personal information,” “protected health information,” “nonpublic personal information,” or other similar terms as defined by the Data Security Obligations (as such term is defined below)) (“</w:t>
      </w:r>
      <w:r>
        <w:rPr>
          <w:rFonts w:ascii="Arial" w:cs="Arial" w:eastAsia="Arial" w:hAnsi="Arial"/>
          <w:sz w:val="18"/>
          <w:szCs w:val="18"/>
          <w:u w:val="single" w:color="auto"/>
          <w:color w:val="auto"/>
        </w:rPr>
        <w:t>Personal Data</w:t>
      </w:r>
      <w:r>
        <w:rPr>
          <w:rFonts w:ascii="Arial" w:cs="Arial" w:eastAsia="Arial" w:hAnsi="Arial"/>
          <w:sz w:val="18"/>
          <w:szCs w:val="18"/>
          <w:color w:val="auto"/>
        </w:rPr>
        <w:t>”)), and there have been no breaches, incidents, violations, outages or unauthorized uses of or accesses to the IT Systems, except for those that have been remedied without material cost or liability or the duty to notify any other person or entity, nor any incidents under internal review or investigations relating to same. The Company and its subsidiaries have implemented backup and disaster recovery technology consistent with industry standards and practices.</w:t>
      </w:r>
    </w:p>
    <w:p>
      <w:pPr>
        <w:spacing w:after="0" w:line="111" w:lineRule="exact"/>
        <w:rPr>
          <w:rFonts w:ascii="Arial" w:cs="Arial" w:eastAsia="Arial" w:hAnsi="Arial"/>
          <w:sz w:val="18"/>
          <w:szCs w:val="18"/>
          <w:color w:val="auto"/>
        </w:rPr>
      </w:pPr>
    </w:p>
    <w:p>
      <w:pPr>
        <w:ind w:right="40" w:firstLine="586"/>
        <w:spacing w:after="0" w:line="249" w:lineRule="auto"/>
        <w:tabs>
          <w:tab w:leader="none" w:pos="118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Except as would not reasonably be expected, individually or in the aggregate, to have a Material Adverse Effect, the Company and its subsidiaries have complied with and are presently in compliance with all applicable federal, state, local and foreign laws or statutes (including, without limitation, to the extent applicable, the Federal Trade Commission Act, the Health Insurance Portability and Accountability Act of 1996, as amended by the Health Information Technology for Economic and Clinical Health Act, the Telephone Consumer Protection Act of 1991, the California Consumer Privacy Act, and the European Union General Data Protection Regulation (“</w:t>
      </w:r>
      <w:r>
        <w:rPr>
          <w:rFonts w:ascii="Arial" w:cs="Arial" w:eastAsia="Arial" w:hAnsi="Arial"/>
          <w:sz w:val="20"/>
          <w:szCs w:val="20"/>
          <w:u w:val="single" w:color="auto"/>
          <w:color w:val="auto"/>
        </w:rPr>
        <w:t>GDPR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640"/>
          </w:cols>
          <w:pgMar w:left="920" w:top="1319" w:right="339" w:bottom="1440" w:gutter="0" w:footer="0" w:header="0"/>
        </w:sectPr>
      </w:pPr>
    </w:p>
    <w:bookmarkStart w:id="289" w:name="page290"/>
    <w:bookmarkEnd w:id="289"/>
    <w:p>
      <w:pPr>
        <w:spacing w:after="0" w:line="275" w:lineRule="auto"/>
        <w:rPr>
          <w:sz w:val="20"/>
          <w:szCs w:val="20"/>
          <w:color w:val="auto"/>
        </w:rPr>
      </w:pPr>
      <w:r>
        <w:rPr>
          <w:rFonts w:ascii="Arial" w:cs="Arial" w:eastAsia="Arial" w:hAnsi="Arial"/>
          <w:sz w:val="18"/>
          <w:szCs w:val="18"/>
          <w:color w:val="auto"/>
        </w:rPr>
        <w:t>and similar foreign laws, and all applicable rules or regulations promulgated under any such laws or requirements, and all applicable judgments, orders, rules and regulations of any court or arbitrator or governmental or regulatory authority, as well as applicable internal and external policies, and contractual obligations of the Company, and industry standards relating to the privacy and security of IT Systems and the collection, use, transfer, import, export, storage, disposal and disclosure of Personal Data and to the protection of such IT Systems and Personal Data from unauthorized use, access, misappropriation or modification (“</w:t>
      </w:r>
      <w:r>
        <w:rPr>
          <w:rFonts w:ascii="Arial" w:cs="Arial" w:eastAsia="Arial" w:hAnsi="Arial"/>
          <w:sz w:val="18"/>
          <w:szCs w:val="18"/>
          <w:u w:val="single" w:color="auto"/>
          <w:color w:val="auto"/>
        </w:rPr>
        <w:t>Data Security Obligations</w:t>
      </w:r>
      <w:r>
        <w:rPr>
          <w:rFonts w:ascii="Arial" w:cs="Arial" w:eastAsia="Arial" w:hAnsi="Arial"/>
          <w:sz w:val="18"/>
          <w:szCs w:val="18"/>
          <w:color w:val="auto"/>
        </w:rPr>
        <w:t>”). Neither the Company nor its subsidiaries have received any notification of or written complaint regarding non-compliance with any Data Security Obligation from any governmental agency, authority or body. There is no pending, or to the knowledge of the Company, threatened, action, suit or proceeding by or before any court or governmental agency, authority or body alleging non-compliance with any Data Security Obligation. To the knowledge of the Company, there has been no unauthorized access to Personal Data collected, used or processed by or on behalf of the Company and its subsidiaries in connection with the Company’s business. The Company and its subsidiaries have made all disclosures to users or customers required by applicable laws and regulatory rules or requirements in connection with such Data Security Obligations, and no such disclosures have been materially inaccurate or in material violation of any applicable laws or regulatory rules and requirements. The Company and its subsidiaries have taken all necessary actions to prepare to comply in all material respects with the GDPR (and all other applicable laws and regulations with respect to Personal Data that have been announced as of the date hereof as becoming effective within 12 months after the date hereof, and for which any noncompliance with same would be reasonably likely to create a material liability, as soon as they take effect.</w:t>
      </w:r>
    </w:p>
    <w:p>
      <w:pPr>
        <w:spacing w:after="0" w:line="112" w:lineRule="exact"/>
        <w:rPr>
          <w:sz w:val="20"/>
          <w:szCs w:val="20"/>
          <w:color w:val="auto"/>
        </w:rPr>
      </w:pPr>
    </w:p>
    <w:p>
      <w:pPr>
        <w:ind w:right="40" w:firstLine="586"/>
        <w:spacing w:after="0" w:line="276" w:lineRule="auto"/>
        <w:tabs>
          <w:tab w:leader="none" w:pos="117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in compliance with all license terms applicable to such Open Source Software; (ii) neither the Company or its subsidiaries use or distribute or have used or distributed any Open Source Software in any manner that, to the knowledge of the Company, requires or has required (A) Company or its subsidiaries to permit reverse engineering of any software code or other technology owned by Company or its subsidiaries or (B) any software code or other technology owned by Company or its subsidiaries to be (1) disclosed or distributed in source code form, (2) licensed for the purpose of making derivative works or (3) redistributed at no charge; and (iii) neither the Company nor its subsidiaries has deposited, nor could be required to deposit, into escrow the source code of any of its software and no such source code has been released to any third party, or is entitled to be released to any third party, by any escrow agent, and the consummation of the transactions contemplated by this Agreement will not trigger the release of any such source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640"/>
          </w:cols>
          <w:pgMar w:left="920" w:top="1320" w:right="339" w:bottom="1440" w:gutter="0" w:footer="0" w:header="0"/>
        </w:sectPr>
      </w:pPr>
    </w:p>
    <w:bookmarkStart w:id="290" w:name="page291"/>
    <w:bookmarkEnd w:id="290"/>
    <w:p>
      <w:pPr>
        <w:ind w:right="40" w:firstLine="586"/>
        <w:spacing w:after="0" w:line="315" w:lineRule="auto"/>
        <w:tabs>
          <w:tab w:leader="none" w:pos="117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Pricing Disclosure Package, and the Prospectus, (i) all reports, documents, claims, notices or approvals required to be filed, obtained, maintained or furnished pursuant to any Health Care Law (as defined below) or as otherwise required by the Centers for Medicare &amp; Medicaid Services (“</w:t>
      </w:r>
      <w:r>
        <w:rPr>
          <w:rFonts w:ascii="Arial" w:cs="Arial" w:eastAsia="Arial" w:hAnsi="Arial"/>
          <w:sz w:val="16"/>
          <w:szCs w:val="16"/>
          <w:u w:val="single" w:color="auto"/>
          <w:color w:val="auto"/>
        </w:rPr>
        <w:t>CMS</w:t>
      </w:r>
      <w:r>
        <w:rPr>
          <w:rFonts w:ascii="Arial" w:cs="Arial" w:eastAsia="Arial" w:hAnsi="Arial"/>
          <w:sz w:val="16"/>
          <w:szCs w:val="16"/>
          <w:color w:val="auto"/>
        </w:rPr>
        <w:t>”), any Government Program (as defined below), or another Governmental Authority (as defined below), have been so filed, obtained, maintained or furnished, and all such reports, documents, claims and notices were complete and correct in all material respects on the date filed (or were corrected in or supplemented by a subsequent filing), except where the failure to do so could not reasonably be expected, individually or in the aggregate, to have a Material Adverse Effect; and (ii) neither the Company nor any of its subsidiaries (a) is or has been a party to any corporate integrity agreements, non- or deferred-prosecution agreements, monitoring agreements, consent decrees, settlement orders, plan of correction, or similar agreements or remedial measures with or imposed by any Governmental Authority; (b) has been assessed a civil monetary penalty under applicable Health Care Laws; or (c) has been convicted or any criminal offense under applicable Health Care Laws, including with regard to the delivery or payment of any item or service under a Government Program.</w:t>
      </w:r>
    </w:p>
    <w:p>
      <w:pPr>
        <w:spacing w:after="0" w:line="75" w:lineRule="exact"/>
        <w:rPr>
          <w:rFonts w:ascii="Arial" w:cs="Arial" w:eastAsia="Arial" w:hAnsi="Arial"/>
          <w:sz w:val="16"/>
          <w:szCs w:val="16"/>
          <w:color w:val="auto"/>
        </w:rPr>
      </w:pPr>
    </w:p>
    <w:p>
      <w:pPr>
        <w:ind w:firstLine="586"/>
        <w:spacing w:after="0" w:line="275" w:lineRule="auto"/>
        <w:tabs>
          <w:tab w:leader="none" w:pos="118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of the Company and its subsidiaries is and has always been in compliance, to the extent applicable, with each of its contracts and all other conditions of participation in the Medicare program, the Medicaid programs in the states in which such entity operates, and all other government funded or sponsored healthcare programs (collectively, the “</w:t>
      </w:r>
      <w:r>
        <w:rPr>
          <w:rFonts w:ascii="Arial" w:cs="Arial" w:eastAsia="Arial" w:hAnsi="Arial"/>
          <w:sz w:val="18"/>
          <w:szCs w:val="18"/>
          <w:u w:val="single" w:color="auto"/>
          <w:color w:val="auto"/>
        </w:rPr>
        <w:t>Government Programs</w:t>
      </w:r>
      <w:r>
        <w:rPr>
          <w:rFonts w:ascii="Arial" w:cs="Arial" w:eastAsia="Arial" w:hAnsi="Arial"/>
          <w:sz w:val="18"/>
          <w:szCs w:val="18"/>
          <w:color w:val="auto"/>
        </w:rPr>
        <w:t>”) except where failure to be in compliance would not reasonably be expected, individually or in the aggregate, to have a Material Adverse Effect; neither the Company nor any of its subsidiaries, has any material outstanding overpayments or refunds due under the Government Program contracts; neither the Company nor any of its subsidiaries is subject to any pending or, to the knowledge of the Company, threatened or contemplated Action that would reasonably be expected to result in a revocation, suspension, termination, restriction or non-renewal of any third party payor participation agreement or the Company’s or a subsidiary’s participation in any Government Program; and the Company and each subsidiary is in compliance with all applicable Health Care Laws applicable to the establishment, processing, use, distribution, marketing, advertising, promotion, sale, operation, management, or offer for the sale of a product or service of the Company and/or its subsidiaries, except as set forth in or contemplated in the Registration Statement (excluding the exhibits thereto), the Pricing Disclosure Package and the Prospectus and except to the extent that failure to be in compliance would not reasonably be expected, individually or in the aggregate, to have a Material Adverse Effect. For purposes of this Agreement, “</w:t>
      </w:r>
      <w:r>
        <w:rPr>
          <w:rFonts w:ascii="Arial" w:cs="Arial" w:eastAsia="Arial" w:hAnsi="Arial"/>
          <w:sz w:val="18"/>
          <w:szCs w:val="18"/>
          <w:u w:val="single" w:color="auto"/>
          <w:color w:val="auto"/>
        </w:rPr>
        <w:t>Health Care Laws</w:t>
      </w:r>
      <w:r>
        <w:rPr>
          <w:rFonts w:ascii="Arial" w:cs="Arial" w:eastAsia="Arial" w:hAnsi="Arial"/>
          <w:sz w:val="18"/>
          <w:szCs w:val="18"/>
          <w:color w:val="auto"/>
        </w:rPr>
        <w:t>” shall mean all federal, state and local laws governing managed care organizations, health maintenance organizations, health insurance producers or other risk bearing entity, for the payment of health care items and services, including, without limitation: (i) the Federal Food, Drug, and Cosmetic Act (21 U.S.C. § 301 et seq.) (the “</w:t>
      </w:r>
      <w:r>
        <w:rPr>
          <w:rFonts w:ascii="Arial" w:cs="Arial" w:eastAsia="Arial" w:hAnsi="Arial"/>
          <w:sz w:val="18"/>
          <w:szCs w:val="18"/>
          <w:u w:val="single" w:color="auto"/>
          <w:color w:val="auto"/>
        </w:rPr>
        <w:t>FDCA</w:t>
      </w:r>
      <w:r>
        <w:rPr>
          <w:rFonts w:ascii="Arial" w:cs="Arial" w:eastAsia="Arial" w:hAnsi="Arial"/>
          <w:sz w:val="18"/>
          <w:szCs w:val="18"/>
          <w:color w:val="auto"/>
        </w:rPr>
        <w:t>”); (ii) Titles XVIII and XIX of the Social Security Act, all state law equivalents and regulations thereto governing the Government Programs; (iii) the Medicare Advantage marketing laws and rules, any other federal or state laws or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580"/>
          </w:cols>
          <w:pgMar w:left="920" w:top="1319" w:right="399" w:bottom="1440" w:gutter="0" w:footer="0" w:header="0"/>
        </w:sectPr>
      </w:pPr>
    </w:p>
    <w:bookmarkStart w:id="291" w:name="page292"/>
    <w:bookmarkEnd w:id="291"/>
    <w:p>
      <w:pPr>
        <w:ind w:left="8" w:right="120"/>
        <w:spacing w:after="0" w:line="310" w:lineRule="auto"/>
        <w:rPr>
          <w:sz w:val="20"/>
          <w:szCs w:val="20"/>
          <w:color w:val="auto"/>
        </w:rPr>
      </w:pPr>
      <w:r>
        <w:rPr>
          <w:rFonts w:ascii="Arial" w:cs="Arial" w:eastAsia="Arial" w:hAnsi="Arial"/>
          <w:sz w:val="16"/>
          <w:szCs w:val="16"/>
          <w:color w:val="auto"/>
        </w:rPr>
        <w:t>relating to fraudulent, abuse or unlawful practices in connection with the provision or marketing of healthcare items, services or cover; (iv) Sections 1320a-7, 1320a-7a and 1320a-7b of Title 42 of the United States Code; (v) the False Claims Act, 31 U.S.C. Sections 3729-3733; (vi) the Stark law, 42 U.S.C. § 1395nn; (vii) the Federal Criminal False Claims Act, 18 U.S.C. § 287; (viii) the False Statements Relating to Health Care Matters statute, 18 U.S.C. § 1035; (ix) the Health Care Fraud statute, 18 U.S.C. § 1347; (x) the Patient Protection and Affordable Care Act of 2010, as amended by the Health Care and Education Reconciliation Act of 2010;</w:t>
      </w:r>
    </w:p>
    <w:p>
      <w:pPr>
        <w:spacing w:after="0" w:line="2" w:lineRule="exact"/>
        <w:rPr>
          <w:sz w:val="20"/>
          <w:szCs w:val="20"/>
          <w:color w:val="auto"/>
        </w:rPr>
      </w:pPr>
    </w:p>
    <w:p>
      <w:pPr>
        <w:ind w:left="8" w:hanging="8"/>
        <w:spacing w:after="0" w:line="276" w:lineRule="auto"/>
        <w:tabs>
          <w:tab w:leader="none" w:pos="3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as amended by the Health Information Technology for Economic and Clinical Health Act and their implementing regulations at 45 C.F.R. Parts 160 and 164 and applicable state health care privacy and security laws; (xii) any fee-splitting statutes and corporate practice of medicine laws and regulations in the states in which the Company and each significant subsidiary operates or manages a clinic or medical practice; and (xiii) any and all other similar laws, industry and subregulatory requirements, and the regulations promulgated pursuant to each of (i) through (xiii), each as amended from time to time. For purposes of Section 1(ss)-(vv) of this Agreement,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all applicable federal, state, local and other governmental authorities, agencies, regulatory bodies, self-regulatory organizations, courts and administrative tribunals, including CMS, state departments of insurance or managed care, health and/or public health, as the case may be, state Medicaid programs, and federal and state attorney general departments or offices.</w:t>
      </w:r>
    </w:p>
    <w:p>
      <w:pPr>
        <w:spacing w:after="0" w:line="104" w:lineRule="exact"/>
        <w:rPr>
          <w:rFonts w:ascii="Arial" w:cs="Arial" w:eastAsia="Arial" w:hAnsi="Arial"/>
          <w:sz w:val="18"/>
          <w:szCs w:val="18"/>
          <w:color w:val="auto"/>
        </w:rPr>
      </w:pPr>
    </w:p>
    <w:p>
      <w:pPr>
        <w:ind w:left="8" w:right="40" w:firstLine="586"/>
        <w:spacing w:after="0" w:line="275" w:lineRule="auto"/>
        <w:tabs>
          <w:tab w:leader="none" w:pos="119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Each of the Company and its subsidiaries, where applicable, has in place a corporate and regulatory compliance program, including a plan for being in compliance with HIPAA, and each is in compliance with such program, except where the failure to do so would not reasonably be expected, individually or in the aggregate, to have a Material Adverse Effect; none of the Company, its subsidiaries, nor any officer, director, employee or to the Company’s knowledge, other agent of the Company, has engaged on behalf of the Company or such subsidiary in any of the following: (i) knowingly and willfully making or causing to be made a false statement or representation of a material fact in any applications for any benefit or payment under a Government Program or from any third party (where applicable federal or state law prohibits such payments to third parties); (ii) knowingly and willfully making or causing to be made any false statement or representation of a material fact for use in determining rights to any benefit or payment under a Government Program or from any third party (where applicable federal or state law prohibits such payments to third parties); (iii) knowingly and willfully failing to disclose knowledge by a claimant of the occurrence of any event affecting the initial or continued right to any benefit or payment under a Government Program or from any third party (where applicable federal or state law prohibits such payments to third parties) on its own behalf or on behalf of another, with intent to secure such benefit or payment fraudulently; (iv) knowingly and willfully offering, paying, soliciting or receiving any remuneration (including any kickback, bribe or rebate), directly or indirectly, overtly or covertly, in cash or in kind (A) in return for referring an individual to a person for the furnishing or arranging for the furnishing of any item or service for which payment may be made in whole or in part by a Government Program or plan or any third party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8"/>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628"/>
          </w:cols>
          <w:pgMar w:left="912" w:top="1319" w:right="359" w:bottom="1440" w:gutter="0" w:footer="0" w:header="0"/>
        </w:sectPr>
      </w:pPr>
    </w:p>
    <w:bookmarkStart w:id="292" w:name="page293"/>
    <w:bookmarkEnd w:id="292"/>
    <w:p>
      <w:pPr>
        <w:ind w:left="600" w:right="220"/>
        <w:spacing w:after="0" w:line="252" w:lineRule="auto"/>
        <w:rPr>
          <w:sz w:val="20"/>
          <w:szCs w:val="20"/>
          <w:color w:val="auto"/>
        </w:rPr>
      </w:pPr>
      <w:r>
        <w:rPr>
          <w:rFonts w:ascii="Arial" w:cs="Arial" w:eastAsia="Arial" w:hAnsi="Arial"/>
          <w:sz w:val="20"/>
          <w:szCs w:val="20"/>
          <w:color w:val="auto"/>
        </w:rPr>
        <w:t>applicable federal or state law prohibits such payments to third parties), or (B) in return for purchasing, leasing or ordering or arranging for or recommending the purchasing, leasing or ordering of any good, facility, service, or item for which payment may be made in whole or in part by a Government Program or plan or any third party (where applicable federal or state law prohibits such payments to third parties)</w:t>
      </w:r>
    </w:p>
    <w:p>
      <w:pPr>
        <w:spacing w:after="0" w:line="122" w:lineRule="exact"/>
        <w:rPr>
          <w:sz w:val="20"/>
          <w:szCs w:val="20"/>
          <w:color w:val="auto"/>
        </w:rPr>
      </w:pPr>
    </w:p>
    <w:p>
      <w:pPr>
        <w:ind w:left="600" w:right="100" w:firstLine="586"/>
        <w:spacing w:after="0" w:line="261" w:lineRule="auto"/>
        <w:tabs>
          <w:tab w:leader="none" w:pos="178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Company and each subsidiary has taken reasonable actions designed to ensure that they do not allow any individual with an ownership or control interest (as defined in 42 U.S.C. § 1320a-3(a)(3)) in the Company or any subsidiary or any officer, director or managing employee (as defined in 42 U.S.C. § 1320a-5(b)) of the Company or any subsidiary who would be a person excluded from participation in any Government Program as described in 42 U.S.C. § 1320a-7(b)(8) to participate in any such Government Program in which the Company or any subsidiary participates; except where the following would not reasonably be expected, individually or in the aggregate, to have a Material Adverse Effect, each of the Company and its subsidiaries has in place a verification and credentialing program that routinely reviews all applicable lists of excluded parties maintained by any Governmental Authority to ensure that no physician, healthcare provider, hospital, health facility or any other participating provider in a network operated by the Company or any subsidiary has been or is debarred, suspended or excluded from participation in any Government Program.</w:t>
      </w:r>
    </w:p>
    <w:p>
      <w:pPr>
        <w:spacing w:after="0" w:line="121" w:lineRule="exact"/>
        <w:rPr>
          <w:rFonts w:ascii="Arial" w:cs="Arial" w:eastAsia="Arial" w:hAnsi="Arial"/>
          <w:sz w:val="19"/>
          <w:szCs w:val="19"/>
          <w:color w:val="auto"/>
        </w:rPr>
      </w:pPr>
    </w:p>
    <w:p>
      <w:pPr>
        <w:jc w:val="both"/>
        <w:ind w:left="600" w:right="280" w:firstLine="586"/>
        <w:spacing w:after="0" w:line="252" w:lineRule="auto"/>
        <w:tabs>
          <w:tab w:leader="none" w:pos="178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Except as disclosed in the Registration Statement, the Disclosure Package and the Prospectus, the Company (i) does not have any material lending or other relationship with any bank or lending affiliate of any Underwriter and (ii) does not intend to use any of the proceeds from the sale of the Securities hereunder to repay any outstanding debt owed to any affiliate of any Underwriter.</w:t>
      </w:r>
    </w:p>
    <w:p>
      <w:pPr>
        <w:spacing w:after="0" w:line="122" w:lineRule="exact"/>
        <w:rPr>
          <w:sz w:val="20"/>
          <w:szCs w:val="20"/>
          <w:color w:val="auto"/>
        </w:rPr>
      </w:pPr>
    </w:p>
    <w:p>
      <w:pPr>
        <w:jc w:val="both"/>
        <w:ind w:right="140" w:firstLine="1187"/>
        <w:spacing w:after="0" w:line="255" w:lineRule="auto"/>
        <w:rPr>
          <w:sz w:val="20"/>
          <w:szCs w:val="20"/>
          <w:color w:val="auto"/>
        </w:rPr>
      </w:pPr>
      <w:r>
        <w:rPr>
          <w:rFonts w:ascii="Arial" w:cs="Arial" w:eastAsia="Arial" w:hAnsi="Arial"/>
          <w:sz w:val="20"/>
          <w:szCs w:val="20"/>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20" w:lineRule="exact"/>
        <w:rPr>
          <w:sz w:val="20"/>
          <w:szCs w:val="20"/>
          <w:color w:val="auto"/>
        </w:rPr>
      </w:pPr>
    </w:p>
    <w:p>
      <w:pPr>
        <w:ind w:left="1780" w:hanging="594"/>
        <w:spacing w:after="0"/>
        <w:tabs>
          <w:tab w:leader="none" w:pos="178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Purchase and Sale</w:t>
      </w:r>
      <w:r>
        <w:rPr>
          <w:rFonts w:ascii="Arial" w:cs="Arial" w:eastAsia="Arial" w:hAnsi="Arial"/>
          <w:sz w:val="20"/>
          <w:szCs w:val="20"/>
          <w:color w:val="auto"/>
        </w:rPr>
        <w:t>.</w:t>
      </w:r>
    </w:p>
    <w:p>
      <w:pPr>
        <w:spacing w:after="0" w:line="153" w:lineRule="exact"/>
        <w:rPr>
          <w:sz w:val="20"/>
          <w:szCs w:val="20"/>
          <w:color w:val="auto"/>
        </w:rPr>
      </w:pPr>
    </w:p>
    <w:p>
      <w:pPr>
        <w:ind w:left="600" w:firstLine="586"/>
        <w:spacing w:after="0" w:line="252" w:lineRule="auto"/>
        <w:tabs>
          <w:tab w:leader="none" w:pos="17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w:t>
      </w:r>
      <w:r>
        <w:rPr>
          <w:rFonts w:ascii="Arial" w:cs="Arial" w:eastAsia="Arial" w:hAnsi="Arial"/>
          <w:sz w:val="20"/>
          <w:szCs w:val="20"/>
          <w:b w:val="1"/>
          <w:bCs w:val="1"/>
          <w:color w:val="auto"/>
        </w:rPr>
        <w:t>[●]</w:t>
      </w:r>
      <w:r>
        <w:rPr>
          <w:rFonts w:ascii="Arial" w:cs="Arial" w:eastAsia="Arial" w:hAnsi="Arial"/>
          <w:sz w:val="20"/>
          <w:szCs w:val="20"/>
          <w:color w:val="auto"/>
        </w:rPr>
        <w:t xml:space="preserve"> per share, the amount of the Underwritten Securities set forth opposite such Underwriter’s name in Schedule I hereto.</w:t>
      </w:r>
    </w:p>
    <w:p>
      <w:pPr>
        <w:spacing w:after="0" w:line="122" w:lineRule="exact"/>
        <w:rPr>
          <w:rFonts w:ascii="Arial" w:cs="Arial" w:eastAsia="Arial" w:hAnsi="Arial"/>
          <w:sz w:val="20"/>
          <w:szCs w:val="20"/>
          <w:color w:val="auto"/>
        </w:rPr>
      </w:pPr>
    </w:p>
    <w:p>
      <w:pPr>
        <w:ind w:left="600" w:right="100" w:firstLine="586"/>
        <w:spacing w:after="0" w:line="266" w:lineRule="auto"/>
        <w:tabs>
          <w:tab w:leader="none" w:pos="178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and in reliance upon the representations and warranties herein set forth, the Company hereby grants an option to the several Underwriters to purchase, severally and not jointly, up to </w:t>
      </w:r>
      <w:r>
        <w:rPr>
          <w:rFonts w:ascii="Arial" w:cs="Arial" w:eastAsia="Arial" w:hAnsi="Arial"/>
          <w:sz w:val="19"/>
          <w:szCs w:val="19"/>
          <w:b w:val="1"/>
          <w:bCs w:val="1"/>
          <w:color w:val="auto"/>
        </w:rPr>
        <w:t>[●]</w:t>
      </w:r>
      <w:r>
        <w:rPr>
          <w:rFonts w:ascii="Arial" w:cs="Arial" w:eastAsia="Arial" w:hAnsi="Arial"/>
          <w:sz w:val="19"/>
          <w:szCs w:val="19"/>
          <w:color w:val="auto"/>
        </w:rPr>
        <w:t xml:space="preserve">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320" w:right="339" w:bottom="1440" w:gutter="0" w:footer="0" w:header="0"/>
        </w:sectPr>
      </w:pPr>
    </w:p>
    <w:bookmarkStart w:id="293" w:name="page294"/>
    <w:bookmarkEnd w:id="293"/>
    <w:p>
      <w:pPr>
        <w:ind w:left="600" w:right="160"/>
        <w:spacing w:after="0" w:line="328" w:lineRule="auto"/>
        <w:rPr>
          <w:sz w:val="20"/>
          <w:szCs w:val="20"/>
          <w:color w:val="auto"/>
        </w:rPr>
      </w:pPr>
      <w:r>
        <w:rPr>
          <w:rFonts w:ascii="Arial" w:cs="Arial" w:eastAsia="Arial" w:hAnsi="Arial"/>
          <w:sz w:val="16"/>
          <w:szCs w:val="16"/>
          <w:color w:val="auto"/>
        </w:rPr>
        <w:t>before the 30th day after the date of the Prospectus upon written or telegraphic notice by the Representatives to the Company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66" w:lineRule="exact"/>
        <w:rPr>
          <w:sz w:val="20"/>
          <w:szCs w:val="20"/>
          <w:color w:val="auto"/>
        </w:rPr>
      </w:pPr>
    </w:p>
    <w:p>
      <w:pPr>
        <w:ind w:firstLine="1186"/>
        <w:spacing w:after="0" w:line="277" w:lineRule="auto"/>
        <w:tabs>
          <w:tab w:leader="none" w:pos="178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xml:space="preserve">. Delivery of and payment for the Underwritten Securities and the Option Securities (if the option provided for in Section 2(b) hereof shall have been exercised on or before the second Business Day immediately preceding the Closing Date) shall be made at 10:00 AM, New York City time, on </w:t>
      </w:r>
      <w:r>
        <w:rPr>
          <w:rFonts w:ascii="Arial" w:cs="Arial" w:eastAsia="Arial" w:hAnsi="Arial"/>
          <w:sz w:val="18"/>
          <w:szCs w:val="18"/>
          <w:b w:val="1"/>
          <w:bCs w:val="1"/>
          <w:color w:val="auto"/>
        </w:rPr>
        <w:t>[●]</w:t>
      </w:r>
      <w:r>
        <w:rPr>
          <w:rFonts w:ascii="Arial" w:cs="Arial" w:eastAsia="Arial" w:hAnsi="Arial"/>
          <w:sz w:val="18"/>
          <w:szCs w:val="18"/>
          <w:color w:val="auto"/>
        </w:rPr>
        <w:t>, 2021,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As used herein,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Underwritten Securities and the Option Securities shall be made through the facilities of The Depository Trust Company unless the Representatives shall otherwise instruct.</w:t>
      </w:r>
    </w:p>
    <w:p>
      <w:pPr>
        <w:spacing w:after="0" w:line="104" w:lineRule="exact"/>
        <w:rPr>
          <w:sz w:val="20"/>
          <w:szCs w:val="20"/>
          <w:color w:val="auto"/>
        </w:rPr>
      </w:pPr>
    </w:p>
    <w:p>
      <w:pPr>
        <w:ind w:right="20" w:firstLine="593"/>
        <w:spacing w:after="0" w:line="262" w:lineRule="auto"/>
        <w:rPr>
          <w:sz w:val="20"/>
          <w:szCs w:val="20"/>
          <w:color w:val="auto"/>
        </w:rPr>
      </w:pPr>
      <w:r>
        <w:rPr>
          <w:rFonts w:ascii="Arial" w:cs="Arial" w:eastAsia="Arial" w:hAnsi="Arial"/>
          <w:sz w:val="19"/>
          <w:szCs w:val="19"/>
          <w:color w:val="auto"/>
        </w:rPr>
        <w:t>If the option provided for in Section 2(b) hereof is exercised after the second Business Day immediately preceding the Closing Date, the Company will deliver the Option Securities (at the expense of the Company) to the Representatives, at 388 Greenwich Street,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by wire transfer payable in 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16" w:lineRule="exact"/>
        <w:rPr>
          <w:sz w:val="20"/>
          <w:szCs w:val="20"/>
          <w:color w:val="auto"/>
        </w:rPr>
      </w:pPr>
    </w:p>
    <w:p>
      <w:pPr>
        <w:ind w:right="220" w:firstLine="1186"/>
        <w:spacing w:after="0" w:line="266" w:lineRule="auto"/>
        <w:tabs>
          <w:tab w:leader="none" w:pos="178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Offering by Underwriters</w:t>
      </w:r>
      <w:r>
        <w:rPr>
          <w:rFonts w:ascii="Arial" w:cs="Arial" w:eastAsia="Arial" w:hAnsi="Arial"/>
          <w:sz w:val="20"/>
          <w:szCs w:val="20"/>
          <w:color w:val="auto"/>
        </w:rPr>
        <w:t>. It is understood that the several Underwriters propose to offer the Securities for sale to the public as set forth in the Prospectus.</w:t>
      </w:r>
    </w:p>
    <w:p>
      <w:pPr>
        <w:spacing w:after="0" w:line="108" w:lineRule="exact"/>
        <w:rPr>
          <w:rFonts w:ascii="Arial" w:cs="Arial" w:eastAsia="Arial" w:hAnsi="Arial"/>
          <w:sz w:val="20"/>
          <w:szCs w:val="20"/>
          <w:color w:val="auto"/>
        </w:rPr>
      </w:pPr>
    </w:p>
    <w:p>
      <w:pPr>
        <w:ind w:left="1780" w:hanging="594"/>
        <w:spacing w:after="0"/>
        <w:tabs>
          <w:tab w:leader="none" w:pos="178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Agreements</w:t>
      </w:r>
      <w:r>
        <w:rPr>
          <w:rFonts w:ascii="Arial" w:cs="Arial" w:eastAsia="Arial" w:hAnsi="Arial"/>
          <w:sz w:val="20"/>
          <w:szCs w:val="20"/>
          <w:color w:val="auto"/>
        </w:rPr>
        <w:t>. The Company agrees with the several Underwriters that:</w:t>
      </w:r>
    </w:p>
    <w:p>
      <w:pPr>
        <w:spacing w:after="0" w:line="153" w:lineRule="exact"/>
        <w:rPr>
          <w:sz w:val="20"/>
          <w:szCs w:val="20"/>
          <w:color w:val="auto"/>
        </w:rPr>
      </w:pPr>
    </w:p>
    <w:p>
      <w:pPr>
        <w:jc w:val="both"/>
        <w:ind w:left="600" w:right="140" w:firstLine="586"/>
        <w:spacing w:after="0" w:line="255" w:lineRule="auto"/>
        <w:tabs>
          <w:tab w:leader="none" w:pos="178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Prior to the termination of the offering of the Securities, the Company will not file any amendment to the Registration Statement or supplement to the Prospectus or any Rule 462(b) Registration Statement unless the Company has furnished you a copy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319" w:right="339" w:bottom="1440" w:gutter="0" w:footer="0" w:header="0"/>
        </w:sectPr>
      </w:pPr>
    </w:p>
    <w:bookmarkStart w:id="294" w:name="page295"/>
    <w:bookmarkEnd w:id="294"/>
    <w:p>
      <w:pPr>
        <w:ind w:right="20"/>
        <w:spacing w:after="0" w:line="275" w:lineRule="auto"/>
        <w:rPr>
          <w:sz w:val="20"/>
          <w:szCs w:val="20"/>
          <w:color w:val="auto"/>
        </w:rPr>
      </w:pPr>
      <w:r>
        <w:rPr>
          <w:rFonts w:ascii="Arial" w:cs="Arial" w:eastAsia="Arial" w:hAnsi="Arial"/>
          <w:sz w:val="18"/>
          <w:szCs w:val="18"/>
          <w:color w:val="auto"/>
        </w:rPr>
        <w:t>your review prior to filing and will not file any such proposed amendment or supplement to which you reasonably object. The Company will cause the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SEC pursuant to Rule 424(b) or when any</w:t>
      </w:r>
    </w:p>
    <w:p>
      <w:pPr>
        <w:spacing w:after="0" w:line="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Rule 462(b) Registration Statement shall have been filed with the SEC, (ii) when, prior to termination of the offering of the Securities, any amendment to the Registration Statement shall have been filed or become effective, (iii) of any request by the SEC or its staff for any amendment to the Registration Statement, or any Rule 462(b) Registration Statement, or for any supplement to the Prospectus or for any additional information, (iv) of the issuance by the SEC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22" w:lineRule="exact"/>
        <w:rPr>
          <w:sz w:val="20"/>
          <w:szCs w:val="20"/>
          <w:color w:val="auto"/>
        </w:rPr>
      </w:pPr>
    </w:p>
    <w:p>
      <w:pPr>
        <w:ind w:right="40" w:firstLine="586"/>
        <w:spacing w:after="0" w:line="264" w:lineRule="auto"/>
        <w:tabs>
          <w:tab w:leader="none" w:pos="118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at any time prior to the filing of the Prospectus pursuant to Rule 424(b) ,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15" w:lineRule="exact"/>
        <w:rPr>
          <w:rFonts w:ascii="Arial" w:cs="Arial" w:eastAsia="Arial" w:hAnsi="Arial"/>
          <w:sz w:val="19"/>
          <w:szCs w:val="19"/>
          <w:color w:val="auto"/>
        </w:rPr>
      </w:pPr>
    </w:p>
    <w:p>
      <w:pPr>
        <w:ind w:firstLine="586"/>
        <w:spacing w:after="0" w:line="323" w:lineRule="auto"/>
        <w:tabs>
          <w:tab w:leader="none" w:pos="11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Securities Act (including in circumstances where such requirement may be satisfied pursuant to Rule 172 under the Securities Act (“</w:t>
      </w:r>
      <w:r>
        <w:rPr>
          <w:rFonts w:ascii="Arial" w:cs="Arial" w:eastAsia="Arial" w:hAnsi="Arial"/>
          <w:sz w:val="16"/>
          <w:szCs w:val="16"/>
          <w:u w:val="single" w:color="auto"/>
          <w:color w:val="auto"/>
        </w:rPr>
        <w:t>Rule 172</w:t>
      </w:r>
      <w:r>
        <w:rPr>
          <w:rFonts w:ascii="Arial" w:cs="Arial" w:eastAsia="Arial" w:hAnsi="Arial"/>
          <w:sz w:val="16"/>
          <w:szCs w:val="16"/>
          <w:color w:val="auto"/>
        </w:rPr>
        <w:t>”)), any event occurs as a result of which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the Prospectus to comply with the Securities Act or the rules thereunder, the Company promptly will (i) notify the Representatives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640"/>
          </w:cols>
          <w:pgMar w:left="920" w:top="1319" w:right="339" w:bottom="1440" w:gutter="0" w:footer="0" w:header="0"/>
        </w:sectPr>
      </w:pPr>
    </w:p>
    <w:bookmarkStart w:id="295" w:name="page296"/>
    <w:bookmarkEnd w:id="295"/>
    <w:p>
      <w:pPr>
        <w:ind w:right="80"/>
        <w:spacing w:after="0" w:line="255" w:lineRule="auto"/>
        <w:rPr>
          <w:sz w:val="20"/>
          <w:szCs w:val="20"/>
          <w:color w:val="auto"/>
        </w:rPr>
      </w:pPr>
      <w:r>
        <w:rPr>
          <w:rFonts w:ascii="Arial" w:cs="Arial" w:eastAsia="Arial" w:hAnsi="Arial"/>
          <w:sz w:val="20"/>
          <w:szCs w:val="20"/>
          <w:color w:val="auto"/>
        </w:rPr>
        <w:t>such event; (ii) prepare and file with the SEC,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120" w:lineRule="exact"/>
        <w:rPr>
          <w:sz w:val="20"/>
          <w:szCs w:val="20"/>
          <w:color w:val="auto"/>
        </w:rPr>
      </w:pPr>
    </w:p>
    <w:p>
      <w:pPr>
        <w:ind w:right="40" w:firstLine="586"/>
        <w:spacing w:after="0" w:line="255" w:lineRule="auto"/>
        <w:tabs>
          <w:tab w:leader="none" w:pos="118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As soon as practicable, the Company will make generally available to its security holders and to the Representatives an earnings statement or statements of the Company and its subsidiaries which will satisfy the provisions of Section 11(a) of the Securities Act and Rule 158 under the Securities Act.</w:t>
      </w:r>
    </w:p>
    <w:p>
      <w:pPr>
        <w:spacing w:after="0" w:line="119" w:lineRule="exact"/>
        <w:rPr>
          <w:rFonts w:ascii="Arial" w:cs="Arial" w:eastAsia="Arial" w:hAnsi="Arial"/>
          <w:sz w:val="20"/>
          <w:szCs w:val="20"/>
          <w:color w:val="auto"/>
        </w:rPr>
      </w:pPr>
    </w:p>
    <w:p>
      <w:pPr>
        <w:ind w:right="100" w:firstLine="586"/>
        <w:spacing w:after="0" w:line="323" w:lineRule="auto"/>
        <w:tabs>
          <w:tab w:leader="none" w:pos="11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Upon request, 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72" w:lineRule="exact"/>
        <w:rPr>
          <w:rFonts w:ascii="Arial" w:cs="Arial" w:eastAsia="Arial" w:hAnsi="Arial"/>
          <w:sz w:val="16"/>
          <w:szCs w:val="16"/>
          <w:color w:val="auto"/>
        </w:rPr>
      </w:pPr>
    </w:p>
    <w:p>
      <w:pPr>
        <w:ind w:firstLine="586"/>
        <w:spacing w:after="0" w:line="266" w:lineRule="auto"/>
        <w:tabs>
          <w:tab w:leader="none" w:pos="118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Company will arrange, if necessary, for the qualification of the Securities for sale under the laws of such jurisdictions as the Representatives may reasonably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12" w:lineRule="exact"/>
        <w:rPr>
          <w:rFonts w:ascii="Arial" w:cs="Arial" w:eastAsia="Arial" w:hAnsi="Arial"/>
          <w:sz w:val="19"/>
          <w:szCs w:val="19"/>
          <w:color w:val="auto"/>
        </w:rPr>
      </w:pPr>
    </w:p>
    <w:p>
      <w:pPr>
        <w:ind w:right="20" w:firstLine="586"/>
        <w:spacing w:after="0" w:line="261" w:lineRule="auto"/>
        <w:tabs>
          <w:tab w:leader="none" w:pos="1183"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90 days after the date of this Agreement (the “Restricted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may (i) effect the transactions contemplated hereby, (ii) issue and sell Common Stock pursuant to any employee stock option plan, stock ownership plan or dividend reinvestment plan of the Company in effect at the Execution Time and the Company may issue Common Stock issuable upon the conversion of securities or the exercise of warrants outstanding at the Execution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640"/>
          </w:cols>
          <w:pgMar w:left="920" w:top="1320" w:right="339" w:bottom="1440" w:gutter="0" w:footer="0" w:header="0"/>
        </w:sectPr>
      </w:pPr>
    </w:p>
    <w:bookmarkStart w:id="296" w:name="page297"/>
    <w:bookmarkEnd w:id="296"/>
    <w:p>
      <w:pPr>
        <w:ind w:left="8" w:hanging="8"/>
        <w:spacing w:after="0" w:line="313" w:lineRule="auto"/>
        <w:tabs>
          <w:tab w:leader="none" w:pos="35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issue and sell Common Stock in connection with the acquisition by the Company or any subsidiary of the securities, businesses, property or other assets of another person or entity or pursuant to any employee benefit plan assumed by the Company or any subsidiary in connection with any such acquisition or (iv) the issuance of Common Stock in connection with joint ventures or acquisitions and other strategic transactions; provided that in the case of each of preceding clauses (iii) and (iv), the aggregate number of shares issued in all such acquisitions and transactions does not exceed [5.0]% of the Company’s outstanding Common Stock following the offering of the Common Stock contemplated by this Agreement and any recipient of any such securities that becomes an officer or director of the Company shall enter into a “lock-up” letter, substantially in the form of Exhibit A hereto, covering the remainder of the Restricted Period; (v) the filing by the Company of a registration statement on Form S-8 relating to securities granted or to be granted to any employee stock option plan, stock ownership plan or dividend reinvestment plan of the Company described in the Registration Statement, the Disclosure Package and the Prospectus and in effect at the Execution Time or any assumed employee benefit plan contemplated by clause (iii); (vi) the filing by the Company of any amendment or supplement to any existing registration statement filed with the Commission prior to the Execution Time pursuant to the Company’s Amended and Restated Registration Rights Agreement dated as of January 7, 2021, or in respect of any securities underlying equity awards granted pursuant to any employee stock option plan or agreements described in the Registration Statement, the Disclosure Package and the Prospectus; and</w:t>
      </w:r>
    </w:p>
    <w:p>
      <w:pPr>
        <w:spacing w:after="0" w:line="184" w:lineRule="exact"/>
        <w:rPr>
          <w:rFonts w:ascii="Arial" w:cs="Arial" w:eastAsia="Arial" w:hAnsi="Arial"/>
          <w:sz w:val="16"/>
          <w:szCs w:val="16"/>
          <w:color w:val="auto"/>
        </w:rPr>
      </w:pPr>
    </w:p>
    <w:p>
      <w:pPr>
        <w:ind w:left="8" w:right="480" w:hanging="8"/>
        <w:spacing w:after="0" w:line="250" w:lineRule="auto"/>
        <w:tabs>
          <w:tab w:leader="none" w:pos="39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filing by the Company of a “shelf” Registration Statement on Form S-3, provided, that no offering or other takedown of securities during the Restricted Period is permitted.</w:t>
      </w:r>
    </w:p>
    <w:p>
      <w:pPr>
        <w:spacing w:after="0" w:line="123" w:lineRule="exact"/>
        <w:rPr>
          <w:rFonts w:ascii="Arial" w:cs="Arial" w:eastAsia="Arial" w:hAnsi="Arial"/>
          <w:sz w:val="20"/>
          <w:szCs w:val="20"/>
          <w:color w:val="auto"/>
        </w:rPr>
      </w:pPr>
    </w:p>
    <w:p>
      <w:pPr>
        <w:ind w:left="1188" w:hanging="594"/>
        <w:spacing w:after="0"/>
        <w:tabs>
          <w:tab w:leader="none" w:pos="1188" w:val="left"/>
        </w:tabs>
        <w:numPr>
          <w:ilvl w:val="1"/>
          <w:numId w:val="177"/>
        </w:numPr>
        <w:rPr>
          <w:rFonts w:ascii="Arial" w:cs="Arial" w:eastAsia="Arial" w:hAnsi="Arial"/>
          <w:sz w:val="20"/>
          <w:szCs w:val="20"/>
          <w:color w:val="auto"/>
        </w:rPr>
      </w:pPr>
      <w:r>
        <w:rPr>
          <w:rFonts w:ascii="Arial" w:cs="Arial" w:eastAsia="Arial" w:hAnsi="Arial"/>
          <w:sz w:val="20"/>
          <w:szCs w:val="20"/>
          <w:color w:val="auto"/>
        </w:rPr>
        <w:t>[Reserved.]</w:t>
      </w:r>
    </w:p>
    <w:p>
      <w:pPr>
        <w:spacing w:after="0" w:line="153" w:lineRule="exact"/>
        <w:rPr>
          <w:rFonts w:ascii="Arial" w:cs="Arial" w:eastAsia="Arial" w:hAnsi="Arial"/>
          <w:sz w:val="20"/>
          <w:szCs w:val="20"/>
          <w:color w:val="auto"/>
        </w:rPr>
      </w:pPr>
    </w:p>
    <w:p>
      <w:pPr>
        <w:jc w:val="both"/>
        <w:ind w:left="8" w:right="300" w:firstLine="586"/>
        <w:spacing w:after="0" w:line="297" w:lineRule="auto"/>
        <w:tabs>
          <w:tab w:leader="none" w:pos="118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Company will not take, directly or indirectly (without giving effect to the activities of the Underwriters),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84" w:lineRule="exact"/>
        <w:rPr>
          <w:rFonts w:ascii="Arial" w:cs="Arial" w:eastAsia="Arial" w:hAnsi="Arial"/>
          <w:sz w:val="18"/>
          <w:szCs w:val="18"/>
          <w:color w:val="auto"/>
        </w:rPr>
      </w:pPr>
    </w:p>
    <w:p>
      <w:pPr>
        <w:ind w:left="8" w:right="120" w:firstLine="586"/>
        <w:spacing w:after="0" w:line="313" w:lineRule="auto"/>
        <w:tabs>
          <w:tab w:leader="none" w:pos="1183"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SEC of the Registration Statement (including financial statements and exhibits thereto), each Preliminary Prospectus, the Prospectus and each Issuer Free Writing Prospectus, and each amendment or supplement to any of them;</w:t>
      </w:r>
    </w:p>
    <w:p>
      <w:pPr>
        <w:ind w:left="8" w:right="60" w:hanging="8"/>
        <w:spacing w:after="0" w:line="278" w:lineRule="auto"/>
        <w:tabs>
          <w:tab w:leader="none" w:pos="29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to the Underwriters (but not any such stamp or transfer taxes imposed on a subsequent transfer of the Securities, which taxes shall not be subject to indemnification pursuant to this clause (i)); (iii) the preparation, printing, authentication, issuance and delivery of certificates for the Securities, including any stamp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28"/>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648"/>
          </w:cols>
          <w:pgMar w:left="912" w:top="1320" w:right="339" w:bottom="1440" w:gutter="0" w:footer="0" w:header="0"/>
        </w:sectPr>
      </w:pPr>
    </w:p>
    <w:bookmarkStart w:id="297" w:name="page298"/>
    <w:bookmarkEnd w:id="297"/>
    <w:p>
      <w:pPr>
        <w:ind w:left="8" w:right="200"/>
        <w:spacing w:after="0" w:line="310" w:lineRule="auto"/>
        <w:rPr>
          <w:sz w:val="20"/>
          <w:szCs w:val="20"/>
          <w:color w:val="auto"/>
        </w:rPr>
      </w:pPr>
      <w:r>
        <w:rPr>
          <w:rFonts w:ascii="Arial" w:cs="Arial" w:eastAsia="Arial" w:hAnsi="Arial"/>
          <w:sz w:val="16"/>
          <w:szCs w:val="16"/>
          <w:color w:val="auto"/>
        </w:rPr>
        <w:t>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Nasdaq; (vi) any registration or qualification of the Securities for offer and sale under the securities or blue sky laws of the several states; (vii) any filings required to be made with FINRA (provided that fees and expenses of counsel with respect to clauses (vi) and</w:t>
      </w:r>
    </w:p>
    <w:p>
      <w:pPr>
        <w:spacing w:after="0" w:line="2" w:lineRule="exact"/>
        <w:rPr>
          <w:sz w:val="20"/>
          <w:szCs w:val="20"/>
          <w:color w:val="auto"/>
        </w:rPr>
      </w:pPr>
    </w:p>
    <w:p>
      <w:pPr>
        <w:jc w:val="both"/>
        <w:ind w:left="8" w:right="120" w:hanging="8"/>
        <w:spacing w:after="0" w:line="247" w:lineRule="auto"/>
        <w:tabs>
          <w:tab w:leader="none" w:pos="39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above shall not exceed $30,000 in the aggregate); (viii) [reserved]; (ix) the fees and expenses of the Company’s accountants and the fees and expenses of counsel (including local and special counsel) for the Company; and (x) all other costs and expenses incident to the performance by the Company of its obligations hereunder.</w:t>
      </w:r>
    </w:p>
    <w:p>
      <w:pPr>
        <w:spacing w:after="0" w:line="127" w:lineRule="exact"/>
        <w:rPr>
          <w:rFonts w:ascii="Arial" w:cs="Arial" w:eastAsia="Arial" w:hAnsi="Arial"/>
          <w:sz w:val="20"/>
          <w:szCs w:val="20"/>
          <w:color w:val="auto"/>
        </w:rPr>
      </w:pPr>
    </w:p>
    <w:p>
      <w:pPr>
        <w:ind w:left="8" w:right="40" w:firstLine="586"/>
        <w:spacing w:after="0" w:line="277" w:lineRule="auto"/>
        <w:tabs>
          <w:tab w:leader="none" w:pos="11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under the Securities Act (“</w:t>
      </w:r>
      <w:r>
        <w:rPr>
          <w:rFonts w:ascii="Arial" w:cs="Arial" w:eastAsia="Arial" w:hAnsi="Arial"/>
          <w:sz w:val="18"/>
          <w:szCs w:val="18"/>
          <w:u w:val="single" w:color="auto"/>
          <w:color w:val="auto"/>
        </w:rPr>
        <w:t>Rule 433</w:t>
      </w:r>
      <w:r>
        <w:rPr>
          <w:rFonts w:ascii="Arial" w:cs="Arial" w:eastAsia="Arial" w:hAnsi="Arial"/>
          <w:sz w:val="18"/>
          <w:szCs w:val="18"/>
          <w:color w:val="auto"/>
        </w:rPr>
        <w:t>”); provided that the prior written consent of the parties hereto shall be deemed to have been given in respect of the Free Writing Prospectuses included in Schedule II hereto and any electronic road show. Any such free writing prospectus consented to by the Representatives or the Company is hereinafter referred to as a “</w:t>
      </w: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Arial" w:cs="Arial" w:eastAsia="Arial" w:hAnsi="Arial"/>
          <w:sz w:val="18"/>
          <w:szCs w:val="18"/>
          <w:u w:val="single" w:color="auto"/>
          <w:color w:val="auto"/>
        </w:rPr>
        <w:t>Rule 164</w:t>
      </w:r>
      <w:r>
        <w:rPr>
          <w:rFonts w:ascii="Arial" w:cs="Arial" w:eastAsia="Arial" w:hAnsi="Arial"/>
          <w:sz w:val="18"/>
          <w:szCs w:val="18"/>
          <w:color w:val="auto"/>
        </w:rPr>
        <w:t>”) and Rule 433 applicable to any Permitted Free Writing Prospectus, including in respect of timely filing with the SEC, legending and record keeping.</w:t>
      </w:r>
    </w:p>
    <w:p>
      <w:pPr>
        <w:spacing w:after="0" w:line="104" w:lineRule="exact"/>
        <w:rPr>
          <w:rFonts w:ascii="Arial" w:cs="Arial" w:eastAsia="Arial" w:hAnsi="Arial"/>
          <w:sz w:val="18"/>
          <w:szCs w:val="18"/>
          <w:color w:val="auto"/>
        </w:rPr>
      </w:pPr>
    </w:p>
    <w:p>
      <w:pPr>
        <w:ind w:left="8" w:right="100" w:firstLine="586"/>
        <w:spacing w:after="0" w:line="266" w:lineRule="auto"/>
        <w:tabs>
          <w:tab w:leader="none" w:pos="1183"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Company will promptly notify the Representatives if the Company ceases to be an Emerging Growth Company at any time prior to December 31, 2021.</w:t>
      </w:r>
    </w:p>
    <w:p>
      <w:pPr>
        <w:spacing w:after="0" w:line="108" w:lineRule="exact"/>
        <w:rPr>
          <w:rFonts w:ascii="Arial" w:cs="Arial" w:eastAsia="Arial" w:hAnsi="Arial"/>
          <w:sz w:val="20"/>
          <w:szCs w:val="20"/>
          <w:color w:val="auto"/>
        </w:rPr>
      </w:pPr>
    </w:p>
    <w:p>
      <w:pPr>
        <w:ind w:left="8" w:firstLine="586"/>
        <w:spacing w:after="0" w:line="263" w:lineRule="auto"/>
        <w:tabs>
          <w:tab w:leader="none" w:pos="1183" w:val="left"/>
        </w:tabs>
        <w:numPr>
          <w:ilvl w:val="1"/>
          <w:numId w:val="179"/>
        </w:numPr>
        <w:rPr>
          <w:rFonts w:ascii="Arial" w:cs="Arial" w:eastAsia="Arial" w:hAnsi="Arial"/>
          <w:sz w:val="19"/>
          <w:szCs w:val="19"/>
          <w:color w:val="auto"/>
        </w:rPr>
      </w:pPr>
      <w:r>
        <w:rPr>
          <w:rFonts w:ascii="Arial" w:cs="Arial" w:eastAsia="Arial" w:hAnsi="Arial"/>
          <w:sz w:val="19"/>
          <w:szCs w:val="19"/>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use of the Written Testing-the-Waters Communication may cease until it is amended or supplemented; (ii) amend or supplement the Written Testing-the-Waters Communication to correct such statement or omission; and (iii) supply any amendment or supplement to the Representatives in such quantities as may be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28"/>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648"/>
          </w:cols>
          <w:pgMar w:left="912" w:top="1320" w:right="339" w:bottom="1440" w:gutter="0" w:footer="0" w:header="0"/>
        </w:sectPr>
      </w:pPr>
    </w:p>
    <w:bookmarkStart w:id="298" w:name="page299"/>
    <w:bookmarkEnd w:id="298"/>
    <w:p>
      <w:pPr>
        <w:ind w:left="-20" w:right="80" w:firstLine="1186"/>
        <w:spacing w:after="0" w:line="250" w:lineRule="auto"/>
        <w:tabs>
          <w:tab w:leader="none" w:pos="176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Conditions to the Obligations of the Underwriters</w:t>
      </w:r>
      <w:r>
        <w:rPr>
          <w:rFonts w:ascii="Arial" w:cs="Arial" w:eastAsia="Arial" w:hAnsi="Arial"/>
          <w:sz w:val="20"/>
          <w:szCs w:val="20"/>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25" w:lineRule="exact"/>
        <w:rPr>
          <w:sz w:val="20"/>
          <w:szCs w:val="20"/>
          <w:color w:val="auto"/>
        </w:rPr>
      </w:pPr>
    </w:p>
    <w:p>
      <w:pPr>
        <w:ind w:left="580" w:right="240" w:firstLine="586"/>
        <w:spacing w:after="0" w:line="250" w:lineRule="auto"/>
        <w:tabs>
          <w:tab w:leader="none" w:pos="176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25" w:lineRule="exact"/>
        <w:rPr>
          <w:rFonts w:ascii="Arial" w:cs="Arial" w:eastAsia="Arial" w:hAnsi="Arial"/>
          <w:sz w:val="20"/>
          <w:szCs w:val="20"/>
          <w:color w:val="auto"/>
        </w:rPr>
      </w:pPr>
    </w:p>
    <w:p>
      <w:pPr>
        <w:ind w:left="580" w:right="160" w:firstLine="586"/>
        <w:spacing w:after="0" w:line="255" w:lineRule="auto"/>
        <w:tabs>
          <w:tab w:leader="none" w:pos="176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Company shall have requested and caused Orrick, Herrington &amp; Sutcliffe LLP, counsel for the Company, to have furnished to the Representatives its opinion, dated the Closing Date and addressed to the Representatives, in form and substance satisfactory to the Representatives.</w:t>
      </w:r>
    </w:p>
    <w:p>
      <w:pPr>
        <w:spacing w:after="0" w:line="119" w:lineRule="exact"/>
        <w:rPr>
          <w:rFonts w:ascii="Arial" w:cs="Arial" w:eastAsia="Arial" w:hAnsi="Arial"/>
          <w:sz w:val="20"/>
          <w:szCs w:val="20"/>
          <w:color w:val="auto"/>
        </w:rPr>
      </w:pPr>
    </w:p>
    <w:p>
      <w:pPr>
        <w:ind w:left="580" w:firstLine="586"/>
        <w:spacing w:after="0" w:line="266" w:lineRule="auto"/>
        <w:tabs>
          <w:tab w:leader="none" w:pos="176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Representatives shall have received from Latham &amp; Watkins LLP, counsel for the Underwriters, such opinion or opinions, dated the Closing Date and addressed to the Representatives, with respect to the issuance and sale of the Securities, the Registration Statement, the Disclosure Package, the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12" w:lineRule="exact"/>
        <w:rPr>
          <w:rFonts w:ascii="Arial" w:cs="Arial" w:eastAsia="Arial" w:hAnsi="Arial"/>
          <w:sz w:val="19"/>
          <w:szCs w:val="19"/>
          <w:color w:val="auto"/>
        </w:rPr>
      </w:pPr>
    </w:p>
    <w:p>
      <w:pPr>
        <w:jc w:val="both"/>
        <w:ind w:left="580" w:right="100" w:firstLine="586"/>
        <w:spacing w:after="0" w:line="335" w:lineRule="auto"/>
        <w:tabs>
          <w:tab w:leader="none" w:pos="176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of the Company, signed by the Chief Executive Officer and the Chief Financial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60" w:lineRule="exact"/>
        <w:rPr>
          <w:rFonts w:ascii="Arial" w:cs="Arial" w:eastAsia="Arial" w:hAnsi="Arial"/>
          <w:sz w:val="16"/>
          <w:szCs w:val="16"/>
          <w:color w:val="auto"/>
        </w:rPr>
      </w:pPr>
    </w:p>
    <w:p>
      <w:pPr>
        <w:ind w:left="1160" w:right="120" w:firstLine="599"/>
        <w:spacing w:after="0" w:line="275" w:lineRule="auto"/>
        <w:tabs>
          <w:tab w:leader="none" w:pos="2336"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01" w:lineRule="exact"/>
        <w:rPr>
          <w:rFonts w:ascii="Arial" w:cs="Arial" w:eastAsia="Arial" w:hAnsi="Arial"/>
          <w:sz w:val="19"/>
          <w:szCs w:val="19"/>
          <w:color w:val="auto"/>
        </w:rPr>
      </w:pPr>
    </w:p>
    <w:p>
      <w:pPr>
        <w:ind w:left="1160" w:right="220" w:firstLine="599"/>
        <w:spacing w:after="0" w:line="392" w:lineRule="auto"/>
        <w:tabs>
          <w:tab w:leader="none" w:pos="234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20"/>
          </w:cols>
          <w:pgMar w:left="340" w:top="1320" w:right="339" w:bottom="1440" w:gutter="0" w:footer="0" w:header="0"/>
        </w:sectPr>
      </w:pPr>
    </w:p>
    <w:bookmarkStart w:id="299" w:name="page300"/>
    <w:bookmarkEnd w:id="299"/>
    <w:p>
      <w:pPr>
        <w:ind w:left="1180" w:right="120" w:firstLine="599"/>
        <w:spacing w:after="0" w:line="266" w:lineRule="auto"/>
        <w:tabs>
          <w:tab w:leader="none" w:pos="2367" w:val="left"/>
        </w:tabs>
        <w:numPr>
          <w:ilvl w:val="1"/>
          <w:numId w:val="182"/>
        </w:numPr>
        <w:rPr>
          <w:rFonts w:ascii="Arial" w:cs="Arial" w:eastAsia="Arial" w:hAnsi="Arial"/>
          <w:sz w:val="19"/>
          <w:szCs w:val="19"/>
          <w:color w:val="auto"/>
        </w:rPr>
      </w:pPr>
      <w:r>
        <w:rPr>
          <w:rFonts w:ascii="Arial" w:cs="Arial" w:eastAsia="Arial" w:hAnsi="Arial"/>
          <w:sz w:val="19"/>
          <w:szCs w:val="19"/>
          <w:color w:val="auto"/>
        </w:rPr>
        <w:t>since the date of the most recent financial statements included in the Disclosure Package and the Prospectus (exclusive of any amendment or supplement thereto), there has been no material adverse change in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Prospectus (exclusive of any amendment or supplement thereto).</w:t>
      </w:r>
    </w:p>
    <w:p>
      <w:pPr>
        <w:spacing w:after="0" w:line="112" w:lineRule="exact"/>
        <w:rPr>
          <w:rFonts w:ascii="Arial" w:cs="Arial" w:eastAsia="Arial" w:hAnsi="Arial"/>
          <w:sz w:val="19"/>
          <w:szCs w:val="19"/>
          <w:color w:val="auto"/>
        </w:rPr>
      </w:pPr>
    </w:p>
    <w:p>
      <w:pPr>
        <w:ind w:left="600" w:right="160" w:firstLine="586"/>
        <w:spacing w:after="0" w:line="252" w:lineRule="auto"/>
        <w:tabs>
          <w:tab w:leader="none" w:pos="178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Company shall have requested and caused Ernst &amp; Young, LLP to have furnished to the Representatives, at the Execution Time and at the Closing Date, letters, dated respectively as of the Execution Time and as of the Closing Date, in form and substance satisfactory to the Representatives, containing statements and information of the type ordinarily included in accountants “comfort letters” to underwriters.</w:t>
      </w:r>
    </w:p>
    <w:p>
      <w:pPr>
        <w:spacing w:after="0" w:line="122" w:lineRule="exact"/>
        <w:rPr>
          <w:rFonts w:ascii="Arial" w:cs="Arial" w:eastAsia="Arial" w:hAnsi="Arial"/>
          <w:sz w:val="20"/>
          <w:szCs w:val="20"/>
          <w:color w:val="auto"/>
        </w:rPr>
      </w:pPr>
    </w:p>
    <w:p>
      <w:pPr>
        <w:ind w:left="600" w:firstLine="586"/>
        <w:spacing w:after="0" w:line="261" w:lineRule="auto"/>
        <w:tabs>
          <w:tab w:leader="none" w:pos="1787"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Subsequent to the Execution Time or, if earlier, the dates as of which information is given in the Registration Statement (exclusive of any amendment thereof) and the Prospectus (exclusive of supplement thereto), there shall not have been (i) any change or decrease specified in the letter or letters referred to in paragraph (e)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21" w:lineRule="exact"/>
        <w:rPr>
          <w:rFonts w:ascii="Arial" w:cs="Arial" w:eastAsia="Arial" w:hAnsi="Arial"/>
          <w:sz w:val="19"/>
          <w:szCs w:val="19"/>
          <w:color w:val="auto"/>
        </w:rPr>
      </w:pPr>
    </w:p>
    <w:p>
      <w:pPr>
        <w:ind w:left="600" w:right="860" w:firstLine="586"/>
        <w:spacing w:after="0" w:line="266" w:lineRule="auto"/>
        <w:tabs>
          <w:tab w:leader="none" w:pos="178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Prior to the Closing Date, the Company shall have furnished to the Representatives such further information, certificates and documents as the Representatives may reasonably request.</w:t>
      </w:r>
    </w:p>
    <w:p>
      <w:pPr>
        <w:spacing w:after="0" w:line="108" w:lineRule="exact"/>
        <w:rPr>
          <w:rFonts w:ascii="Arial" w:cs="Arial" w:eastAsia="Arial" w:hAnsi="Arial"/>
          <w:sz w:val="20"/>
          <w:szCs w:val="20"/>
          <w:color w:val="auto"/>
        </w:rPr>
      </w:pPr>
    </w:p>
    <w:p>
      <w:pPr>
        <w:ind w:left="1780" w:hanging="594"/>
        <w:spacing w:after="0"/>
        <w:tabs>
          <w:tab w:leader="none" w:pos="17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[Reserved.]</w:t>
      </w:r>
    </w:p>
    <w:p>
      <w:pPr>
        <w:spacing w:after="0" w:line="153" w:lineRule="exact"/>
        <w:rPr>
          <w:rFonts w:ascii="Arial" w:cs="Arial" w:eastAsia="Arial" w:hAnsi="Arial"/>
          <w:sz w:val="20"/>
          <w:szCs w:val="20"/>
          <w:color w:val="auto"/>
        </w:rPr>
      </w:pPr>
    </w:p>
    <w:p>
      <w:pPr>
        <w:ind w:left="600" w:right="200" w:firstLine="586"/>
        <w:spacing w:after="0" w:line="266" w:lineRule="auto"/>
        <w:tabs>
          <w:tab w:leader="none" w:pos="177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Securities shall have been listed and admitted and authorized for trading on Nasdaq, and satisfactory evidence of such actions shall have been provided to the Representatives.</w:t>
      </w:r>
    </w:p>
    <w:p>
      <w:pPr>
        <w:spacing w:after="0" w:line="108" w:lineRule="exact"/>
        <w:rPr>
          <w:rFonts w:ascii="Arial" w:cs="Arial" w:eastAsia="Arial" w:hAnsi="Arial"/>
          <w:sz w:val="20"/>
          <w:szCs w:val="20"/>
          <w:color w:val="auto"/>
        </w:rPr>
      </w:pPr>
    </w:p>
    <w:p>
      <w:pPr>
        <w:ind w:left="600" w:right="280" w:firstLine="586"/>
        <w:spacing w:after="0" w:line="322" w:lineRule="auto"/>
        <w:tabs>
          <w:tab w:leader="none" w:pos="177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At the Execution Time, the Company shall have furnished to the Representatives a letter substantially in the form of Exhibit A hereto from each officer and director of the Company and their affiliated funds, addressed to the Representatives.</w:t>
      </w:r>
    </w:p>
    <w:p>
      <w:pPr>
        <w:spacing w:after="0" w:line="63" w:lineRule="exact"/>
        <w:rPr>
          <w:sz w:val="20"/>
          <w:szCs w:val="20"/>
          <w:color w:val="auto"/>
        </w:rPr>
      </w:pPr>
    </w:p>
    <w:p>
      <w:pPr>
        <w:ind w:right="180" w:firstLine="1187"/>
        <w:spacing w:after="0" w:line="255" w:lineRule="auto"/>
        <w:rPr>
          <w:sz w:val="20"/>
          <w:szCs w:val="20"/>
          <w:color w:val="auto"/>
        </w:rPr>
      </w:pPr>
      <w:r>
        <w:rPr>
          <w:rFonts w:ascii="Arial" w:cs="Arial" w:eastAsia="Arial" w:hAnsi="Arial"/>
          <w:sz w:val="20"/>
          <w:szCs w:val="20"/>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320" w:right="339" w:bottom="1440" w:gutter="0" w:footer="0" w:header="0"/>
        </w:sectPr>
      </w:pPr>
    </w:p>
    <w:bookmarkStart w:id="300" w:name="page301"/>
    <w:bookmarkEnd w:id="300"/>
    <w:p>
      <w:pPr>
        <w:ind w:right="20"/>
        <w:spacing w:after="0" w:line="255" w:lineRule="auto"/>
        <w:rPr>
          <w:sz w:val="20"/>
          <w:szCs w:val="20"/>
          <w:color w:val="auto"/>
        </w:rPr>
      </w:pPr>
      <w:r>
        <w:rPr>
          <w:rFonts w:ascii="Arial" w:cs="Arial" w:eastAsia="Arial" w:hAnsi="Arial"/>
          <w:sz w:val="20"/>
          <w:szCs w:val="20"/>
          <w:color w:val="auto"/>
        </w:rPr>
        <w:t>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20" w:lineRule="exact"/>
        <w:rPr>
          <w:sz w:val="20"/>
          <w:szCs w:val="20"/>
          <w:color w:val="auto"/>
        </w:rPr>
      </w:pPr>
    </w:p>
    <w:p>
      <w:pPr>
        <w:ind w:right="280" w:firstLine="1187"/>
        <w:spacing w:after="0" w:line="266" w:lineRule="auto"/>
        <w:rPr>
          <w:sz w:val="20"/>
          <w:szCs w:val="20"/>
          <w:color w:val="auto"/>
        </w:rPr>
      </w:pPr>
      <w:r>
        <w:rPr>
          <w:rFonts w:ascii="Arial" w:cs="Arial" w:eastAsia="Arial" w:hAnsi="Arial"/>
          <w:sz w:val="20"/>
          <w:szCs w:val="20"/>
          <w:color w:val="auto"/>
        </w:rPr>
        <w:t>The documents required to be delivered by this Section 6 shall be delivered at the office of Latham &amp; Watkins LLP, counsel for the Underwriters, at 140 Scott Drive, Menlo Park, California, 94025, on the Closing Date.</w:t>
      </w:r>
    </w:p>
    <w:p>
      <w:pPr>
        <w:spacing w:after="0" w:line="108" w:lineRule="exact"/>
        <w:rPr>
          <w:sz w:val="20"/>
          <w:szCs w:val="20"/>
          <w:color w:val="auto"/>
        </w:rPr>
      </w:pPr>
    </w:p>
    <w:p>
      <w:pPr>
        <w:ind w:right="80" w:firstLine="1186"/>
        <w:spacing w:after="0" w:line="248" w:lineRule="auto"/>
        <w:tabs>
          <w:tab w:leader="none" w:pos="1780"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Reimbursement of Underwriters’ Expenses</w:t>
      </w:r>
      <w:r>
        <w:rPr>
          <w:rFonts w:ascii="Arial" w:cs="Arial" w:eastAsia="Arial" w:hAnsi="Arial"/>
          <w:sz w:val="20"/>
          <w:szCs w:val="20"/>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Citigroup Global Markets Inc. on demand for all reasonable and documented expenses (including reasonable fees and disbursements of counsel for the Underwriters) that shall have been incurred by them in connection with the proposed purchase and sale of the Securities.</w:t>
      </w:r>
    </w:p>
    <w:p>
      <w:pPr>
        <w:spacing w:after="0" w:line="129" w:lineRule="exact"/>
        <w:rPr>
          <w:rFonts w:ascii="Arial" w:cs="Arial" w:eastAsia="Arial" w:hAnsi="Arial"/>
          <w:sz w:val="20"/>
          <w:szCs w:val="20"/>
          <w:color w:val="auto"/>
        </w:rPr>
      </w:pPr>
    </w:p>
    <w:p>
      <w:pPr>
        <w:ind w:left="1780" w:hanging="594"/>
        <w:spacing w:after="0"/>
        <w:tabs>
          <w:tab w:leader="none" w:pos="1780"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Indemnification and Contribution</w:t>
      </w:r>
      <w:r>
        <w:rPr>
          <w:rFonts w:ascii="Arial" w:cs="Arial" w:eastAsia="Arial" w:hAnsi="Arial"/>
          <w:sz w:val="20"/>
          <w:szCs w:val="20"/>
          <w:color w:val="auto"/>
        </w:rPr>
        <w:t>.</w:t>
      </w:r>
    </w:p>
    <w:p>
      <w:pPr>
        <w:spacing w:after="0" w:line="153" w:lineRule="exact"/>
        <w:rPr>
          <w:sz w:val="20"/>
          <w:szCs w:val="20"/>
          <w:color w:val="auto"/>
        </w:rPr>
      </w:pPr>
    </w:p>
    <w:p>
      <w:pPr>
        <w:ind w:firstLine="1186"/>
        <w:spacing w:after="0" w:line="275" w:lineRule="auto"/>
        <w:tabs>
          <w:tab w:leader="none" w:pos="177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Company agrees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or the Prospectus, any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documented legal or other expenses reasonably incurred by them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114" w:lineRule="exact"/>
        <w:rPr>
          <w:rFonts w:ascii="Arial" w:cs="Arial" w:eastAsia="Arial" w:hAnsi="Arial"/>
          <w:sz w:val="18"/>
          <w:szCs w:val="18"/>
          <w:color w:val="auto"/>
        </w:rPr>
      </w:pPr>
    </w:p>
    <w:p>
      <w:pPr>
        <w:ind w:right="200" w:firstLine="1186"/>
        <w:spacing w:after="0" w:line="255" w:lineRule="auto"/>
        <w:tabs>
          <w:tab w:leader="none" w:pos="177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Each Underwriter severally and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60"/>
          </w:cols>
          <w:pgMar w:left="320" w:top="1320" w:right="319" w:bottom="1440" w:gutter="0" w:footer="0" w:header="0"/>
        </w:sectPr>
      </w:pPr>
    </w:p>
    <w:bookmarkStart w:id="301" w:name="page302"/>
    <w:bookmarkEnd w:id="301"/>
    <w:p>
      <w:pPr>
        <w:ind w:left="1"/>
        <w:spacing w:after="0" w:line="276" w:lineRule="auto"/>
        <w:rPr>
          <w:sz w:val="20"/>
          <w:szCs w:val="20"/>
          <w:color w:val="auto"/>
        </w:rPr>
      </w:pPr>
      <w:r>
        <w:rPr>
          <w:rFonts w:ascii="Arial" w:cs="Arial" w:eastAsia="Arial" w:hAnsi="Arial"/>
          <w:sz w:val="18"/>
          <w:szCs w:val="18"/>
          <w:color w:val="auto"/>
        </w:rPr>
        <w:t>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and, under the heading “Underwriting”</w:t>
      </w:r>
    </w:p>
    <w:p>
      <w:pPr>
        <w:spacing w:after="0" w:line="3" w:lineRule="exact"/>
        <w:rPr>
          <w:sz w:val="20"/>
          <w:szCs w:val="20"/>
          <w:color w:val="auto"/>
        </w:rPr>
      </w:pPr>
    </w:p>
    <w:p>
      <w:pPr>
        <w:ind w:left="1" w:right="280" w:hanging="1"/>
        <w:spacing w:after="0" w:line="246" w:lineRule="auto"/>
        <w:tabs>
          <w:tab w:leader="none" w:pos="29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list of Underwriters and their respective participation in the sale of the Securities, (iii) the sentences related to concessions and reallowances and (iv) the paragraph related to stabilization, syndicate covering transactions and penalty bids in the Preliminary Prospectus and the Prospectus constitute the only information furnished in writing by or on behalf of the several Underwriters for inclusion in the Preliminary Prospectus, the Prospectus or any Issuer Free Writing Prospectus.</w:t>
      </w:r>
    </w:p>
    <w:p>
      <w:pPr>
        <w:spacing w:after="0" w:line="129" w:lineRule="exact"/>
        <w:rPr>
          <w:rFonts w:ascii="Arial" w:cs="Arial" w:eastAsia="Arial" w:hAnsi="Arial"/>
          <w:sz w:val="20"/>
          <w:szCs w:val="20"/>
          <w:color w:val="auto"/>
        </w:rPr>
      </w:pPr>
    </w:p>
    <w:p>
      <w:pPr>
        <w:ind w:left="1" w:right="20" w:firstLine="1186"/>
        <w:spacing w:after="0" w:line="274" w:lineRule="auto"/>
        <w:tabs>
          <w:tab w:leader="none" w:pos="177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1"/>
          </w:cols>
          <w:pgMar w:left="319" w:top="1320" w:right="339" w:bottom="1440" w:gutter="0" w:footer="0" w:header="0"/>
        </w:sectPr>
      </w:pPr>
    </w:p>
    <w:bookmarkStart w:id="302" w:name="page303"/>
    <w:bookmarkEnd w:id="302"/>
    <w:p>
      <w:pPr>
        <w:ind w:right="80"/>
        <w:spacing w:after="0" w:line="266" w:lineRule="auto"/>
        <w:rPr>
          <w:sz w:val="20"/>
          <w:szCs w:val="20"/>
          <w:color w:val="auto"/>
        </w:rPr>
      </w:pPr>
      <w:r>
        <w:rPr>
          <w:rFonts w:ascii="Arial" w:cs="Arial" w:eastAsia="Arial" w:hAnsi="Arial"/>
          <w:sz w:val="20"/>
          <w:szCs w:val="20"/>
          <w:color w:val="auto"/>
        </w:rPr>
        <w:t>liability arising out of such claim, action, suit or proceeding and (ii) does not include a statement as to or an admission of fault, culpability or a failure to act, by or on behalf of any indemnified party.</w:t>
      </w:r>
    </w:p>
    <w:p>
      <w:pPr>
        <w:spacing w:after="0" w:line="108" w:lineRule="exact"/>
        <w:rPr>
          <w:sz w:val="20"/>
          <w:szCs w:val="20"/>
          <w:color w:val="auto"/>
        </w:rPr>
      </w:pPr>
    </w:p>
    <w:p>
      <w:pPr>
        <w:ind w:firstLine="1186"/>
        <w:spacing w:after="0" w:line="274" w:lineRule="auto"/>
        <w:tabs>
          <w:tab w:leader="none" w:pos="177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320" w:right="339" w:bottom="1440" w:gutter="0" w:footer="0" w:header="0"/>
        </w:sectPr>
      </w:pPr>
    </w:p>
    <w:bookmarkStart w:id="303" w:name="page304"/>
    <w:bookmarkEnd w:id="303"/>
    <w:p>
      <w:pPr>
        <w:ind w:left="-20" w:right="40" w:firstLine="1186"/>
        <w:spacing w:after="0" w:line="260" w:lineRule="auto"/>
        <w:tabs>
          <w:tab w:leader="none" w:pos="1760"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aggregate amount of Securities which the defaulting Underwriter or Underwriters agreed but failed to purchase shall exceed 10% of the aggregate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23" w:lineRule="exact"/>
        <w:rPr>
          <w:rFonts w:ascii="Arial" w:cs="Arial" w:eastAsia="Arial" w:hAnsi="Arial"/>
          <w:sz w:val="19"/>
          <w:szCs w:val="19"/>
          <w:color w:val="auto"/>
        </w:rPr>
      </w:pPr>
    </w:p>
    <w:p>
      <w:pPr>
        <w:ind w:left="-20" w:firstLine="1186"/>
        <w:spacing w:after="0" w:line="261" w:lineRule="auto"/>
        <w:tabs>
          <w:tab w:leader="none" w:pos="1760"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Common Stock shall have been suspended by the SEC or the Nasdaq Stock Market or trading in securities generally on the New York Stock Exchange or the Nasdaq Stock Market shall have been suspended or limited or minimum prices shall have been established on either of such exchanges,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the Preliminary Prospectus or the Prospectus (exclusive of any amendment or supplement thereto).</w:t>
      </w:r>
    </w:p>
    <w:p>
      <w:pPr>
        <w:spacing w:after="0" w:line="121" w:lineRule="exact"/>
        <w:rPr>
          <w:rFonts w:ascii="Arial" w:cs="Arial" w:eastAsia="Arial" w:hAnsi="Arial"/>
          <w:sz w:val="19"/>
          <w:szCs w:val="19"/>
          <w:color w:val="auto"/>
        </w:rPr>
      </w:pPr>
    </w:p>
    <w:p>
      <w:pPr>
        <w:ind w:left="-20" w:right="220" w:firstLine="1186"/>
        <w:spacing w:after="0" w:line="284" w:lineRule="auto"/>
        <w:tabs>
          <w:tab w:leader="none" w:pos="1753"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98" w:lineRule="exact"/>
        <w:rPr>
          <w:rFonts w:ascii="Arial" w:cs="Arial" w:eastAsia="Arial" w:hAnsi="Arial"/>
          <w:sz w:val="18"/>
          <w:szCs w:val="18"/>
          <w:color w:val="auto"/>
        </w:rPr>
      </w:pPr>
    </w:p>
    <w:p>
      <w:pPr>
        <w:ind w:left="-20" w:right="1100" w:firstLine="1186"/>
        <w:spacing w:after="0" w:line="266" w:lineRule="auto"/>
        <w:tabs>
          <w:tab w:leader="none" w:pos="176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communications hereunder will be in writing and effective only on receipt, and, if sent to the Representatives, will be mailed, delivered or telefaxed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00"/>
          </w:cols>
          <w:pgMar w:left="340" w:top="1320" w:right="359" w:bottom="1440" w:gutter="0" w:footer="0" w:header="0"/>
        </w:sectPr>
      </w:pPr>
    </w:p>
    <w:bookmarkStart w:id="304" w:name="page305"/>
    <w:bookmarkEnd w:id="304"/>
    <w:p>
      <w:pPr>
        <w:ind w:left="1"/>
        <w:spacing w:after="0"/>
        <w:rPr>
          <w:sz w:val="20"/>
          <w:szCs w:val="20"/>
          <w:color w:val="auto"/>
        </w:rPr>
      </w:pPr>
      <w:r>
        <w:rPr>
          <w:rFonts w:ascii="Arial" w:cs="Arial" w:eastAsia="Arial" w:hAnsi="Arial"/>
          <w:sz w:val="18"/>
          <w:szCs w:val="18"/>
          <w:color w:val="auto"/>
        </w:rPr>
        <w:t>Citigroup Global Markets Inc. at 388 Greenwich Street, New York, New York 10013, Attention: General Counsel, facsimile number: +1</w:t>
      </w:r>
    </w:p>
    <w:p>
      <w:pPr>
        <w:spacing w:after="0" w:line="43" w:lineRule="exact"/>
        <w:rPr>
          <w:sz w:val="20"/>
          <w:szCs w:val="20"/>
          <w:color w:val="auto"/>
        </w:rPr>
      </w:pPr>
    </w:p>
    <w:p>
      <w:pPr>
        <w:ind w:left="1" w:right="20" w:hanging="1"/>
        <w:spacing w:after="0" w:line="233" w:lineRule="auto"/>
        <w:tabs>
          <w:tab w:leader="none" w:pos="47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291-1469; to Deutsche Bank Securities Inc. at 1 Columbus Circle, New York, New York 10019, Attention: Equity Capital Markets – Syndicate Desk, with a copy to Deutsche Bank Securities Inc., 1 Columbus Circle, 19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New York, New York 10019, Attention: General Counsel, facsimile number: +1 (646) 374-1071, or, if sent to Clover Health Investments, Corp., will be mailed, delivered or telefaxed to 3401 Mallory Lane, Suite 210, Franklin, Tennessee 37067, with a copy to Orrick, Herrington &amp; Sutcliffe LLP, The Orrick Building, 405 Howard Street, San Francisco, California 94105, Attention: Stephen Thau.</w:t>
      </w:r>
    </w:p>
    <w:p>
      <w:pPr>
        <w:spacing w:after="0" w:line="135" w:lineRule="exact"/>
        <w:rPr>
          <w:rFonts w:ascii="Arial" w:cs="Arial" w:eastAsia="Arial" w:hAnsi="Arial"/>
          <w:sz w:val="20"/>
          <w:szCs w:val="20"/>
          <w:color w:val="auto"/>
        </w:rPr>
      </w:pPr>
    </w:p>
    <w:p>
      <w:pPr>
        <w:ind w:left="1" w:right="20" w:firstLine="1186"/>
        <w:spacing w:after="0" w:line="255" w:lineRule="auto"/>
        <w:tabs>
          <w:tab w:leader="none" w:pos="1781" w:val="left"/>
        </w:tabs>
        <w:numPr>
          <w:ilvl w:val="1"/>
          <w:numId w:val="189"/>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19" w:lineRule="exact"/>
        <w:rPr>
          <w:rFonts w:ascii="Arial" w:cs="Arial" w:eastAsia="Arial" w:hAnsi="Arial"/>
          <w:sz w:val="20"/>
          <w:szCs w:val="20"/>
          <w:color w:val="auto"/>
        </w:rPr>
      </w:pPr>
    </w:p>
    <w:p>
      <w:pPr>
        <w:ind w:left="1" w:firstLine="1186"/>
        <w:spacing w:after="0" w:line="312" w:lineRule="auto"/>
        <w:tabs>
          <w:tab w:leader="none" w:pos="1781"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hereby appoints [</w:t>
      </w:r>
      <w:r>
        <w:rPr>
          <w:rFonts w:ascii="Arial" w:cs="Arial" w:eastAsia="Arial" w:hAnsi="Arial"/>
          <w:sz w:val="16"/>
          <w:szCs w:val="16"/>
          <w:i w:val="1"/>
          <w:iCs w:val="1"/>
          <w:color w:val="auto"/>
        </w:rPr>
        <w:t>insert name and address of designee</w:t>
      </w:r>
      <w:r>
        <w:rPr>
          <w:rFonts w:ascii="Arial" w:cs="Arial" w:eastAsia="Arial" w:hAnsi="Arial"/>
          <w:sz w:val="16"/>
          <w:szCs w:val="16"/>
          <w:color w:val="auto"/>
        </w:rPr>
        <w:t>] as its authorized agent (the “</w:t>
      </w:r>
      <w:r>
        <w:rPr>
          <w:rFonts w:ascii="Arial" w:cs="Arial" w:eastAsia="Arial" w:hAnsi="Arial"/>
          <w:sz w:val="16"/>
          <w:szCs w:val="16"/>
          <w:u w:val="single" w:color="auto"/>
          <w:color w:val="auto"/>
        </w:rPr>
        <w:t>Authorized Agent</w:t>
      </w:r>
      <w:r>
        <w:rPr>
          <w:rFonts w:ascii="Arial" w:cs="Arial" w:eastAsia="Arial" w:hAnsi="Arial"/>
          <w:sz w:val="16"/>
          <w:szCs w:val="16"/>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affiliates and agents of any Underwriter, or by any person who controls any Underwriter, in any court of competent jurisdiction in Delaware</w:t>
      </w:r>
      <w:r>
        <w:rPr>
          <w:rFonts w:ascii="Arial" w:cs="Arial" w:eastAsia="Arial" w:hAnsi="Arial"/>
          <w:sz w:val="16"/>
          <w:szCs w:val="16"/>
          <w:b w:val="1"/>
          <w:bCs w:val="1"/>
          <w:color w:val="auto"/>
        </w:rPr>
        <w:t>.</w:t>
      </w:r>
    </w:p>
    <w:p>
      <w:pPr>
        <w:spacing w:after="0" w:line="323" w:lineRule="exact"/>
        <w:rPr>
          <w:rFonts w:ascii="Arial" w:cs="Arial" w:eastAsia="Arial" w:hAnsi="Arial"/>
          <w:sz w:val="16"/>
          <w:szCs w:val="16"/>
          <w:color w:val="auto"/>
        </w:rPr>
      </w:pPr>
    </w:p>
    <w:p>
      <w:pPr>
        <w:ind w:left="1781" w:hanging="594"/>
        <w:spacing w:after="0"/>
        <w:tabs>
          <w:tab w:leader="none" w:pos="1781" w:val="left"/>
        </w:tabs>
        <w:numPr>
          <w:ilvl w:val="1"/>
          <w:numId w:val="189"/>
        </w:numPr>
        <w:rPr>
          <w:rFonts w:ascii="Arial" w:cs="Arial" w:eastAsia="Arial" w:hAnsi="Arial"/>
          <w:sz w:val="20"/>
          <w:szCs w:val="20"/>
          <w:color w:val="auto"/>
        </w:rPr>
      </w:pPr>
      <w:r>
        <w:rPr>
          <w:rFonts w:ascii="Arial" w:cs="Arial" w:eastAsia="Arial" w:hAnsi="Arial"/>
          <w:sz w:val="20"/>
          <w:szCs w:val="20"/>
          <w:u w:val="single" w:color="auto"/>
          <w:color w:val="auto"/>
        </w:rPr>
        <w:t>Recognition of the U.S. Special Resolution Regimes</w:t>
      </w:r>
      <w:r>
        <w:rPr>
          <w:rFonts w:ascii="Arial" w:cs="Arial" w:eastAsia="Arial" w:hAnsi="Arial"/>
          <w:sz w:val="20"/>
          <w:szCs w:val="20"/>
          <w:color w:val="auto"/>
        </w:rPr>
        <w:t>.</w:t>
      </w:r>
    </w:p>
    <w:p>
      <w:pPr>
        <w:spacing w:after="0" w:line="153" w:lineRule="exact"/>
        <w:rPr>
          <w:sz w:val="20"/>
          <w:szCs w:val="20"/>
          <w:color w:val="auto"/>
        </w:rPr>
      </w:pPr>
    </w:p>
    <w:p>
      <w:pPr>
        <w:ind w:left="601" w:right="20" w:firstLine="586"/>
        <w:spacing w:after="0" w:line="255" w:lineRule="auto"/>
        <w:tabs>
          <w:tab w:leader="none" w:pos="161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1"/>
          </w:cols>
          <w:pgMar w:left="319" w:top="1319" w:right="339" w:bottom="1440" w:gutter="0" w:footer="0" w:header="0"/>
        </w:sectPr>
      </w:pPr>
    </w:p>
    <w:bookmarkStart w:id="305" w:name="page306"/>
    <w:bookmarkEnd w:id="305"/>
    <w:p>
      <w:pPr>
        <w:ind w:left="600" w:right="80"/>
        <w:spacing w:after="0" w:line="266" w:lineRule="auto"/>
        <w:rPr>
          <w:sz w:val="20"/>
          <w:szCs w:val="20"/>
          <w:color w:val="auto"/>
        </w:rPr>
      </w:pPr>
      <w:r>
        <w:rPr>
          <w:rFonts w:ascii="Arial" w:cs="Arial" w:eastAsia="Arial" w:hAnsi="Arial"/>
          <w:sz w:val="20"/>
          <w:szCs w:val="20"/>
          <w:color w:val="auto"/>
        </w:rPr>
        <w:t>the U.S. Special Resolution Regime if this Agreement, and any such interest and obligation, were governed by the laws of the United States or a state of the United States.</w:t>
      </w:r>
    </w:p>
    <w:p>
      <w:pPr>
        <w:spacing w:after="0" w:line="108" w:lineRule="exact"/>
        <w:rPr>
          <w:sz w:val="20"/>
          <w:szCs w:val="20"/>
          <w:color w:val="auto"/>
        </w:rPr>
      </w:pPr>
    </w:p>
    <w:p>
      <w:pPr>
        <w:ind w:left="600" w:firstLine="586"/>
        <w:spacing w:after="0" w:line="289" w:lineRule="auto"/>
        <w:tabs>
          <w:tab w:leader="none" w:pos="162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91" w:lineRule="exact"/>
        <w:rPr>
          <w:sz w:val="20"/>
          <w:szCs w:val="20"/>
          <w:color w:val="auto"/>
        </w:rPr>
      </w:pPr>
    </w:p>
    <w:p>
      <w:pPr>
        <w:ind w:right="80" w:firstLine="1187"/>
        <w:spacing w:after="0" w:line="280" w:lineRule="auto"/>
        <w:rPr>
          <w:sz w:val="20"/>
          <w:szCs w:val="20"/>
          <w:color w:val="auto"/>
        </w:rPr>
      </w:pPr>
      <w:r>
        <w:rPr>
          <w:rFonts w:ascii="Arial" w:cs="Arial" w:eastAsia="Arial" w:hAnsi="Arial"/>
          <w:sz w:val="18"/>
          <w:szCs w:val="18"/>
          <w:color w:val="auto"/>
        </w:rPr>
        <w:t>As used in this Section 15,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2" w:lineRule="exact"/>
        <w:rPr>
          <w:sz w:val="20"/>
          <w:szCs w:val="20"/>
          <w:color w:val="auto"/>
        </w:rPr>
      </w:pPr>
    </w:p>
    <w:p>
      <w:pPr>
        <w:ind w:firstLine="1186"/>
        <w:spacing w:after="0" w:line="279" w:lineRule="auto"/>
        <w:tabs>
          <w:tab w:leader="none" w:pos="17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02" w:lineRule="exact"/>
        <w:rPr>
          <w:rFonts w:ascii="Arial" w:cs="Arial" w:eastAsia="Arial" w:hAnsi="Arial"/>
          <w:sz w:val="18"/>
          <w:szCs w:val="18"/>
          <w:color w:val="auto"/>
        </w:rPr>
      </w:pPr>
    </w:p>
    <w:p>
      <w:pPr>
        <w:ind w:right="80" w:firstLine="1186"/>
        <w:spacing w:after="0" w:line="266" w:lineRule="auto"/>
        <w:tabs>
          <w:tab w:leader="none" w:pos="178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supersedes all prior agreements and understandings (whether written or oral) between the Company and the Underwriters, or any of them, with respect to the subject matter hereof.</w:t>
      </w:r>
    </w:p>
    <w:p>
      <w:pPr>
        <w:spacing w:after="0" w:line="108" w:lineRule="exact"/>
        <w:rPr>
          <w:rFonts w:ascii="Arial" w:cs="Arial" w:eastAsia="Arial" w:hAnsi="Arial"/>
          <w:sz w:val="20"/>
          <w:szCs w:val="20"/>
          <w:color w:val="auto"/>
        </w:rPr>
      </w:pPr>
    </w:p>
    <w:p>
      <w:pPr>
        <w:ind w:right="180" w:firstLine="1186"/>
        <w:spacing w:after="0" w:line="266" w:lineRule="auto"/>
        <w:tabs>
          <w:tab w:leader="none" w:pos="178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This Agreement will be governed by and construed in accordance with the laws of the State of New York applicable to contracts made and to be performed within the State of New York.</w:t>
      </w:r>
    </w:p>
    <w:p>
      <w:pPr>
        <w:spacing w:after="0" w:line="108" w:lineRule="exact"/>
        <w:rPr>
          <w:rFonts w:ascii="Arial" w:cs="Arial" w:eastAsia="Arial" w:hAnsi="Arial"/>
          <w:sz w:val="20"/>
          <w:szCs w:val="20"/>
          <w:color w:val="auto"/>
        </w:rPr>
      </w:pPr>
    </w:p>
    <w:p>
      <w:pPr>
        <w:ind w:right="240" w:firstLine="1186"/>
        <w:spacing w:after="0" w:line="322" w:lineRule="auto"/>
        <w:tabs>
          <w:tab w:leader="none" w:pos="178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20"/>
          </w:cols>
          <w:pgMar w:left="320" w:top="1319" w:right="359" w:bottom="1440" w:gutter="0" w:footer="0" w:header="0"/>
        </w:sectPr>
      </w:pPr>
    </w:p>
    <w:bookmarkStart w:id="306" w:name="page307"/>
    <w:bookmarkEnd w:id="306"/>
    <w:p>
      <w:pPr>
        <w:ind w:left="-280" w:firstLine="1186"/>
        <w:spacing w:after="0" w:line="266" w:lineRule="auto"/>
        <w:tabs>
          <w:tab w:leader="none" w:pos="1500"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one or more counterparts, each of which shall constitute an original and all of which together shall constitute one and the same agreement.</w:t>
      </w:r>
    </w:p>
    <w:p>
      <w:pPr>
        <w:spacing w:after="0" w:line="108" w:lineRule="exact"/>
        <w:rPr>
          <w:rFonts w:ascii="Arial" w:cs="Arial" w:eastAsia="Arial" w:hAnsi="Arial"/>
          <w:sz w:val="20"/>
          <w:szCs w:val="20"/>
          <w:color w:val="auto"/>
        </w:rPr>
      </w:pPr>
    </w:p>
    <w:p>
      <w:pPr>
        <w:ind w:left="1500" w:hanging="594"/>
        <w:spacing w:after="0"/>
        <w:tabs>
          <w:tab w:leader="none" w:pos="15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680"/>
          </w:cols>
          <w:pgMar w:left="600" w:top="1319" w:right="619" w:bottom="1440" w:gutter="0" w:footer="0" w:header="0"/>
        </w:sectPr>
      </w:pPr>
    </w:p>
    <w:bookmarkStart w:id="307" w:name="page308"/>
    <w:bookmarkEnd w:id="307"/>
    <w:p>
      <w:pPr>
        <w:ind w:firstLine="1187"/>
        <w:spacing w:after="0" w:line="330"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Very truly yours,</w:t>
      </w:r>
    </w:p>
    <w:p>
      <w:pPr>
        <w:spacing w:after="0" w:line="283" w:lineRule="exact"/>
        <w:rPr>
          <w:sz w:val="20"/>
          <w:szCs w:val="20"/>
          <w:color w:val="auto"/>
        </w:rPr>
      </w:pPr>
    </w:p>
    <w:p>
      <w:pPr>
        <w:ind w:left="7200"/>
        <w:spacing w:after="0"/>
        <w:rPr>
          <w:sz w:val="20"/>
          <w:szCs w:val="20"/>
          <w:color w:val="auto"/>
        </w:rPr>
      </w:pPr>
      <w:r>
        <w:rPr>
          <w:rFonts w:ascii="Arial" w:cs="Arial" w:eastAsia="Arial" w:hAnsi="Arial"/>
          <w:sz w:val="20"/>
          <w:szCs w:val="20"/>
          <w:b w:val="1"/>
          <w:bCs w:val="1"/>
          <w:color w:val="auto"/>
        </w:rPr>
        <w:t>CLOVER HEALTH INVESTMENTS, CORP.</w:t>
      </w:r>
    </w:p>
    <w:p>
      <w:pPr>
        <w:spacing w:after="0" w:line="200" w:lineRule="exact"/>
        <w:rPr>
          <w:sz w:val="20"/>
          <w:szCs w:val="20"/>
          <w:color w:val="auto"/>
        </w:rPr>
      </w:pPr>
    </w:p>
    <w:p>
      <w:pPr>
        <w:spacing w:after="0" w:line="244"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22860</wp:posOffset>
            </wp:positionV>
            <wp:extent cx="181356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1813560" cy="7620"/>
                    </a:xfrm>
                    <a:prstGeom prst="rect">
                      <a:avLst/>
                    </a:prstGeom>
                    <a:noFill/>
                  </pic:spPr>
                </pic:pic>
              </a:graphicData>
            </a:graphic>
          </wp:anchor>
        </w:drawing>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Name:</w:t>
      </w:r>
    </w:p>
    <w:p>
      <w:pPr>
        <w:spacing w:after="0" w:line="42"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Underwriting Agreement</w:t>
      </w:r>
      <w:r>
        <w:rPr>
          <w:rFonts w:ascii="Arial" w:cs="Arial" w:eastAsia="Arial" w:hAnsi="Arial"/>
          <w:sz w:val="20"/>
          <w:szCs w:val="20"/>
          <w:color w:val="auto"/>
        </w:rPr>
        <w:t>]</w:t>
      </w:r>
    </w:p>
    <w:p>
      <w:pPr>
        <w:sectPr>
          <w:pgSz w:w="11900" w:h="16838" w:orient="portrait"/>
          <w:cols w:equalWidth="0" w:num="1">
            <w:col w:w="11240"/>
          </w:cols>
          <w:pgMar w:left="320" w:top="1319" w:right="339" w:bottom="1440" w:gutter="0" w:footer="0" w:header="0"/>
        </w:sectPr>
      </w:pPr>
    </w:p>
    <w:bookmarkStart w:id="308" w:name="page309"/>
    <w:bookmarkEnd w:id="308"/>
    <w:p>
      <w:pPr>
        <w:spacing w:after="0"/>
        <w:rPr>
          <w:sz w:val="20"/>
          <w:szCs w:val="20"/>
          <w:color w:val="auto"/>
        </w:rPr>
      </w:pPr>
      <w:r>
        <w:rPr>
          <w:rFonts w:ascii="Arial" w:cs="Arial" w:eastAsia="Arial" w:hAnsi="Arial"/>
          <w:sz w:val="19"/>
          <w:szCs w:val="19"/>
          <w:color w:val="auto"/>
        </w:rPr>
        <w:t>The foregoing Agreement is hereby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confirmed and accepted as of the date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first above written.</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Citigroup Global Markets Inc.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Deutsche Bank Securities Inc.</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By: Citigroup Global Markets Inc.</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22860</wp:posOffset>
            </wp:positionV>
            <wp:extent cx="284988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2849880" cy="7620"/>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Name: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Title:</w:t>
      </w: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By: Deutsche Bank Securities Inc.</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22860</wp:posOffset>
            </wp:positionV>
            <wp:extent cx="284988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2849880" cy="7620"/>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Name: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Title: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foregoing Agreement.</w:t>
      </w:r>
    </w:p>
    <w:p>
      <w:pPr>
        <w:sectPr>
          <w:pgSz w:w="11900" w:h="16838" w:orient="portrait"/>
          <w:cols w:equalWidth="0" w:num="1">
            <w:col w:w="10119"/>
          </w:cols>
          <w:pgMar w:left="340" w:top="1356" w:right="1440"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019"/>
          </w:cols>
          <w:pgMar w:left="1440" w:top="1084" w:right="1440" w:bottom="1440" w:gutter="0" w:footer="0" w:header="0"/>
        </w:sectPr>
      </w:pPr>
    </w:p>
    <w:bookmarkStart w:id="310" w:name="page311"/>
    <w:bookmarkEnd w:id="310"/>
    <w:p>
      <w:pPr>
        <w:ind w:left="5020"/>
        <w:spacing w:after="0"/>
        <w:rPr>
          <w:sz w:val="20"/>
          <w:szCs w:val="20"/>
          <w:color w:val="auto"/>
        </w:rPr>
      </w:pPr>
      <w:r>
        <w:rPr>
          <w:rFonts w:ascii="Arial" w:cs="Arial" w:eastAsia="Arial" w:hAnsi="Arial"/>
          <w:sz w:val="19"/>
          <w:szCs w:val="19"/>
          <w:u w:val="single" w:color="auto"/>
          <w:color w:val="auto"/>
        </w:rPr>
        <w:t>SCHEDULE I</w:t>
      </w:r>
    </w:p>
    <w:p>
      <w:pPr>
        <w:sectPr>
          <w:pgSz w:w="11900" w:h="16838" w:orient="portrait"/>
          <w:cols w:equalWidth="0" w:num="1">
            <w:col w:w="10119"/>
          </w:cols>
          <w:pgMar w:left="340" w:top="131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26670</wp:posOffset>
            </wp:positionV>
            <wp:extent cx="402717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4027170" cy="762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SVB Leerink, LLC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Canaccord Genuity LLC</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Number of Underwritten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1274445</wp:posOffset>
            </wp:positionV>
            <wp:extent cx="302260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3022600" cy="762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41910</wp:posOffset>
            </wp:positionV>
            <wp:extent cx="302260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330" w:lineRule="exact"/>
        <w:rPr>
          <w:sz w:val="20"/>
          <w:szCs w:val="20"/>
          <w:color w:val="auto"/>
        </w:rPr>
      </w:pPr>
    </w:p>
    <w:p>
      <w:pPr>
        <w:sectPr>
          <w:pgSz w:w="11900" w:h="16838" w:orient="portrait"/>
          <w:cols w:equalWidth="0" w:num="2">
            <w:col w:w="7020" w:space="720"/>
            <w:col w:w="2379"/>
          </w:cols>
          <w:pgMar w:left="340" w:top="1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7620</wp:posOffset>
            </wp:positionV>
            <wp:extent cx="302260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3022600" cy="7620"/>
                    </a:xfrm>
                    <a:prstGeom prst="rect">
                      <a:avLst/>
                    </a:prstGeom>
                    <a:noFill/>
                  </pic:spPr>
                </pic:pic>
              </a:graphicData>
            </a:graphic>
          </wp:anchor>
        </w:drawing>
        <w:drawing>
          <wp:anchor simplePos="0" relativeHeight="251657728" behindDoc="1" locked="0" layoutInCell="0" allowOverlap="1">
            <wp:simplePos x="0" y="0"/>
            <wp:positionH relativeFrom="column">
              <wp:posOffset>4107815</wp:posOffset>
            </wp:positionH>
            <wp:positionV relativeFrom="paragraph">
              <wp:posOffset>31115</wp:posOffset>
            </wp:positionV>
            <wp:extent cx="302260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I-1</w:t>
      </w:r>
    </w:p>
    <w:p>
      <w:pPr>
        <w:sectPr>
          <w:pgSz w:w="11900" w:h="16838" w:orient="portrait"/>
          <w:cols w:equalWidth="0" w:num="1">
            <w:col w:w="10119"/>
          </w:cols>
          <w:pgMar w:left="340" w:top="1319" w:right="1440" w:bottom="1440" w:gutter="0" w:footer="0" w:header="0"/>
          <w:type w:val="continuous"/>
        </w:sectPr>
      </w:pPr>
    </w:p>
    <w:bookmarkStart w:id="311" w:name="page312"/>
    <w:bookmarkEnd w:id="311"/>
    <w:p>
      <w:pPr>
        <w:jc w:val="center"/>
        <w:ind w:right="-1120"/>
        <w:spacing w:after="0"/>
        <w:rPr>
          <w:sz w:val="20"/>
          <w:szCs w:val="20"/>
          <w:color w:val="auto"/>
        </w:rPr>
      </w:pPr>
      <w:r>
        <w:rPr>
          <w:rFonts w:ascii="Arial" w:cs="Arial" w:eastAsia="Arial" w:hAnsi="Arial"/>
          <w:sz w:val="20"/>
          <w:szCs w:val="20"/>
          <w:u w:val="single" w:color="auto"/>
          <w:color w:val="auto"/>
        </w:rPr>
        <w:t>SCHEDULE II</w:t>
      </w:r>
    </w:p>
    <w:p>
      <w:pPr>
        <w:spacing w:after="0" w:line="15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Schedule of Free Writing Prospectuses included in the Disclosure Package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II-1</w:t>
      </w:r>
    </w:p>
    <w:p>
      <w:pPr>
        <w:sectPr>
          <w:pgSz w:w="11900" w:h="16838" w:orient="portrait"/>
          <w:cols w:equalWidth="0" w:num="1">
            <w:col w:w="10139"/>
          </w:cols>
          <w:pgMar w:left="320" w:top="1319" w:right="1440" w:bottom="1440" w:gutter="0" w:footer="0" w:header="0"/>
        </w:sectPr>
      </w:pPr>
    </w:p>
    <w:bookmarkStart w:id="312" w:name="page313"/>
    <w:bookmarkEnd w:id="312"/>
    <w:p>
      <w:pPr>
        <w:jc w:val="center"/>
        <w:ind w:right="-1120"/>
        <w:spacing w:after="0"/>
        <w:rPr>
          <w:sz w:val="20"/>
          <w:szCs w:val="20"/>
          <w:color w:val="auto"/>
        </w:rPr>
      </w:pPr>
      <w:r>
        <w:rPr>
          <w:rFonts w:ascii="Arial" w:cs="Arial" w:eastAsia="Arial" w:hAnsi="Arial"/>
          <w:sz w:val="20"/>
          <w:szCs w:val="20"/>
          <w:u w:val="single" w:color="auto"/>
          <w:color w:val="auto"/>
        </w:rPr>
        <w:t>SCHEDULE III</w:t>
      </w:r>
    </w:p>
    <w:p>
      <w:pPr>
        <w:spacing w:after="0" w:line="15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Schedule of Written Testing-the-Waters Communication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III-1</w:t>
      </w:r>
    </w:p>
    <w:p>
      <w:pPr>
        <w:sectPr>
          <w:pgSz w:w="11900" w:h="16838" w:orient="portrait"/>
          <w:cols w:equalWidth="0" w:num="1">
            <w:col w:w="10139"/>
          </w:cols>
          <w:pgMar w:left="320" w:top="1319" w:right="1440" w:bottom="1440" w:gutter="0" w:footer="0" w:header="0"/>
        </w:sectPr>
      </w:pPr>
    </w:p>
    <w:bookmarkStart w:id="313" w:name="page314"/>
    <w:bookmarkEnd w:id="313"/>
    <w:p>
      <w:pPr>
        <w:spacing w:after="0"/>
        <w:tabs>
          <w:tab w:leader="none" w:pos="10200" w:val="left"/>
        </w:tabs>
        <w:rPr>
          <w:sz w:val="20"/>
          <w:szCs w:val="20"/>
          <w:color w:val="auto"/>
        </w:rPr>
      </w:pPr>
      <w:r>
        <w:rPr>
          <w:rFonts w:ascii="Arial" w:cs="Arial" w:eastAsia="Arial" w:hAnsi="Arial"/>
          <w:sz w:val="20"/>
          <w:szCs w:val="20"/>
          <w:b w:val="1"/>
          <w:bCs w:val="1"/>
          <w:color w:val="auto"/>
        </w:rPr>
        <w:t>[Form of Lock-Up Agreement]</w:t>
      </w:r>
      <w:r>
        <w:rPr>
          <w:sz w:val="20"/>
          <w:szCs w:val="20"/>
          <w:color w:val="auto"/>
        </w:rPr>
        <w:tab/>
      </w:r>
      <w:r>
        <w:rPr>
          <w:rFonts w:ascii="Arial" w:cs="Arial" w:eastAsia="Arial" w:hAnsi="Arial"/>
          <w:sz w:val="20"/>
          <w:szCs w:val="20"/>
          <w:color w:val="auto"/>
        </w:rPr>
        <w:t>EXHIBIT A</w:t>
      </w:r>
    </w:p>
    <w:p>
      <w:pPr>
        <w:sectPr>
          <w:pgSz w:w="11900" w:h="16838" w:orient="portrait"/>
          <w:cols w:equalWidth="0" w:num="1">
            <w:col w:w="11200"/>
          </w:cols>
          <w:pgMar w:left="360" w:top="1350" w:right="339" w:bottom="1440" w:gutter="0" w:footer="0" w:header="0"/>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[Distributed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00"/>
          </w:cols>
          <w:pgMar w:left="360" w:top="1350" w:right="339" w:bottom="1440" w:gutter="0" w:footer="0" w:header="0"/>
          <w:type w:val="continuous"/>
        </w:sectPr>
      </w:pPr>
    </w:p>
    <w:bookmarkStart w:id="314" w:name="page315"/>
    <w:bookmarkEnd w:id="314"/>
    <w:p>
      <w:pPr>
        <w:ind w:left="20"/>
        <w:spacing w:after="0"/>
        <w:tabs>
          <w:tab w:leader="none" w:pos="10060" w:val="left"/>
        </w:tabs>
        <w:rPr>
          <w:sz w:val="20"/>
          <w:szCs w:val="20"/>
          <w:color w:val="auto"/>
        </w:rPr>
      </w:pPr>
      <w:r>
        <w:rPr>
          <w:rFonts w:ascii="Arial" w:cs="Arial" w:eastAsia="Arial" w:hAnsi="Arial"/>
          <w:sz w:val="20"/>
          <w:szCs w:val="20"/>
          <w:b w:val="1"/>
          <w:bCs w:val="1"/>
          <w:color w:val="auto"/>
        </w:rPr>
        <w:t>[Form of Waiver of Lock-up]</w:t>
      </w:r>
      <w:r>
        <w:rPr>
          <w:sz w:val="20"/>
          <w:szCs w:val="20"/>
          <w:color w:val="auto"/>
        </w:rPr>
        <w:tab/>
      </w:r>
      <w:r>
        <w:rPr>
          <w:rFonts w:ascii="Arial" w:cs="Arial" w:eastAsia="Arial" w:hAnsi="Arial"/>
          <w:sz w:val="20"/>
          <w:szCs w:val="20"/>
          <w:color w:val="auto"/>
        </w:rPr>
        <w:t>ADDENDUM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i w:val="1"/>
          <w:iCs w:val="1"/>
          <w:color w:val="auto"/>
        </w:rPr>
        <w:t>insert letterhead of Citigroup Global Markets Inc.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i w:val="1"/>
          <w:iCs w:val="1"/>
          <w:color w:val="auto"/>
        </w:rPr>
        <w:t>name of issuer</w:t>
      </w:r>
      <w:r>
        <w:rPr>
          <w:rFonts w:ascii="Arial" w:cs="Arial" w:eastAsia="Arial" w:hAnsi="Arial"/>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Public Offering of Common Stock</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i w:val="1"/>
          <w:iCs w:val="1"/>
          <w:color w:val="auto"/>
        </w:rPr>
        <w:t>insert date</w:t>
      </w:r>
      <w:r>
        <w:rPr>
          <w:rFonts w:ascii="Arial" w:cs="Arial" w:eastAsia="Arial" w:hAnsi="Arial"/>
          <w:sz w:val="20"/>
          <w:szCs w:val="20"/>
          <w:b w:val="1"/>
          <w:bCs w:val="1"/>
          <w:color w:val="auto"/>
        </w:rPr>
        <w:t>]</w:t>
      </w:r>
      <w:r>
        <w:rPr>
          <w:rFonts w:ascii="Arial" w:cs="Arial" w:eastAsia="Arial" w:hAnsi="Arial"/>
          <w:sz w:val="20"/>
          <w:szCs w:val="20"/>
          <w:color w:val="auto"/>
        </w:rPr>
        <w:t>, 20__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i w:val="1"/>
          <w:iCs w:val="1"/>
          <w:color w:val="auto"/>
        </w:rPr>
        <w:t>name and address of officer or director requesting waiver</w:t>
      </w:r>
      <w:r>
        <w:rPr>
          <w:rFonts w:ascii="Arial" w:cs="Arial" w:eastAsia="Arial" w:hAnsi="Arial"/>
          <w:sz w:val="20"/>
          <w:szCs w:val="20"/>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Mr./Ms. </w:t>
      </w:r>
      <w:r>
        <w:rPr>
          <w:rFonts w:ascii="Arial" w:cs="Arial" w:eastAsia="Arial" w:hAnsi="Arial"/>
          <w:sz w:val="20"/>
          <w:szCs w:val="20"/>
          <w:b w:val="1"/>
          <w:bCs w:val="1"/>
          <w:color w:val="auto"/>
        </w:rPr>
        <w:t>[</w:t>
      </w:r>
      <w:r>
        <w:rPr>
          <w:rFonts w:ascii="Arial" w:cs="Arial" w:eastAsia="Arial" w:hAnsi="Arial"/>
          <w:sz w:val="20"/>
          <w:szCs w:val="20"/>
          <w:i w:val="1"/>
          <w:iCs w:val="1"/>
          <w:color w:val="auto"/>
        </w:rPr>
        <w:t>insert name</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 xml:space="preserve">This letter is being delivered to you in connection with the offering by </w:t>
      </w:r>
      <w:r>
        <w:rPr>
          <w:rFonts w:ascii="Arial" w:cs="Arial" w:eastAsia="Arial" w:hAnsi="Arial"/>
          <w:sz w:val="19"/>
          <w:szCs w:val="19"/>
          <w:b w:val="1"/>
          <w:bCs w:val="1"/>
          <w:color w:val="auto"/>
        </w:rPr>
        <w:t>[</w:t>
      </w:r>
      <w:r>
        <w:rPr>
          <w:rFonts w:ascii="Arial" w:cs="Arial" w:eastAsia="Arial" w:hAnsi="Arial"/>
          <w:sz w:val="19"/>
          <w:szCs w:val="19"/>
          <w:i w:val="1"/>
          <w:iCs w:val="1"/>
          <w:color w:val="auto"/>
        </w:rPr>
        <w:t>name of issuer</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Company</w:t>
      </w:r>
      <w:r>
        <w:rPr>
          <w:rFonts w:ascii="Arial" w:cs="Arial" w:eastAsia="Arial" w:hAnsi="Arial"/>
          <w:sz w:val="19"/>
          <w:szCs w:val="19"/>
          <w:color w:val="auto"/>
        </w:rPr>
        <w:t>”) of [●] shares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common stock, $[●] par value (the “</w:t>
      </w:r>
      <w:r>
        <w:rPr>
          <w:rFonts w:ascii="Arial" w:cs="Arial" w:eastAsia="Arial" w:hAnsi="Arial"/>
          <w:sz w:val="19"/>
          <w:szCs w:val="19"/>
          <w:u w:val="single" w:color="auto"/>
          <w:color w:val="auto"/>
        </w:rPr>
        <w:t>Common Stock</w:t>
      </w:r>
      <w:r>
        <w:rPr>
          <w:rFonts w:ascii="Arial" w:cs="Arial" w:eastAsia="Arial" w:hAnsi="Arial"/>
          <w:sz w:val="19"/>
          <w:szCs w:val="19"/>
          <w:color w:val="auto"/>
        </w:rPr>
        <w:t xml:space="preserve">”), of the Company and the lock-up letter dated </w:t>
      </w:r>
      <w:r>
        <w:rPr>
          <w:rFonts w:ascii="Arial" w:cs="Arial" w:eastAsia="Arial" w:hAnsi="Arial"/>
          <w:sz w:val="19"/>
          <w:szCs w:val="19"/>
          <w:b w:val="1"/>
          <w:bCs w:val="1"/>
          <w:color w:val="auto"/>
        </w:rPr>
        <w:t>[</w:t>
      </w:r>
      <w:r>
        <w:rPr>
          <w:rFonts w:ascii="Arial" w:cs="Arial" w:eastAsia="Arial" w:hAnsi="Arial"/>
          <w:sz w:val="19"/>
          <w:szCs w:val="19"/>
          <w:i w:val="1"/>
          <w:iCs w:val="1"/>
          <w:color w:val="auto"/>
        </w:rPr>
        <w:t>insert date</w:t>
      </w:r>
      <w:r>
        <w:rPr>
          <w:rFonts w:ascii="Arial" w:cs="Arial" w:eastAsia="Arial" w:hAnsi="Arial"/>
          <w:sz w:val="19"/>
          <w:szCs w:val="19"/>
          <w:b w:val="1"/>
          <w:bCs w:val="1"/>
          <w:color w:val="auto"/>
        </w:rPr>
        <w:t>]</w:t>
      </w:r>
      <w:r>
        <w:rPr>
          <w:rFonts w:ascii="Arial" w:cs="Arial" w:eastAsia="Arial" w:hAnsi="Arial"/>
          <w:sz w:val="19"/>
          <w:szCs w:val="19"/>
          <w:color w:val="auto"/>
        </w:rPr>
        <w:t>, 20__ (the “</w:t>
      </w:r>
      <w:r>
        <w:rPr>
          <w:rFonts w:ascii="Arial" w:cs="Arial" w:eastAsia="Arial" w:hAnsi="Arial"/>
          <w:sz w:val="19"/>
          <w:szCs w:val="19"/>
          <w:u w:val="single" w:color="auto"/>
          <w:color w:val="auto"/>
        </w:rPr>
        <w:t>Lock-up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w:t>
      </w:r>
      <w:r>
        <w:rPr>
          <w:rFonts w:ascii="Arial" w:cs="Arial" w:eastAsia="Arial" w:hAnsi="Arial"/>
          <w:sz w:val="18"/>
          <w:szCs w:val="18"/>
          <w:color w:val="auto"/>
        </w:rPr>
        <w:t xml:space="preserve">”), executed by you in connection with such offering, and your request for a [waiver] [release] dated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 with respect to</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 shares of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w:t>
      </w:r>
    </w:p>
    <w:p>
      <w:pPr>
        <w:spacing w:after="0" w:line="138" w:lineRule="exact"/>
        <w:rPr>
          <w:sz w:val="20"/>
          <w:szCs w:val="20"/>
          <w:color w:val="auto"/>
        </w:rPr>
      </w:pPr>
    </w:p>
    <w:p>
      <w:pPr>
        <w:ind w:right="80" w:firstLine="1187"/>
        <w:spacing w:after="0" w:line="269" w:lineRule="auto"/>
        <w:rPr>
          <w:sz w:val="20"/>
          <w:szCs w:val="20"/>
          <w:color w:val="auto"/>
        </w:rPr>
      </w:pPr>
      <w:r>
        <w:rPr>
          <w:rFonts w:ascii="Arial" w:cs="Arial" w:eastAsia="Arial" w:hAnsi="Arial"/>
          <w:sz w:val="19"/>
          <w:szCs w:val="19"/>
          <w:color w:val="auto"/>
        </w:rPr>
        <w:t xml:space="preserve">Citigroup Global Markets Inc. hereby agrees to [waive] [release] the transfer restrictions set forth in the Lock-up Letter, but only with respect to the Shares, effective </w:t>
      </w:r>
      <w:r>
        <w:rPr>
          <w:rFonts w:ascii="Arial" w:cs="Arial" w:eastAsia="Arial" w:hAnsi="Arial"/>
          <w:sz w:val="19"/>
          <w:szCs w:val="19"/>
          <w:b w:val="1"/>
          <w:bCs w:val="1"/>
          <w:color w:val="auto"/>
        </w:rPr>
        <w:t>[</w:t>
      </w:r>
      <w:r>
        <w:rPr>
          <w:rFonts w:ascii="Arial" w:cs="Arial" w:eastAsia="Arial" w:hAnsi="Arial"/>
          <w:sz w:val="19"/>
          <w:szCs w:val="19"/>
          <w:i w:val="1"/>
          <w:iCs w:val="1"/>
          <w:color w:val="auto"/>
        </w:rPr>
        <w:t>insert date</w:t>
      </w:r>
      <w:r>
        <w:rPr>
          <w:rFonts w:ascii="Arial" w:cs="Arial" w:eastAsia="Arial" w:hAnsi="Arial"/>
          <w:sz w:val="19"/>
          <w:szCs w:val="19"/>
          <w:b w:val="1"/>
          <w:bCs w:val="1"/>
          <w:color w:val="auto"/>
        </w:rPr>
        <w:t>]</w:t>
      </w:r>
      <w:r>
        <w:rPr>
          <w:rFonts w:ascii="Arial" w:cs="Arial" w:eastAsia="Arial" w:hAnsi="Arial"/>
          <w:sz w:val="19"/>
          <w:szCs w:val="19"/>
          <w:color w:val="auto"/>
        </w:rPr>
        <w:t xml:space="preserve">, 20__;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08"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Except as expressly [waived] [released] hereby, the Lock-up Letter shall remain in full force and effect.</w:t>
      </w:r>
    </w:p>
    <w:p>
      <w:pPr>
        <w:spacing w:after="0" w:line="190"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Yours very truly</w:t>
      </w:r>
    </w:p>
    <w:p>
      <w:pPr>
        <w:spacing w:after="0" w:line="289"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Citigroup Global Markets Inc.</w:t>
      </w:r>
    </w:p>
    <w:p>
      <w:pPr>
        <w:spacing w:after="0" w:line="289"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22860</wp:posOffset>
            </wp:positionV>
            <wp:extent cx="244157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2441575" cy="7620"/>
                    </a:xfrm>
                    <a:prstGeom prst="rect">
                      <a:avLst/>
                    </a:prstGeom>
                    <a:noFill/>
                  </pic:spPr>
                </pic:pic>
              </a:graphicData>
            </a:graphic>
          </wp:anchor>
        </w:drawing>
      </w:r>
    </w:p>
    <w:p>
      <w:pPr>
        <w:spacing w:after="0" w:line="22"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Name</w:t>
      </w:r>
    </w:p>
    <w:p>
      <w:pPr>
        <w:spacing w:after="0" w:line="42"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37" w:lineRule="exact"/>
        <w:rPr>
          <w:sz w:val="20"/>
          <w:szCs w:val="20"/>
          <w:color w:val="auto"/>
        </w:rPr>
      </w:pPr>
    </w:p>
    <w:p>
      <w:pPr>
        <w:ind w:left="300" w:hanging="273"/>
        <w:spacing w:after="0"/>
        <w:tabs>
          <w:tab w:leader="none" w:pos="30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name of issuer</w:t>
      </w:r>
      <w:r>
        <w:rPr>
          <w:rFonts w:ascii="Arial" w:cs="Arial" w:eastAsia="Arial" w:hAnsi="Arial"/>
          <w:sz w:val="20"/>
          <w:szCs w:val="20"/>
          <w:color w:val="auto"/>
        </w:rPr>
        <w:t>]</w:t>
      </w:r>
    </w:p>
    <w:p>
      <w:pPr>
        <w:sectPr>
          <w:pgSz w:w="11900" w:h="16838" w:orient="portrait"/>
          <w:cols w:equalWidth="0" w:num="1">
            <w:col w:w="11240"/>
          </w:cols>
          <w:pgMar w:left="320" w:top="1351"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6107430</wp:posOffset>
            </wp:positionH>
            <wp:positionV relativeFrom="paragraph">
              <wp:posOffset>686435</wp:posOffset>
            </wp:positionV>
            <wp:extent cx="1028700" cy="5810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1028700"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61"/>
        <w:spacing w:after="0"/>
        <w:rPr>
          <w:sz w:val="20"/>
          <w:szCs w:val="20"/>
          <w:color w:val="auto"/>
        </w:rPr>
      </w:pPr>
      <w:r>
        <w:rPr>
          <w:rFonts w:ascii="Arial" w:cs="Arial" w:eastAsia="Arial" w:hAnsi="Arial"/>
          <w:sz w:val="15"/>
          <w:szCs w:val="15"/>
          <w:b w:val="1"/>
          <w:bCs w:val="1"/>
          <w:color w:val="auto"/>
        </w:rPr>
        <w:t>Orrick, Herrington &amp; Sutcliffe LLP</w:t>
      </w:r>
    </w:p>
    <w:p>
      <w:pPr>
        <w:ind w:left="5361"/>
        <w:spacing w:after="0" w:line="229" w:lineRule="auto"/>
        <w:rPr>
          <w:sz w:val="20"/>
          <w:szCs w:val="20"/>
          <w:color w:val="auto"/>
        </w:rPr>
      </w:pPr>
      <w:r>
        <w:rPr>
          <w:rFonts w:ascii="Arial" w:cs="Arial" w:eastAsia="Arial" w:hAnsi="Arial"/>
          <w:sz w:val="15"/>
          <w:szCs w:val="15"/>
          <w:color w:val="auto"/>
        </w:rPr>
        <w:t>The Orrick Building</w:t>
      </w:r>
    </w:p>
    <w:p>
      <w:pPr>
        <w:ind w:left="5361"/>
        <w:spacing w:after="0" w:line="224" w:lineRule="auto"/>
        <w:rPr>
          <w:sz w:val="20"/>
          <w:szCs w:val="20"/>
          <w:color w:val="auto"/>
        </w:rPr>
      </w:pPr>
      <w:r>
        <w:rPr>
          <w:rFonts w:ascii="Arial" w:cs="Arial" w:eastAsia="Arial" w:hAnsi="Arial"/>
          <w:sz w:val="15"/>
          <w:szCs w:val="15"/>
          <w:color w:val="auto"/>
        </w:rPr>
        <w:t>405 Howard Street</w:t>
      </w:r>
    </w:p>
    <w:p>
      <w:pPr>
        <w:ind w:left="5361"/>
        <w:spacing w:after="0" w:line="223" w:lineRule="auto"/>
        <w:rPr>
          <w:sz w:val="20"/>
          <w:szCs w:val="20"/>
          <w:color w:val="auto"/>
        </w:rPr>
      </w:pPr>
      <w:r>
        <w:rPr>
          <w:rFonts w:ascii="Arial" w:cs="Arial" w:eastAsia="Arial" w:hAnsi="Arial"/>
          <w:sz w:val="15"/>
          <w:szCs w:val="15"/>
          <w:color w:val="auto"/>
        </w:rPr>
        <w:t>San Francisco, CA 94105-2669</w:t>
      </w:r>
    </w:p>
    <w:p>
      <w:pPr>
        <w:ind w:left="5361"/>
        <w:spacing w:after="0" w:line="224" w:lineRule="auto"/>
        <w:rPr>
          <w:sz w:val="20"/>
          <w:szCs w:val="20"/>
          <w:color w:val="auto"/>
        </w:rPr>
      </w:pPr>
      <w:r>
        <w:rPr>
          <w:rFonts w:ascii="Arial" w:cs="Arial" w:eastAsia="Arial" w:hAnsi="Arial"/>
          <w:sz w:val="15"/>
          <w:szCs w:val="15"/>
          <w:color w:val="auto"/>
        </w:rPr>
        <w:t>+1-415-773-5700</w:t>
      </w:r>
    </w:p>
    <w:p>
      <w:pPr>
        <w:ind w:left="5361"/>
        <w:spacing w:after="0"/>
        <w:rPr>
          <w:sz w:val="20"/>
          <w:szCs w:val="20"/>
          <w:color w:val="auto"/>
        </w:rPr>
      </w:pPr>
      <w:r>
        <w:rPr>
          <w:rFonts w:ascii="Arial" w:cs="Arial" w:eastAsia="Arial" w:hAnsi="Arial"/>
          <w:sz w:val="15"/>
          <w:szCs w:val="15"/>
          <w:b w:val="1"/>
          <w:bCs w:val="1"/>
          <w:color w:val="auto"/>
        </w:rPr>
        <w:t>orrick.com</w:t>
      </w:r>
    </w:p>
    <w:p>
      <w:pPr>
        <w:spacing w:after="0" w:line="200" w:lineRule="exact"/>
        <w:rPr>
          <w:sz w:val="20"/>
          <w:szCs w:val="20"/>
          <w:color w:val="auto"/>
        </w:rPr>
      </w:pPr>
    </w:p>
    <w:p>
      <w:pPr>
        <w:spacing w:after="0" w:line="322" w:lineRule="exact"/>
        <w:rPr>
          <w:sz w:val="20"/>
          <w:szCs w:val="20"/>
          <w:color w:val="auto"/>
        </w:rPr>
      </w:pPr>
    </w:p>
    <w:p>
      <w:pPr>
        <w:ind w:left="1"/>
        <w:spacing w:after="0"/>
        <w:rPr>
          <w:sz w:val="20"/>
          <w:szCs w:val="20"/>
          <w:color w:val="auto"/>
        </w:rPr>
      </w:pPr>
      <w:r>
        <w:rPr>
          <w:rFonts w:ascii="Arial" w:cs="Arial" w:eastAsia="Arial" w:hAnsi="Arial"/>
          <w:sz w:val="20"/>
          <w:szCs w:val="20"/>
          <w:color w:val="auto"/>
        </w:rPr>
        <w:t>November 15, 2021</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color w:val="auto"/>
        </w:rPr>
        <w:t>Clover Health Investments, Corp.</w:t>
      </w:r>
    </w:p>
    <w:p>
      <w:pPr>
        <w:spacing w:after="0" w:line="1" w:lineRule="exact"/>
        <w:rPr>
          <w:sz w:val="20"/>
          <w:szCs w:val="20"/>
          <w:color w:val="auto"/>
        </w:rPr>
      </w:pPr>
    </w:p>
    <w:p>
      <w:pPr>
        <w:ind w:left="1"/>
        <w:spacing w:after="0"/>
        <w:rPr>
          <w:sz w:val="20"/>
          <w:szCs w:val="20"/>
          <w:color w:val="auto"/>
        </w:rPr>
      </w:pPr>
      <w:r>
        <w:rPr>
          <w:rFonts w:ascii="Arial" w:cs="Arial" w:eastAsia="Arial" w:hAnsi="Arial"/>
          <w:sz w:val="20"/>
          <w:szCs w:val="20"/>
          <w:color w:val="auto"/>
        </w:rPr>
        <w:t>5401 Mallory Lane, Suite 210</w:t>
      </w:r>
    </w:p>
    <w:p>
      <w:pPr>
        <w:ind w:left="1"/>
        <w:spacing w:after="0"/>
        <w:rPr>
          <w:sz w:val="20"/>
          <w:szCs w:val="20"/>
          <w:color w:val="auto"/>
        </w:rPr>
      </w:pPr>
      <w:r>
        <w:rPr>
          <w:rFonts w:ascii="Arial" w:cs="Arial" w:eastAsia="Arial" w:hAnsi="Arial"/>
          <w:sz w:val="20"/>
          <w:szCs w:val="20"/>
          <w:color w:val="auto"/>
        </w:rPr>
        <w:t>Franklin, Tennessee 37067</w:t>
      </w:r>
    </w:p>
    <w:p>
      <w:pPr>
        <w:spacing w:after="0" w:line="199" w:lineRule="exact"/>
        <w:rPr>
          <w:sz w:val="20"/>
          <w:szCs w:val="20"/>
          <w:color w:val="auto"/>
        </w:rPr>
      </w:pPr>
    </w:p>
    <w:p>
      <w:pPr>
        <w:ind w:left="1"/>
        <w:spacing w:after="0"/>
        <w:tabs>
          <w:tab w:leader="none" w:pos="461"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6"/>
          <w:szCs w:val="16"/>
          <w:color w:val="auto"/>
        </w:rPr>
        <w:t>Registration Statement on Form S-1</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color w:val="auto"/>
        </w:rPr>
        <w:t>Ladies and Gentlemen:</w:t>
      </w:r>
    </w:p>
    <w:p>
      <w:pPr>
        <w:spacing w:after="0" w:line="190" w:lineRule="exact"/>
        <w:rPr>
          <w:sz w:val="20"/>
          <w:szCs w:val="20"/>
          <w:color w:val="auto"/>
        </w:rPr>
      </w:pPr>
    </w:p>
    <w:p>
      <w:pPr>
        <w:jc w:val="both"/>
        <w:ind w:left="1"/>
        <w:spacing w:after="0" w:line="248" w:lineRule="auto"/>
        <w:rPr>
          <w:sz w:val="20"/>
          <w:szCs w:val="20"/>
          <w:color w:val="auto"/>
        </w:rPr>
      </w:pPr>
      <w:r>
        <w:rPr>
          <w:rFonts w:ascii="Arial" w:cs="Arial" w:eastAsia="Arial" w:hAnsi="Arial"/>
          <w:sz w:val="19"/>
          <w:szCs w:val="19"/>
          <w:color w:val="auto"/>
        </w:rPr>
        <w:t>We are acting as counsel for Clover Health Investments,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registration statement on Form S-1 filed by the Company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on November 15, 2021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Registration Statement relates to the registration of 35,000,000 shares of Class A common stock of the Company (the “</w:t>
      </w:r>
      <w:r>
        <w:rPr>
          <w:rFonts w:ascii="Arial" w:cs="Arial" w:eastAsia="Arial" w:hAnsi="Arial"/>
          <w:sz w:val="19"/>
          <w:szCs w:val="19"/>
          <w:u w:val="single" w:color="auto"/>
          <w:color w:val="auto"/>
        </w:rPr>
        <w:t>Firm Shares</w:t>
      </w:r>
      <w:r>
        <w:rPr>
          <w:rFonts w:ascii="Arial" w:cs="Arial" w:eastAsia="Arial" w:hAnsi="Arial"/>
          <w:sz w:val="19"/>
          <w:szCs w:val="19"/>
          <w:color w:val="auto"/>
        </w:rPr>
        <w:t>”), par value $0.0001 per share, and 5,250,000 shares of Class A common stock of the Company, par value $0.0001 per share, which may be purchased by the underwriters pursuant to an option to purchase additional shares (the “</w:t>
      </w:r>
      <w:r>
        <w:rPr>
          <w:rFonts w:ascii="Arial" w:cs="Arial" w:eastAsia="Arial" w:hAnsi="Arial"/>
          <w:sz w:val="19"/>
          <w:szCs w:val="19"/>
          <w:u w:val="single" w:color="auto"/>
          <w:color w:val="auto"/>
        </w:rPr>
        <w:t>Optional Shares</w:t>
      </w:r>
      <w:r>
        <w:rPr>
          <w:rFonts w:ascii="Arial" w:cs="Arial" w:eastAsia="Arial" w:hAnsi="Arial"/>
          <w:sz w:val="19"/>
          <w:szCs w:val="19"/>
          <w:color w:val="auto"/>
        </w:rPr>
        <w:t>” and together with the Firm Shares, the “</w:t>
      </w:r>
      <w:r>
        <w:rPr>
          <w:rFonts w:ascii="Arial" w:cs="Arial" w:eastAsia="Arial" w:hAnsi="Arial"/>
          <w:sz w:val="19"/>
          <w:szCs w:val="19"/>
          <w:u w:val="single" w:color="auto"/>
          <w:color w:val="auto"/>
        </w:rPr>
        <w:t>Shares</w:t>
      </w:r>
      <w:r>
        <w:rPr>
          <w:rFonts w:ascii="Arial" w:cs="Arial" w:eastAsia="Arial" w:hAnsi="Arial"/>
          <w:sz w:val="19"/>
          <w:szCs w:val="19"/>
          <w:color w:val="auto"/>
        </w:rPr>
        <w:t>”).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w:t>
      </w:r>
    </w:p>
    <w:p>
      <w:pPr>
        <w:spacing w:after="0" w:line="169" w:lineRule="exact"/>
        <w:rPr>
          <w:sz w:val="20"/>
          <w:szCs w:val="20"/>
          <w:color w:val="auto"/>
        </w:rPr>
      </w:pPr>
    </w:p>
    <w:p>
      <w:pPr>
        <w:jc w:val="both"/>
        <w:ind w:left="1"/>
        <w:spacing w:after="0" w:line="294" w:lineRule="auto"/>
        <w:rPr>
          <w:sz w:val="20"/>
          <w:szCs w:val="20"/>
          <w:color w:val="auto"/>
        </w:rPr>
      </w:pPr>
      <w:r>
        <w:rPr>
          <w:rFonts w:ascii="Arial" w:cs="Arial" w:eastAsia="Arial" w:hAnsi="Arial"/>
          <w:sz w:val="16"/>
          <w:szCs w:val="16"/>
          <w:color w:val="auto"/>
        </w:rPr>
        <w:t>In connection with rendering the opinion set forth below, we have examined and relied upon originals or copies, certified or otherwise identified to our satisfaction, of instruments, documents, and records which we deemed relevant and necessary for the purpose of rendering our opinion set forth below. In such examination, we have assumed the following: (a) the authenticity of original documents and the genuineness of all signatures, (b) the conformity to the originals of all documents submitted to us as copies, (c) the representations of officers and employees are correct as to questions of fact, (d) the Registration Statement has been declared effective pursuant to the Securities Act and</w:t>
      </w:r>
    </w:p>
    <w:p>
      <w:pPr>
        <w:spacing w:after="0" w:line="2" w:lineRule="exact"/>
        <w:rPr>
          <w:sz w:val="20"/>
          <w:szCs w:val="20"/>
          <w:color w:val="auto"/>
        </w:rPr>
      </w:pPr>
    </w:p>
    <w:p>
      <w:pPr>
        <w:ind w:left="1" w:right="2120" w:hanging="1"/>
        <w:spacing w:after="0" w:line="443" w:lineRule="auto"/>
        <w:tabs>
          <w:tab w:leader="none" w:pos="27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 pricing committee of the board of directors will have taken action necessary to set the sale price of the Shares. Our opinion herein is limited to the General Corporation Law of the State of Delaware.</w:t>
      </w:r>
    </w:p>
    <w:p>
      <w:pPr>
        <w:sectPr>
          <w:pgSz w:w="11900" w:h="16838" w:orient="portrait"/>
          <w:cols w:equalWidth="0" w:num="1">
            <w:col w:w="11241"/>
          </w:cols>
          <w:pgMar w:left="319" w:top="123" w:right="339" w:bottom="1440" w:gutter="0" w:footer="0" w:header="0"/>
        </w:sectPr>
      </w:pPr>
    </w:p>
    <w:bookmarkStart w:id="316" w:name="page317"/>
    <w:bookmarkEnd w:id="316"/>
    <w:p>
      <w:pPr>
        <w:spacing w:after="0"/>
        <w:rPr>
          <w:sz w:val="20"/>
          <w:szCs w:val="20"/>
          <w:color w:val="auto"/>
        </w:rPr>
      </w:pPr>
      <w:r>
        <w:rPr>
          <w:rFonts w:ascii="Arial" w:cs="Arial" w:eastAsia="Arial" w:hAnsi="Arial"/>
          <w:sz w:val="20"/>
          <w:szCs w:val="20"/>
          <w:color w:val="auto"/>
        </w:rPr>
        <w:t>November 15, 2021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upon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 nor do we thereby admit that we are “experts” within the meaning of such term as used in the Securities Act with respect to any part of the Registration Statement, including this opinion letter as an exhibit or otherwise.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Very truly yours,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ORRICK, HERRINGTON &amp; SUTCLIFFE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20"/>
          <w:szCs w:val="20"/>
          <w:color w:val="auto"/>
        </w:rPr>
        <w:t>ORRICK, HERRINGTON &amp; SUTCLIFFE LLP</w:t>
      </w:r>
    </w:p>
    <w:p>
      <w:pPr>
        <w:sectPr>
          <w:pgSz w:w="11900" w:h="16838" w:orient="portrait"/>
          <w:cols w:equalWidth="0" w:num="1">
            <w:col w:w="11240"/>
          </w:cols>
          <w:pgMar w:left="320" w:top="120" w:right="3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8" w:lineRule="exact"/>
        <w:rPr>
          <w:sz w:val="20"/>
          <w:szCs w:val="20"/>
          <w:color w:val="auto"/>
        </w:rPr>
      </w:pPr>
    </w:p>
    <w:p>
      <w:pPr>
        <w:ind w:right="20"/>
        <w:spacing w:after="0" w:line="348" w:lineRule="auto"/>
        <w:rPr>
          <w:sz w:val="20"/>
          <w:szCs w:val="20"/>
          <w:color w:val="auto"/>
        </w:rPr>
      </w:pPr>
      <w:r>
        <w:rPr>
          <w:rFonts w:ascii="Arial" w:cs="Arial" w:eastAsia="Arial" w:hAnsi="Arial"/>
          <w:sz w:val="18"/>
          <w:szCs w:val="18"/>
          <w:color w:val="auto"/>
        </w:rPr>
        <w:t xml:space="preserve">We consent to the reference to our firm under the caption "Experts" and to the use of our report dated March 31, 2021, </w:t>
      </w:r>
      <w:r>
        <w:rPr>
          <w:rFonts w:ascii="Arial" w:cs="Arial" w:eastAsia="Arial" w:hAnsi="Arial"/>
          <w:sz w:val="18"/>
          <w:szCs w:val="18"/>
          <w:color w:val="333333"/>
        </w:rPr>
        <w:t>except for the effects</w:t>
      </w:r>
      <w:r>
        <w:rPr>
          <w:rFonts w:ascii="Arial" w:cs="Arial" w:eastAsia="Arial" w:hAnsi="Arial"/>
          <w:sz w:val="18"/>
          <w:szCs w:val="18"/>
          <w:color w:val="auto"/>
        </w:rPr>
        <w:t xml:space="preserve"> </w:t>
      </w:r>
      <w:r>
        <w:rPr>
          <w:rFonts w:ascii="Arial" w:cs="Arial" w:eastAsia="Arial" w:hAnsi="Arial"/>
          <w:sz w:val="18"/>
          <w:szCs w:val="18"/>
          <w:color w:val="333333"/>
        </w:rPr>
        <w:t>of the reverse recapitalization described in Note 3 and subsequent events described in Note 26, as to which the date is June 9, 2021</w:t>
      </w:r>
      <w:r>
        <w:rPr>
          <w:rFonts w:ascii="Arial" w:cs="Arial" w:eastAsia="Arial" w:hAnsi="Arial"/>
          <w:sz w:val="18"/>
          <w:szCs w:val="18"/>
          <w:color w:val="000000"/>
        </w:rPr>
        <w:t>, in the</w:t>
      </w:r>
      <w:r>
        <w:rPr>
          <w:rFonts w:ascii="Arial" w:cs="Arial" w:eastAsia="Arial" w:hAnsi="Arial"/>
          <w:sz w:val="18"/>
          <w:szCs w:val="18"/>
          <w:color w:val="333333"/>
        </w:rPr>
        <w:t xml:space="preserve"> </w:t>
      </w:r>
      <w:r>
        <w:rPr>
          <w:rFonts w:ascii="Arial" w:cs="Arial" w:eastAsia="Arial" w:hAnsi="Arial"/>
          <w:sz w:val="18"/>
          <w:szCs w:val="18"/>
          <w:color w:val="000000"/>
        </w:rPr>
        <w:t>Form S-1 Registration Statement and related Prospectus of Clover Health Investments, Corp. for the registration of 40,250,000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decimal"/>
      <w:start w:val="1"/>
    </w:lvl>
  </w:abstractNum>
  <w:abstractNum w:abstractNumId="1">
    <w:nsid w:val="6AA78F7F"/>
    <w:multiLevelType w:val="hybridMultilevel"/>
    <w:lvl w:ilvl="0">
      <w:lvlJc w:val="left"/>
      <w:lvlText w:val="(%1)"/>
      <w:numFmt w:val="decimal"/>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lvl w:ilvl="1">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1)"/>
      <w:numFmt w:val="decimal"/>
      <w:start w:val="1"/>
    </w:lvl>
  </w:abstractNum>
  <w:abstractNum w:abstractNumId="6">
    <w:nsid w:val="5F3534A4"/>
    <w:multiLevelType w:val="hybridMultilevel"/>
    <w:lvl w:ilvl="0">
      <w:lvlJc w:val="left"/>
      <w:lvlText w:val="(%1)"/>
      <w:numFmt w:val="decimal"/>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1)"/>
      <w:numFmt w:val="decimal"/>
      <w:start w:val="815"/>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1)"/>
      <w:numFmt w:val="decimal"/>
      <w:start w:val="1"/>
    </w:lvl>
  </w:abstractNum>
  <w:abstractNum w:abstractNumId="30">
    <w:nsid w:val="45E6D486"/>
    <w:multiLevelType w:val="hybridMultilevel"/>
    <w:lvl w:ilvl="0">
      <w:lvlJc w:val="left"/>
      <w:lvlText w:val="•"/>
      <w:numFmt w:val="bullet"/>
      <w:start w:val="1"/>
    </w:lvl>
    <w:lvl w:ilvl="1">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lvl w:ilvl="1">
      <w:lvlJc w:val="left"/>
      <w:lvlText w:val="◦"/>
      <w:numFmt w:val="bullet"/>
      <w:start w:val="1"/>
    </w:lvl>
  </w:abstractNum>
  <w:abstractNum w:abstractNumId="33">
    <w:nsid w:val="3C5991AA"/>
    <w:multiLevelType w:val="hybridMultilevel"/>
    <w:lvl w:ilvl="0">
      <w:lvlJc w:val="left"/>
      <w:lvlText w:val="(%1)"/>
      <w:numFmt w:val="decimal"/>
      <w:start w:val="1"/>
    </w:lvl>
  </w:abstractNum>
  <w:abstractNum w:abstractNumId="34">
    <w:nsid w:val="4BD8591A"/>
    <w:multiLevelType w:val="hybridMultilevel"/>
    <w:lvl w:ilvl="0">
      <w:lvlJc w:val="left"/>
      <w:lvlText w:val="(%1)"/>
      <w:numFmt w:val="decimal"/>
      <w:start w:val="1"/>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1)"/>
      <w:numFmt w:val="decimal"/>
      <w:start w:val="1"/>
    </w:lvl>
  </w:abstractNum>
  <w:abstractNum w:abstractNumId="37">
    <w:nsid w:val="2B0D8DBE"/>
    <w:multiLevelType w:val="hybridMultilevel"/>
    <w:lvl w:ilvl="0">
      <w:lvlJc w:val="left"/>
      <w:lvlText w:val="(%1)"/>
      <w:numFmt w:val="decimal"/>
      <w:start w:val="1"/>
    </w:lvl>
  </w:abstractNum>
  <w:abstractNum w:abstractNumId="38">
    <w:nsid w:val="6C80EC70"/>
    <w:multiLevelType w:val="hybridMultilevel"/>
    <w:lvl w:ilvl="0">
      <w:lvlJc w:val="left"/>
      <w:lvlText w:val="%1."/>
      <w:numFmt w:val="decimal"/>
      <w:start w:val="815"/>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1)"/>
      <w:numFmt w:val="decimal"/>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1)"/>
      <w:numFmt w:val="decimal"/>
      <w:start w:val="1"/>
    </w:lvl>
  </w:abstractNum>
  <w:abstractNum w:abstractNumId="66">
    <w:nsid w:val="57A61A29"/>
    <w:multiLevelType w:val="hybridMultilevel"/>
    <w:lvl w:ilvl="0">
      <w:lvlJc w:val="left"/>
      <w:lvlText w:val="(%1)"/>
      <w:numFmt w:val="decimal"/>
      <w:start w:val="1"/>
    </w:lvl>
  </w:abstractNum>
  <w:abstractNum w:abstractNumId="67">
    <w:nsid w:val="5399C654"/>
    <w:multiLevelType w:val="hybridMultilevel"/>
    <w:lvl w:ilvl="0">
      <w:lvlJc w:val="left"/>
      <w:lvlText w:val="•"/>
      <w:numFmt w:val="bullet"/>
      <w:start w:val="1"/>
    </w:lvl>
    <w:lvl w:ilvl="1">
      <w:lvlJc w:val="left"/>
      <w:lvlText w:val="(%2)"/>
      <w:numFmt w:val="decimal"/>
      <w:start w:val="1"/>
    </w:lvl>
  </w:abstractNum>
  <w:abstractNum w:abstractNumId="68">
    <w:nsid w:val="20EE1348"/>
    <w:multiLevelType w:val="hybridMultilevel"/>
    <w:lvl w:ilvl="0">
      <w:lvlJc w:val="left"/>
      <w:lvlText w:val="•"/>
      <w:numFmt w:val="bullet"/>
      <w:start w:val="1"/>
    </w:lvl>
    <w:lvl w:ilvl="1">
      <w:lvlJc w:val="left"/>
      <w:lvlText w:val="(%2)"/>
      <w:numFmt w:val="decimal"/>
      <w:start w:val="1"/>
    </w:lvl>
  </w:abstractNum>
  <w:abstractNum w:abstractNumId="69">
    <w:nsid w:val="4427069A"/>
    <w:multiLevelType w:val="hybridMultilevel"/>
    <w:lvl w:ilvl="0">
      <w:lvlJc w:val="left"/>
      <w:lvlText w:val="(%1)"/>
      <w:numFmt w:val="lowerRoman"/>
      <w:start w:val="9"/>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1)"/>
      <w:numFmt w:val="lowerRoman"/>
      <w:start w:val="2"/>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1)"/>
      <w:numFmt w:val="decimal"/>
      <w:start w:val="1"/>
    </w:lvl>
  </w:abstractNum>
  <w:abstractNum w:abstractNumId="77">
    <w:nsid w:val="49D0FEAC"/>
    <w:multiLevelType w:val="hybridMultilevel"/>
    <w:lvl w:ilvl="0">
      <w:lvlJc w:val="left"/>
      <w:lvlText w:val="(%1)"/>
      <w:numFmt w:val="decimal"/>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1)"/>
      <w:numFmt w:val="decimal"/>
      <w:start w:val="1"/>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
      <w:numFmt w:val="bullet"/>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1)"/>
      <w:numFmt w:val="lowerRoman"/>
      <w:start w:val="1"/>
    </w:lvl>
  </w:abstractNum>
  <w:abstractNum w:abstractNumId="90">
    <w:nsid w:val="37DF2233"/>
    <w:multiLevelType w:val="hybridMultilevel"/>
    <w:lvl w:ilvl="0">
      <w:lvlJc w:val="left"/>
      <w:lvlText w:val="(%1)"/>
      <w:numFmt w:val="lowerRoman"/>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1."/>
      <w:numFmt w:val="decimal"/>
      <w:start w:val="2"/>
    </w:lvl>
  </w:abstractNum>
  <w:abstractNum w:abstractNumId="94">
    <w:nsid w:val="597B4D84"/>
    <w:multiLevelType w:val="hybridMultilevel"/>
    <w:lvl w:ilvl="0">
      <w:lvlJc w:val="left"/>
      <w:lvlText w:val="%1."/>
      <w:numFmt w:val="decimal"/>
      <w:start w:val="8"/>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1."/>
      <w:numFmt w:val="decimal"/>
      <w:start w:val="13"/>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1)"/>
      <w:numFmt w:val="decimal"/>
      <w:start w:val="1"/>
    </w:lvl>
  </w:abstractNum>
  <w:abstractNum w:abstractNumId="99">
    <w:nsid w:val="78B5E776"/>
    <w:multiLevelType w:val="hybridMultilevel"/>
    <w:lvl w:ilvl="0">
      <w:lvlJc w:val="left"/>
      <w:lvlText w:val="%1."/>
      <w:numFmt w:val="decimal"/>
      <w:start w:val="17"/>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1)"/>
      <w:numFmt w:val="decimal"/>
      <w:start w:val="1"/>
    </w:lvl>
  </w:abstractNum>
  <w:abstractNum w:abstractNumId="107">
    <w:nsid w:val="746F2E30"/>
    <w:multiLevelType w:val="hybridMultilevel"/>
    <w:lvl w:ilvl="0">
      <w:lvlJc w:val="left"/>
      <w:lvlText w:val="(%1)"/>
      <w:numFmt w:val="lowerLetter"/>
      <w:start w:val="2"/>
    </w:lvl>
  </w:abstractNum>
  <w:abstractNum w:abstractNumId="108">
    <w:nsid w:val="6FDE8AF6"/>
    <w:multiLevelType w:val="hybridMultilevel"/>
    <w:lvl w:ilvl="0">
      <w:lvlJc w:val="left"/>
      <w:lvlText w:val="%1."/>
      <w:numFmt w:val="decimal"/>
      <w:start w:val="19"/>
    </w:lvl>
  </w:abstractNum>
  <w:abstractNum w:abstractNumId="109">
    <w:nsid w:val="3FC32E20"/>
    <w:multiLevelType w:val="hybridMultilevel"/>
    <w:lvl w:ilvl="0">
      <w:lvlJc w:val="left"/>
      <w:lvlText w:val="(%1)"/>
      <w:numFmt w:val="decimal"/>
      <w:start w:val="1"/>
    </w:lvl>
  </w:abstractNum>
  <w:abstractNum w:abstractNumId="110">
    <w:nsid w:val="49C0E823"/>
    <w:multiLevelType w:val="hybridMultilevel"/>
    <w:lvl w:ilvl="0">
      <w:lvlJc w:val="left"/>
      <w:lvlText w:val="%1."/>
      <w:numFmt w:val="decimal"/>
      <w:start w:val="21"/>
    </w:lvl>
  </w:abstractNum>
  <w:abstractNum w:abstractNumId="111">
    <w:nsid w:val="14D53685"/>
    <w:multiLevelType w:val="hybridMultilevel"/>
    <w:lvl w:ilvl="0">
      <w:lvlJc w:val="left"/>
      <w:lvlText w:val="(%1)"/>
      <w:numFmt w:val="decimal"/>
      <w:start w:val="1"/>
    </w:lvl>
  </w:abstractNum>
  <w:abstractNum w:abstractNumId="112">
    <w:nsid w:val="230F856C"/>
    <w:multiLevelType w:val="hybridMultilevel"/>
    <w:lvl w:ilvl="0">
      <w:lvlJc w:val="left"/>
      <w:lvlText w:val="(%1)"/>
      <w:numFmt w:val="decimal"/>
      <w:start w:val="1"/>
    </w:lvl>
  </w:abstractNum>
  <w:abstractNum w:abstractNumId="113">
    <w:nsid w:val="6EAA85FB"/>
    <w:multiLevelType w:val="hybridMultilevel"/>
    <w:lvl w:ilvl="0">
      <w:lvlJc w:val="left"/>
      <w:lvlText w:val="(%1)"/>
      <w:numFmt w:val="decimal"/>
      <w:start w:val="1"/>
    </w:lvl>
  </w:abstractNum>
  <w:abstractNum w:abstractNumId="114">
    <w:nsid w:val="3F06ECB2"/>
    <w:multiLevelType w:val="hybridMultilevel"/>
    <w:lvl w:ilvl="0">
      <w:lvlJc w:val="left"/>
      <w:lvlText w:val="(%1)"/>
      <w:numFmt w:val="decimal"/>
      <w:start w:val="1"/>
    </w:lvl>
  </w:abstractNum>
  <w:abstractNum w:abstractNumId="115">
    <w:nsid w:val="3B594807"/>
    <w:multiLevelType w:val="hybridMultilevel"/>
    <w:lvl w:ilvl="0">
      <w:lvlJc w:val="left"/>
      <w:lvlText w:val="(%1)"/>
      <w:numFmt w:val="decimal"/>
      <w:start w:val="1"/>
    </w:lvl>
  </w:abstractNum>
  <w:abstractNum w:abstractNumId="116">
    <w:nsid w:val="6CAA2304"/>
    <w:multiLevelType w:val="hybridMultilevel"/>
    <w:lvl w:ilvl="0">
      <w:lvlJc w:val="left"/>
      <w:lvlText w:val="(%1)"/>
      <w:numFmt w:val="decimal"/>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
      <w:numFmt w:val="bullet"/>
      <w:start w:val="1"/>
    </w:lvl>
  </w:abstractNum>
  <w:abstractNum w:abstractNumId="119">
    <w:nsid w:val="17180B0B"/>
    <w:multiLevelType w:val="hybridMultilevel"/>
    <w:lvl w:ilvl="0">
      <w:lvlJc w:val="left"/>
      <w:lvlText w:val="%1."/>
      <w:numFmt w:val="decimal"/>
      <w:start w:val="7"/>
    </w:lvl>
  </w:abstractNum>
  <w:abstractNum w:abstractNumId="120">
    <w:nsid w:val="579328B9"/>
    <w:multiLevelType w:val="hybridMultilevel"/>
    <w:lvl w:ilvl="0">
      <w:lvlJc w:val="left"/>
      <w:lvlText w:val="%1."/>
      <w:numFmt w:val="decimal"/>
      <w:start w:val="9"/>
    </w:lvl>
  </w:abstractNum>
  <w:abstractNum w:abstractNumId="121">
    <w:nsid w:val="5D205E20"/>
    <w:multiLevelType w:val="hybridMultilevel"/>
    <w:lvl w:ilvl="0">
      <w:lvlJc w:val="left"/>
      <w:lvlText w:val="•"/>
      <w:numFmt w:val="bullet"/>
      <w:start w:val="1"/>
    </w:lvl>
  </w:abstractNum>
  <w:abstractNum w:abstractNumId="122">
    <w:nsid w:val="11CCA8BA"/>
    <w:multiLevelType w:val="hybridMultilevel"/>
    <w:lvl w:ilvl="0">
      <w:lvlJc w:val="left"/>
      <w:lvlText w:val="%1."/>
      <w:numFmt w:val="decimal"/>
      <w:start w:val="10"/>
    </w:lvl>
  </w:abstractNum>
  <w:abstractNum w:abstractNumId="123">
    <w:nsid w:val="4D32AB86"/>
    <w:multiLevelType w:val="hybridMultilevel"/>
    <w:lvl w:ilvl="0">
      <w:lvlJc w:val="left"/>
      <w:lvlText w:val="$"/>
      <w:numFmt w:val="bullet"/>
      <w:start w:val="1"/>
    </w:lvl>
  </w:abstractNum>
  <w:abstractNum w:abstractNumId="124">
    <w:nsid w:val="3F07ACC3"/>
    <w:multiLevelType w:val="hybridMultilevel"/>
    <w:lvl w:ilvl="0">
      <w:lvlJc w:val="left"/>
      <w:lvlText w:val="$"/>
      <w:numFmt w:val="bullet"/>
      <w:start w:val="1"/>
    </w:lvl>
  </w:abstractNum>
  <w:abstractNum w:abstractNumId="125">
    <w:nsid w:val="6B47F63E"/>
    <w:multiLevelType w:val="hybridMultilevel"/>
    <w:lvl w:ilvl="0">
      <w:lvlJc w:val="left"/>
      <w:lvlText w:val="$"/>
      <w:numFmt w:val="bullet"/>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
      <w:numFmt w:val="bullet"/>
      <w:start w:val="1"/>
    </w:lvl>
  </w:abstractNum>
  <w:abstractNum w:abstractNumId="128">
    <w:nsid w:val="1C695DEC"/>
    <w:multiLevelType w:val="hybridMultilevel"/>
    <w:lvl w:ilvl="0">
      <w:lvlJc w:val="left"/>
      <w:lvlText w:val="%1."/>
      <w:numFmt w:val="decimal"/>
      <w:start w:val="15"/>
    </w:lvl>
  </w:abstractNum>
  <w:abstractNum w:abstractNumId="129">
    <w:nsid w:val="3FCFAED9"/>
    <w:multiLevelType w:val="hybridMultilevel"/>
    <w:lvl w:ilvl="0">
      <w:lvlJc w:val="left"/>
      <w:lvlText w:val="(%1)"/>
      <w:numFmt w:val="decimal"/>
      <w:start w:val="1"/>
    </w:lvl>
  </w:abstractNum>
  <w:abstractNum w:abstractNumId="130">
    <w:nsid w:val="F856867"/>
    <w:multiLevelType w:val="hybridMultilevel"/>
    <w:lvl w:ilvl="0">
      <w:lvlJc w:val="left"/>
      <w:lvlText w:val="%1."/>
      <w:numFmt w:val="decimal"/>
      <w:start w:val="17"/>
    </w:lvl>
  </w:abstractNum>
  <w:abstractNum w:abstractNumId="131">
    <w:nsid w:val="11B1CC33"/>
    <w:multiLevelType w:val="hybridMultilevel"/>
    <w:lvl w:ilvl="0">
      <w:lvlJc w:val="left"/>
      <w:lvlText w:val="(%1)"/>
      <w:numFmt w:val="decimal"/>
      <w:start w:val="1"/>
    </w:lvl>
  </w:abstractNum>
  <w:abstractNum w:abstractNumId="132">
    <w:nsid w:val="2E22FBB7"/>
    <w:multiLevelType w:val="hybridMultilevel"/>
    <w:lvl w:ilvl="0">
      <w:lvlJc w:val="left"/>
      <w:lvlText w:val="(%1)"/>
      <w:numFmt w:val="decimal"/>
      <w:start w:val="1"/>
    </w:lvl>
  </w:abstractNum>
  <w:abstractNum w:abstractNumId="133">
    <w:nsid w:val="29934699"/>
    <w:multiLevelType w:val="hybridMultilevel"/>
    <w:lvl w:ilvl="0">
      <w:lvlJc w:val="left"/>
      <w:lvlText w:val="%1."/>
      <w:numFmt w:val="decimal"/>
      <w:start w:val="18"/>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
      <w:numFmt w:val="bullet"/>
      <w:start w:val="1"/>
    </w:lvl>
  </w:abstractNum>
  <w:abstractNum w:abstractNumId="136">
    <w:nsid w:val="4FA0D2E3"/>
    <w:multiLevelType w:val="hybridMultilevel"/>
    <w:lvl w:ilvl="0">
      <w:lvlJc w:val="left"/>
      <w:lvlText w:val="(%1)"/>
      <w:numFmt w:val="decimal"/>
      <w:start w:val="1"/>
    </w:lvl>
  </w:abstractNum>
  <w:abstractNum w:abstractNumId="137">
    <w:nsid w:val="6B1D2C14"/>
    <w:multiLevelType w:val="hybridMultilevel"/>
    <w:lvl w:ilvl="0">
      <w:lvlJc w:val="left"/>
      <w:lvlText w:val="•"/>
      <w:numFmt w:val="bullet"/>
      <w:start w:val="1"/>
    </w:lvl>
  </w:abstractNum>
  <w:abstractNum w:abstractNumId="138">
    <w:nsid w:val="68B867D3"/>
    <w:multiLevelType w:val="hybridMultilevel"/>
    <w:lvl w:ilvl="0">
      <w:lvlJc w:val="left"/>
      <w:lvlText w:val="•"/>
      <w:numFmt w:val="bullet"/>
      <w:start w:val="1"/>
    </w:lvl>
  </w:abstractNum>
  <w:abstractNum w:abstractNumId="139">
    <w:nsid w:val="3F7F5DD9"/>
    <w:multiLevelType w:val="hybridMultilevel"/>
    <w:lvl w:ilvl="0">
      <w:lvlJc w:val="left"/>
      <w:lvlText w:val="•"/>
      <w:numFmt w:val="bullet"/>
      <w:start w:val="1"/>
    </w:lvl>
  </w:abstractNum>
  <w:abstractNum w:abstractNumId="140">
    <w:nsid w:val="2AE05A34"/>
    <w:multiLevelType w:val="hybridMultilevel"/>
    <w:lvl w:ilvl="0">
      <w:lvlJc w:val="left"/>
      <w:lvlText w:val="•"/>
      <w:numFmt w:val="bullet"/>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
      <w:numFmt w:val="bullet"/>
      <w:start w:val="1"/>
    </w:lvl>
  </w:abstractNum>
  <w:abstractNum w:abstractNumId="143">
    <w:nsid w:val="4DEFDFA0"/>
    <w:multiLevelType w:val="hybridMultilevel"/>
    <w:lvl w:ilvl="0">
      <w:lvlJc w:val="left"/>
      <w:lvlText w:val="(%1)"/>
      <w:numFmt w:val="decimal"/>
      <w:start w:val="1"/>
    </w:lvl>
  </w:abstractNum>
  <w:abstractNum w:abstractNumId="144">
    <w:nsid w:val="2123D5F2"/>
    <w:multiLevelType w:val="hybridMultilevel"/>
    <w:lvl w:ilvl="0">
      <w:lvlJc w:val="left"/>
      <w:lvlText w:val="(%1)"/>
      <w:numFmt w:val="decimal"/>
      <w:start w:val="2"/>
    </w:lvl>
  </w:abstractNum>
  <w:abstractNum w:abstractNumId="145">
    <w:nsid w:val="135B8110"/>
    <w:multiLevelType w:val="hybridMultilevel"/>
    <w:lvl w:ilvl="0">
      <w:lvlJc w:val="left"/>
      <w:lvlText w:val="(%1)"/>
      <w:numFmt w:val="decimal"/>
      <w:start w:val="5"/>
    </w:lvl>
  </w:abstractNum>
  <w:abstractNum w:abstractNumId="146">
    <w:nsid w:val="94927A8"/>
    <w:multiLevelType w:val="hybridMultilevel"/>
    <w:lvl w:ilvl="0">
      <w:lvlJc w:val="left"/>
      <w:lvlText w:val="(%1)"/>
      <w:numFmt w:val="lowerLetter"/>
      <w:start w:val="1"/>
    </w:lvl>
  </w:abstractNum>
  <w:abstractNum w:abstractNumId="147">
    <w:nsid w:val="DCDF8F6"/>
    <w:multiLevelType w:val="hybridMultilevel"/>
    <w:lvl w:ilvl="0">
      <w:lvlJc w:val="left"/>
      <w:lvlText w:val="[●]"/>
      <w:numFmt w:val="bullet"/>
      <w:start w:val="1"/>
    </w:lvl>
  </w:abstractNum>
  <w:abstractNum w:abstractNumId="148">
    <w:nsid w:val="52D7B105"/>
    <w:multiLevelType w:val="hybridMultilevel"/>
    <w:lvl w:ilvl="0">
      <w:lvlJc w:val="left"/>
      <w:lvlText w:val="%1."/>
      <w:numFmt w:val="decimal"/>
      <w:start w:val="1"/>
    </w:lvl>
  </w:abstractNum>
  <w:abstractNum w:abstractNumId="149">
    <w:nsid w:val="2E8A6394"/>
    <w:multiLevelType w:val="hybridMultilevel"/>
    <w:lvl w:ilvl="0">
      <w:lvlJc w:val="left"/>
      <w:lvlText w:val="(%1)"/>
      <w:numFmt w:val="lowerLetter"/>
      <w:start w:val="1"/>
    </w:lvl>
  </w:abstractNum>
  <w:abstractNum w:abstractNumId="150">
    <w:nsid w:val="24E60401"/>
    <w:multiLevelType w:val="hybridMultilevel"/>
    <w:lvl w:ilvl="0">
      <w:lvlJc w:val="left"/>
      <w:lvlText w:val="(%1)"/>
      <w:numFmt w:val="lowerLetter"/>
      <w:start w:val="3"/>
    </w:lvl>
  </w:abstractNum>
  <w:abstractNum w:abstractNumId="151">
    <w:nsid w:val="2A6AD9BE"/>
    <w:multiLevelType w:val="hybridMultilevel"/>
    <w:lvl w:ilvl="0">
      <w:lvlJc w:val="left"/>
      <w:lvlText w:val="(%1)"/>
      <w:numFmt w:val="lowerLetter"/>
      <w:start w:val="6"/>
    </w:lvl>
  </w:abstractNum>
  <w:abstractNum w:abstractNumId="152">
    <w:nsid w:val="BAAC1B4"/>
    <w:multiLevelType w:val="hybridMultilevel"/>
    <w:lvl w:ilvl="0">
      <w:lvlJc w:val="left"/>
      <w:lvlText w:val="(%1)"/>
      <w:numFmt w:val="lowerLetter"/>
      <w:start w:val="11"/>
    </w:lvl>
  </w:abstractNum>
  <w:abstractNum w:abstractNumId="153">
    <w:nsid w:val="36B2ACBC"/>
    <w:multiLevelType w:val="hybridMultilevel"/>
    <w:lvl w:ilvl="0">
      <w:lvlJc w:val="left"/>
      <w:lvlText w:val="(%1)"/>
      <w:numFmt w:val="lowerLetter"/>
      <w:start w:val="17"/>
    </w:lvl>
  </w:abstractNum>
  <w:abstractNum w:abstractNumId="154">
    <w:nsid w:val="779D8544"/>
    <w:multiLevelType w:val="hybridMultilevel"/>
    <w:lvl w:ilvl="0">
      <w:lvlJc w:val="left"/>
      <w:lvlText w:val="(%1)"/>
      <w:numFmt w:val="lowerLetter"/>
      <w:start w:val="20"/>
    </w:lvl>
  </w:abstractNum>
  <w:abstractNum w:abstractNumId="155">
    <w:nsid w:val="4AB26E78"/>
    <w:multiLevelType w:val="hybridMultilevel"/>
    <w:lvl w:ilvl="0">
      <w:lvlJc w:val="left"/>
      <w:lvlText w:val="(%1)"/>
      <w:numFmt w:val="lowerLetter"/>
      <w:start w:val="26"/>
    </w:lvl>
  </w:abstractNum>
  <w:abstractNum w:abstractNumId="156">
    <w:nsid w:val="21FAA2FA"/>
    <w:multiLevelType w:val="hybridMultilevel"/>
    <w:lvl w:ilvl="0">
      <w:lvlJc w:val="left"/>
      <w:lvlText w:val="(%1)"/>
      <w:numFmt w:val="lowerLetter"/>
      <w:start w:val="27"/>
    </w:lvl>
  </w:abstractNum>
  <w:abstractNum w:abstractNumId="157">
    <w:nsid w:val="5451CF49"/>
    <w:multiLevelType w:val="hybridMultilevel"/>
    <w:lvl w:ilvl="0">
      <w:lvlJc w:val="left"/>
      <w:lvlText w:val="%1"/>
      <w:numFmt w:val="lowerLetter"/>
      <w:start w:val="1"/>
    </w:lvl>
    <w:lvl w:ilvl="1">
      <w:lvlJc w:val="left"/>
      <w:lvlText w:val="(%2)"/>
      <w:numFmt w:val="lowerLetter"/>
      <w:start w:val="29"/>
    </w:lvl>
  </w:abstractNum>
  <w:abstractNum w:abstractNumId="158">
    <w:nsid w:val="6181EF69"/>
    <w:multiLevelType w:val="hybridMultilevel"/>
    <w:lvl w:ilvl="0">
      <w:lvlJc w:val="left"/>
      <w:lvlText w:val="(%1)"/>
      <w:numFmt w:val="lowerLetter"/>
      <w:start w:val="61"/>
    </w:lvl>
    <w:lvl w:ilvl="1">
      <w:lvlJc w:val="left"/>
      <w:lvlText w:val="(%2)"/>
      <w:numFmt w:val="lowerLetter"/>
      <w:start w:val="30"/>
    </w:lvl>
  </w:abstractNum>
  <w:abstractNum w:abstractNumId="159">
    <w:nsid w:val="3E6400E6"/>
    <w:multiLevelType w:val="hybridMultilevel"/>
    <w:lvl w:ilvl="0">
      <w:lvlJc w:val="left"/>
      <w:lvlText w:val="%1"/>
      <w:numFmt w:val="lowerRoman"/>
      <w:start w:val="1"/>
    </w:lvl>
    <w:lvl w:ilvl="1">
      <w:lvlJc w:val="left"/>
      <w:lvlText w:val="(%2)"/>
      <w:numFmt w:val="lowerLetter"/>
      <w:start w:val="33"/>
    </w:lvl>
  </w:abstractNum>
  <w:abstractNum w:abstractNumId="160">
    <w:nsid w:val="14217E23"/>
    <w:multiLevelType w:val="hybridMultilevel"/>
    <w:lvl w:ilvl="0">
      <w:lvlJc w:val="left"/>
      <w:lvlText w:val="(%1)"/>
      <w:numFmt w:val="lowerRoman"/>
      <w:start w:val="3"/>
    </w:lvl>
    <w:lvl w:ilvl="1">
      <w:lvlJc w:val="left"/>
      <w:lvlText w:val="%2"/>
      <w:numFmt w:val="lowerLetter"/>
      <w:start w:val="1"/>
    </w:lvl>
  </w:abstractNum>
  <w:abstractNum w:abstractNumId="161">
    <w:nsid w:val="710757D0"/>
    <w:multiLevelType w:val="hybridMultilevel"/>
    <w:lvl w:ilvl="0">
      <w:lvlJc w:val="left"/>
      <w:lvlText w:val="(%1)"/>
      <w:numFmt w:val="lowerLetter"/>
      <w:start w:val="35"/>
    </w:lvl>
  </w:abstractNum>
  <w:abstractNum w:abstractNumId="162">
    <w:nsid w:val="5015CD1A"/>
    <w:multiLevelType w:val="hybridMultilevel"/>
    <w:lvl w:ilvl="0">
      <w:lvlJc w:val="left"/>
      <w:lvlText w:val="(%1)"/>
      <w:numFmt w:val="lowerLetter"/>
      <w:start w:val="39"/>
    </w:lvl>
  </w:abstractNum>
  <w:abstractNum w:abstractNumId="163">
    <w:nsid w:val="424479DA"/>
    <w:multiLevelType w:val="hybridMultilevel"/>
    <w:lvl w:ilvl="0">
      <w:lvlJc w:val="left"/>
      <w:lvlText w:val="(%1)"/>
      <w:numFmt w:val="lowerLetter"/>
      <w:start w:val="42"/>
    </w:lvl>
  </w:abstractNum>
  <w:abstractNum w:abstractNumId="164">
    <w:nsid w:val="1A9A9E69"/>
    <w:multiLevelType w:val="hybridMultilevel"/>
    <w:lvl w:ilvl="0">
      <w:lvlJc w:val="left"/>
      <w:lvlText w:val="(%1)"/>
      <w:numFmt w:val="lowerLetter"/>
      <w:start w:val="44"/>
    </w:lvl>
  </w:abstractNum>
  <w:abstractNum w:abstractNumId="165">
    <w:nsid w:val="475E256A"/>
    <w:multiLevelType w:val="hybridMultilevel"/>
    <w:lvl w:ilvl="0">
      <w:lvlJc w:val="left"/>
      <w:lvlText w:val="(%1)"/>
      <w:numFmt w:val="lowerLetter"/>
      <w:start w:val="45"/>
    </w:lvl>
  </w:abstractNum>
  <w:abstractNum w:abstractNumId="166">
    <w:nsid w:val="368DB37E"/>
    <w:multiLevelType w:val="hybridMultilevel"/>
    <w:lvl w:ilvl="0">
      <w:lvlJc w:val="left"/>
      <w:lvlText w:val="(%1)"/>
      <w:numFmt w:val="lowerRoman"/>
      <w:start w:val="11"/>
    </w:lvl>
    <w:lvl w:ilvl="1">
      <w:lvlJc w:val="left"/>
      <w:lvlText w:val="(%2)"/>
      <w:numFmt w:val="lowerLetter"/>
      <w:start w:val="47"/>
    </w:lvl>
  </w:abstractNum>
  <w:abstractNum w:abstractNumId="167">
    <w:nsid w:val="6A3B714C"/>
    <w:multiLevelType w:val="hybridMultilevel"/>
    <w:lvl w:ilvl="0">
      <w:lvlJc w:val="left"/>
      <w:lvlText w:val="(%1)"/>
      <w:numFmt w:val="lowerLetter"/>
      <w:start w:val="48"/>
    </w:lvl>
  </w:abstractNum>
  <w:abstractNum w:abstractNumId="168">
    <w:nsid w:val="327B517E"/>
    <w:multiLevelType w:val="hybridMultilevel"/>
    <w:lvl w:ilvl="0">
      <w:lvlJc w:val="left"/>
      <w:lvlText w:val="%1."/>
      <w:numFmt w:val="decimal"/>
      <w:start w:val="2"/>
    </w:lvl>
  </w:abstractNum>
  <w:abstractNum w:abstractNumId="169">
    <w:nsid w:val="1F461B51"/>
    <w:multiLevelType w:val="hybridMultilevel"/>
    <w:lvl w:ilvl="0">
      <w:lvlJc w:val="left"/>
      <w:lvlText w:val="(%1)"/>
      <w:numFmt w:val="lowerLetter"/>
      <w:start w:val="1"/>
    </w:lvl>
  </w:abstractNum>
  <w:abstractNum w:abstractNumId="170">
    <w:nsid w:val="29BACF25"/>
    <w:multiLevelType w:val="hybridMultilevel"/>
    <w:lvl w:ilvl="0">
      <w:lvlJc w:val="left"/>
      <w:lvlText w:val="%1."/>
      <w:numFmt w:val="decimal"/>
      <w:start w:val="3"/>
    </w:lvl>
  </w:abstractNum>
  <w:abstractNum w:abstractNumId="171">
    <w:nsid w:val="5D5BABB3"/>
    <w:multiLevelType w:val="hybridMultilevel"/>
    <w:lvl w:ilvl="0">
      <w:lvlJc w:val="left"/>
      <w:lvlText w:val="%1."/>
      <w:numFmt w:val="decimal"/>
      <w:start w:val="4"/>
    </w:lvl>
  </w:abstractNum>
  <w:abstractNum w:abstractNumId="172">
    <w:nsid w:val="51BF6B48"/>
    <w:multiLevelType w:val="hybridMultilevel"/>
    <w:lvl w:ilvl="0">
      <w:lvlJc w:val="left"/>
      <w:lvlText w:val="(%1)"/>
      <w:numFmt w:val="lowerLetter"/>
      <w:start w:val="1"/>
    </w:lvl>
  </w:abstractNum>
  <w:abstractNum w:abstractNumId="173">
    <w:nsid w:val="7E0F6384"/>
    <w:multiLevelType w:val="hybridMultilevel"/>
    <w:lvl w:ilvl="0">
      <w:lvlJc w:val="left"/>
      <w:lvlText w:val="(%1)"/>
      <w:numFmt w:val="lowerLetter"/>
      <w:start w:val="2"/>
    </w:lvl>
  </w:abstractNum>
  <w:abstractNum w:abstractNumId="174">
    <w:nsid w:val="2B4B8B53"/>
    <w:multiLevelType w:val="hybridMultilevel"/>
    <w:lvl w:ilvl="0">
      <w:lvlJc w:val="left"/>
      <w:lvlText w:val="(%1)"/>
      <w:numFmt w:val="lowerLetter"/>
      <w:start w:val="4"/>
    </w:lvl>
  </w:abstractNum>
  <w:abstractNum w:abstractNumId="175">
    <w:nsid w:val="72E3413A"/>
    <w:multiLevelType w:val="hybridMultilevel"/>
    <w:lvl w:ilvl="0">
      <w:lvlJc w:val="left"/>
      <w:lvlText w:val="(%1)"/>
      <w:numFmt w:val="lowerRoman"/>
      <w:start w:val="3"/>
    </w:lvl>
    <w:lvl w:ilvl="1">
      <w:lvlJc w:val="left"/>
      <w:lvlText w:val="%2"/>
      <w:numFmt w:val="lowerLetter"/>
      <w:start w:val="1"/>
    </w:lvl>
  </w:abstractNum>
  <w:abstractNum w:abstractNumId="176">
    <w:nsid w:val="116AE494"/>
    <w:multiLevelType w:val="hybridMultilevel"/>
    <w:lvl w:ilvl="0">
      <w:lvlJc w:val="left"/>
      <w:lvlText w:val="(%1)"/>
      <w:numFmt w:val="lowerRoman"/>
      <w:start w:val="7"/>
    </w:lvl>
    <w:lvl w:ilvl="1">
      <w:lvlJc w:val="left"/>
      <w:lvlText w:val="(%2)"/>
      <w:numFmt w:val="lowerLetter"/>
      <w:start w:val="8"/>
    </w:lvl>
  </w:abstractNum>
  <w:abstractNum w:abstractNumId="177">
    <w:nsid w:val="3494B2FB"/>
    <w:multiLevelType w:val="hybridMultilevel"/>
    <w:lvl w:ilvl="0">
      <w:lvlJc w:val="left"/>
      <w:lvlText w:val="(%1)"/>
      <w:numFmt w:val="lowerRoman"/>
      <w:start w:val="2"/>
    </w:lvl>
    <w:lvl w:ilvl="1">
      <w:lvlJc w:val="left"/>
      <w:lvlText w:val="%2"/>
      <w:numFmt w:val="lowerLetter"/>
      <w:start w:val="1"/>
    </w:lvl>
  </w:abstractNum>
  <w:abstractNum w:abstractNumId="178">
    <w:nsid w:val="B13A31"/>
    <w:multiLevelType w:val="hybridMultilevel"/>
    <w:lvl w:ilvl="0">
      <w:lvlJc w:val="left"/>
      <w:lvlText w:val="(%1)"/>
      <w:numFmt w:val="lowerRoman"/>
      <w:start w:val="7"/>
    </w:lvl>
    <w:lvl w:ilvl="1">
      <w:lvlJc w:val="left"/>
      <w:lvlText w:val="(%2)"/>
      <w:numFmt w:val="lowerLetter"/>
      <w:start w:val="11"/>
    </w:lvl>
  </w:abstractNum>
  <w:abstractNum w:abstractNumId="179">
    <w:nsid w:val="64429599"/>
    <w:multiLevelType w:val="hybridMultilevel"/>
    <w:lvl w:ilvl="0">
      <w:lvlJc w:val="left"/>
      <w:lvlText w:val="%1."/>
      <w:numFmt w:val="decimal"/>
      <w:start w:val="6"/>
    </w:lvl>
  </w:abstractNum>
  <w:abstractNum w:abstractNumId="180">
    <w:nsid w:val="631F1690"/>
    <w:multiLevelType w:val="hybridMultilevel"/>
    <w:lvl w:ilvl="0">
      <w:lvlJc w:val="left"/>
      <w:lvlText w:val="(%1)"/>
      <w:numFmt w:val="lowerLetter"/>
      <w:start w:val="1"/>
    </w:lvl>
    <w:lvl w:ilvl="1">
      <w:lvlJc w:val="left"/>
      <w:lvlText w:val="(%2)"/>
      <w:numFmt w:val="lowerRoman"/>
      <w:start w:val="1"/>
    </w:lvl>
  </w:abstractNum>
  <w:abstractNum w:abstractNumId="181">
    <w:nsid w:val="25973E32"/>
    <w:multiLevelType w:val="hybridMultilevel"/>
    <w:lvl w:ilvl="0">
      <w:lvlJc w:val="left"/>
      <w:lvlText w:val="%1"/>
      <w:numFmt w:val="lowerLetter"/>
      <w:start w:val="1"/>
    </w:lvl>
    <w:lvl w:ilvl="1">
      <w:lvlJc w:val="left"/>
      <w:lvlText w:val="(%2)"/>
      <w:numFmt w:val="lowerLetter"/>
      <w:start w:val="61"/>
    </w:lvl>
  </w:abstractNum>
  <w:abstractNum w:abstractNumId="182">
    <w:nsid w:val="EAD6F57"/>
    <w:multiLevelType w:val="hybridMultilevel"/>
    <w:lvl w:ilvl="0">
      <w:lvlJc w:val="left"/>
      <w:lvlText w:val="(%1)"/>
      <w:numFmt w:val="lowerLetter"/>
      <w:start w:val="5"/>
    </w:lvl>
    <w:lvl w:ilvl="1">
      <w:lvlJc w:val="left"/>
      <w:lvlText w:val="%2"/>
      <w:numFmt w:val="lowerLetter"/>
      <w:start w:val="1"/>
    </w:lvl>
  </w:abstractNum>
  <w:abstractNum w:abstractNumId="183">
    <w:nsid w:val="6EC9D844"/>
    <w:multiLevelType w:val="hybridMultilevel"/>
    <w:lvl w:ilvl="0">
      <w:lvlJc w:val="left"/>
      <w:lvlText w:val="%1."/>
      <w:numFmt w:val="decimal"/>
      <w:start w:val="7"/>
    </w:lvl>
  </w:abstractNum>
  <w:abstractNum w:abstractNumId="184">
    <w:nsid w:val="5C49EAEE"/>
    <w:multiLevelType w:val="hybridMultilevel"/>
    <w:lvl w:ilvl="0">
      <w:lvlJc w:val="left"/>
      <w:lvlText w:val="(%1)"/>
      <w:numFmt w:val="lowerLetter"/>
      <w:start w:val="1"/>
    </w:lvl>
  </w:abstractNum>
  <w:abstractNum w:abstractNumId="185">
    <w:nsid w:val="64AF49B"/>
    <w:multiLevelType w:val="hybridMultilevel"/>
    <w:lvl w:ilvl="0">
      <w:lvlJc w:val="left"/>
      <w:lvlText w:val="(%1)"/>
      <w:numFmt w:val="lowerLetter"/>
      <w:start w:val="35"/>
    </w:lvl>
    <w:lvl w:ilvl="1">
      <w:lvlJc w:val="left"/>
      <w:lvlText w:val="(%2)"/>
      <w:numFmt w:val="lowerLetter"/>
      <w:start w:val="3"/>
    </w:lvl>
  </w:abstractNum>
  <w:abstractNum w:abstractNumId="186">
    <w:nsid w:val="397C46BC"/>
    <w:multiLevelType w:val="hybridMultilevel"/>
    <w:lvl w:ilvl="0">
      <w:lvlJc w:val="left"/>
      <w:lvlText w:val="(%1)"/>
      <w:numFmt w:val="lowerLetter"/>
      <w:start w:val="4"/>
    </w:lvl>
  </w:abstractNum>
  <w:abstractNum w:abstractNumId="187">
    <w:nsid w:val="7E448DE9"/>
    <w:multiLevelType w:val="hybridMultilevel"/>
    <w:lvl w:ilvl="0">
      <w:lvlJc w:val="left"/>
      <w:lvlText w:val="%1."/>
      <w:numFmt w:val="decimal"/>
      <w:start w:val="9"/>
    </w:lvl>
  </w:abstractNum>
  <w:abstractNum w:abstractNumId="188">
    <w:nsid w:val="5A9CC3E5"/>
    <w:multiLevelType w:val="hybridMultilevel"/>
    <w:lvl w:ilvl="0">
      <w:lvlJc w:val="left"/>
      <w:lvlText w:val="(%1)"/>
      <w:numFmt w:val="decimal"/>
      <w:start w:val="646"/>
    </w:lvl>
    <w:lvl w:ilvl="1">
      <w:lvlJc w:val="left"/>
      <w:lvlText w:val="%2."/>
      <w:numFmt w:val="decimal"/>
      <w:start w:val="13"/>
    </w:lvl>
  </w:abstractNum>
  <w:abstractNum w:abstractNumId="189">
    <w:nsid w:val="1AFE3625"/>
    <w:multiLevelType w:val="hybridMultilevel"/>
    <w:lvl w:ilvl="0">
      <w:lvlJc w:val="left"/>
      <w:lvlText w:val="(%1)"/>
      <w:numFmt w:val="lowerLetter"/>
      <w:start w:val="1"/>
    </w:lvl>
  </w:abstractNum>
  <w:abstractNum w:abstractNumId="190">
    <w:nsid w:val="3CA88ECF"/>
    <w:multiLevelType w:val="hybridMultilevel"/>
    <w:lvl w:ilvl="0">
      <w:lvlJc w:val="left"/>
      <w:lvlText w:val="(%1)"/>
      <w:numFmt w:val="lowerLetter"/>
      <w:start w:val="2"/>
    </w:lvl>
  </w:abstractNum>
  <w:abstractNum w:abstractNumId="191">
    <w:nsid w:val="6EBE4208"/>
    <w:multiLevelType w:val="hybridMultilevel"/>
    <w:lvl w:ilvl="0">
      <w:lvlJc w:val="left"/>
      <w:lvlText w:val="%1."/>
      <w:numFmt w:val="decimal"/>
      <w:start w:val="16"/>
    </w:lvl>
  </w:abstractNum>
  <w:abstractNum w:abstractNumId="192">
    <w:nsid w:val="C058DF5"/>
    <w:multiLevelType w:val="hybridMultilevel"/>
    <w:lvl w:ilvl="0">
      <w:lvlJc w:val="left"/>
      <w:lvlText w:val="%1."/>
      <w:numFmt w:val="decimal"/>
      <w:start w:val="20"/>
    </w:lvl>
  </w:abstractNum>
  <w:abstractNum w:abstractNumId="193">
    <w:nsid w:val="CBE5BE9"/>
    <w:multiLevelType w:val="hybridMultilevel"/>
    <w:lvl w:ilvl="0">
      <w:lvlJc w:val="left"/>
      <w:lvlText w:val="%1:"/>
      <w:numFmt w:val="lowerLetter"/>
      <w:start w:val="29"/>
    </w:lvl>
  </w:abstractNum>
  <w:abstractNum w:abstractNumId="194">
    <w:nsid w:val="3102BBE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89"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jpeg"/><Relationship Id="rId376" Type="http://schemas.openxmlformats.org/officeDocument/2006/relationships/hyperlink" Target="https://www.sec.gov/Archives/edgar/data/1801170/000110465920112403/tm2032431d1_ex2-1.htm" TargetMode="External"/><Relationship Id="rId377" Type="http://schemas.openxmlformats.org/officeDocument/2006/relationships/hyperlink" Target="https://www.sec.gov/Archives/edgar/data/1801170/000119312520314423/d14732dex21.htm" TargetMode="External"/><Relationship Id="rId378" Type="http://schemas.openxmlformats.org/officeDocument/2006/relationships/hyperlink" Target="https://www.sec.gov/Archives/edgar/data/1801170/000119312521007348/d63659dex31.htm" TargetMode="External"/><Relationship Id="rId379" Type="http://schemas.openxmlformats.org/officeDocument/2006/relationships/hyperlink" Target="https://www.sec.gov/Archives/edgar/data/1801170/000119312521007348/d63659dex32.htm" TargetMode="External"/><Relationship Id="rId380" Type="http://schemas.openxmlformats.org/officeDocument/2006/relationships/hyperlink" Target="https://www.sec.gov/Archives/edgar/data/1801170/000110465920051086/tm2016603d2_ex4-1.htm" TargetMode="External"/><Relationship Id="rId381" Type="http://schemas.openxmlformats.org/officeDocument/2006/relationships/hyperlink" Target="https://www.sec.gov/Archives/edgar/data/1801170/000119312520298445/d69158dex45.htm" TargetMode="External"/><Relationship Id="rId382" Type="http://schemas.openxmlformats.org/officeDocument/2006/relationships/hyperlink" Target="https://www.sec.gov/Archives/edgar/data/1801170/000119312520298445/d69158dex46.htm" TargetMode="External"/><Relationship Id="rId383" Type="http://schemas.openxmlformats.org/officeDocument/2006/relationships/hyperlink" Target="https://www.sec.gov/Archives/edgar/data/1801170/000119312521007348/d63659dex101.htm" TargetMode="External"/><Relationship Id="rId384" Type="http://schemas.openxmlformats.org/officeDocument/2006/relationships/hyperlink" Target="https://www.sec.gov/Archives/edgar/data/1801170/000119312521007348/d63659dex102.htm" TargetMode="External"/><Relationship Id="rId385" Type="http://schemas.openxmlformats.org/officeDocument/2006/relationships/hyperlink" Target="https://www.sec.gov/Archives/edgar/data/1801170/000119312520272347/d69158dex1015.htm" TargetMode="External"/><Relationship Id="rId386" Type="http://schemas.openxmlformats.org/officeDocument/2006/relationships/hyperlink" Target="https://www.sec.gov/Archives/edgar/data/1801170/000119312521007348/d63659dex104.htm" TargetMode="External"/><Relationship Id="rId387" Type="http://schemas.openxmlformats.org/officeDocument/2006/relationships/hyperlink" Target="https://www.sec.gov/Archives/edgar/data/1801170/000119312521007348/d63659dex105.htm" TargetMode="External"/><Relationship Id="rId388" Type="http://schemas.openxmlformats.org/officeDocument/2006/relationships/hyperlink" Target="https://www.sec.gov/Archives/edgar/data/1801170/000119312521007348/d63659dex106.htm" TargetMode="External"/><Relationship Id="rId390" Type="http://schemas.openxmlformats.org/officeDocument/2006/relationships/hyperlink" Target="https://www.sec.gov/Archives/edgar/data/1801170/000119312521007348/d63659dex107.htm" TargetMode="External"/><Relationship Id="rId391" Type="http://schemas.openxmlformats.org/officeDocument/2006/relationships/hyperlink" Target="https://www.sec.gov/Archives/edgar/data/1801170/000119312521007348/d63659dex108.htm" TargetMode="External"/><Relationship Id="rId392" Type="http://schemas.openxmlformats.org/officeDocument/2006/relationships/hyperlink" Target="https://www.sec.gov/Archives/edgar/data/1801170/000119312521007348/d63659dex109.htm" TargetMode="External"/><Relationship Id="rId393" Type="http://schemas.openxmlformats.org/officeDocument/2006/relationships/hyperlink" Target="https://www.sec.gov/Archives/edgar/data/1801170/000119312521007348/d63659dex1010.htm" TargetMode="External"/><Relationship Id="rId394" Type="http://schemas.openxmlformats.org/officeDocument/2006/relationships/hyperlink" Target="https://www.sec.gov/Archives/edgar/data/1801170/000119312521007348/d63659dex1011.htm" TargetMode="External"/><Relationship Id="rId395" Type="http://schemas.openxmlformats.org/officeDocument/2006/relationships/hyperlink" Target="https://www.sec.gov/Archives/edgar/data/1801170/000180117021000036/letteragreementbyandbetwee.htm" TargetMode="External"/><Relationship Id="rId396" Type="http://schemas.openxmlformats.org/officeDocument/2006/relationships/hyperlink" Target="https://www.sec.gov/Archives/edgar/data/1801170/000180117021000036/agreementfortheprovisionof.htm" TargetMode="External"/><Relationship Id="rId397" Type="http://schemas.openxmlformats.org/officeDocument/2006/relationships/hyperlink" Target="https://www.sec.gov/Archives/edgar/data/1801170/000119312521007348/d636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2021-11-15T15:35:44Z</dcterms:created>
  <dcterms:modified xsi:type="dcterms:W3CDTF">2021-11-15T15:35:44Z</dcterms:modified>
</cp:coreProperties>
</file>