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600075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624840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32"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440" w:hanging="419"/>
        <w:spacing w:after="0"/>
        <w:tabs>
          <w:tab w:leader="none" w:pos="4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51" w:lineRule="exact"/>
        <w:rPr>
          <w:sz w:val="24"/>
          <w:szCs w:val="24"/>
          <w:color w:val="auto"/>
        </w:rPr>
      </w:pPr>
    </w:p>
    <w:p>
      <w:pPr>
        <w:ind w:left="440" w:hanging="419"/>
        <w:spacing w:after="0"/>
        <w:tabs>
          <w:tab w:leader="none" w:pos="4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7"/>
          <w:szCs w:val="17"/>
          <w:b w:val="1"/>
          <w:bCs w:val="1"/>
          <w:color w:val="auto"/>
        </w:rPr>
        <w:t>For the transition period from ________ to ________</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001-39252</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Clover Health Investments, Corp.</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142" w:lineRule="exact"/>
        <w:rPr>
          <w:sz w:val="24"/>
          <w:szCs w:val="24"/>
          <w:color w:val="auto"/>
        </w:rPr>
      </w:pPr>
    </w:p>
    <w:tbl>
      <w:tblPr>
        <w:tblLayout w:type="fixed"/>
        <w:tblInd w:w="2460" w:type="dxa"/>
        <w:tblCellMar>
          <w:top w:w="0" w:type="dxa"/>
          <w:left w:w="0" w:type="dxa"/>
          <w:bottom w:w="0" w:type="dxa"/>
          <w:right w:w="0" w:type="dxa"/>
        </w:tblCellMar>
      </w:tblPr>
      <w:tr>
        <w:trPr>
          <w:trHeight w:val="226"/>
        </w:trPr>
        <w:tc>
          <w:tcPr>
            <w:tcW w:w="3120" w:type="dxa"/>
            <w:vAlign w:val="bottom"/>
          </w:tcPr>
          <w:p>
            <w:pPr>
              <w:spacing w:after="0"/>
              <w:rPr>
                <w:sz w:val="20"/>
                <w:szCs w:val="20"/>
                <w:color w:val="auto"/>
              </w:rPr>
            </w:pPr>
            <w:r>
              <w:rPr>
                <w:rFonts w:ascii="Arial" w:cs="Arial" w:eastAsia="Arial" w:hAnsi="Arial"/>
                <w:sz w:val="17"/>
                <w:szCs w:val="17"/>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7"/>
                <w:szCs w:val="17"/>
                <w:b w:val="1"/>
                <w:bCs w:val="1"/>
                <w:color w:val="auto"/>
              </w:rPr>
              <w:t>98-1515192</w:t>
            </w:r>
          </w:p>
        </w:tc>
      </w:tr>
    </w:tbl>
    <w:p>
      <w:pPr>
        <w:spacing w:after="0" w:line="8" w:lineRule="exact"/>
        <w:rPr>
          <w:sz w:val="24"/>
          <w:szCs w:val="24"/>
          <w:color w:val="auto"/>
        </w:rPr>
      </w:pPr>
    </w:p>
    <w:p>
      <w:pPr>
        <w:sectPr>
          <w:pgSz w:w="11900" w:h="16838" w:orient="portrait"/>
          <w:cols w:equalWidth="0" w:num="1">
            <w:col w:w="11220"/>
          </w:cols>
          <w:pgMar w:left="320" w:top="1150" w:right="359" w:bottom="1440" w:gutter="0" w:footer="0" w:header="0"/>
        </w:sectPr>
      </w:pPr>
    </w:p>
    <w:p>
      <w:pPr>
        <w:ind w:left="2060"/>
        <w:spacing w:after="0"/>
        <w:rPr>
          <w:sz w:val="20"/>
          <w:szCs w:val="20"/>
          <w:color w:val="auto"/>
        </w:rPr>
      </w:pPr>
      <w:r>
        <w:rPr>
          <w:rFonts w:ascii="Arial" w:cs="Arial" w:eastAsia="Arial" w:hAnsi="Arial"/>
          <w:sz w:val="12"/>
          <w:szCs w:val="12"/>
          <w:b w:val="1"/>
          <w:bCs w:val="1"/>
          <w:color w:val="auto"/>
        </w:rPr>
        <w:t>(State or other jurisdiction of</w:t>
      </w:r>
    </w:p>
    <w:p>
      <w:pPr>
        <w:spacing w:after="0" w:line="1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340"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3401 Mallory Lane</w:t>
      </w:r>
      <w:r>
        <w:rPr>
          <w:rFonts w:ascii="Arial" w:cs="Arial" w:eastAsia="Arial" w:hAnsi="Arial"/>
          <w:sz w:val="19"/>
          <w:szCs w:val="19"/>
          <w:color w:val="auto"/>
        </w:rPr>
        <w:t>,</w:t>
      </w:r>
      <w:r>
        <w:rPr>
          <w:rFonts w:ascii="Arial" w:cs="Arial" w:eastAsia="Arial" w:hAnsi="Arial"/>
          <w:sz w:val="16"/>
          <w:szCs w:val="16"/>
          <w:b w:val="1"/>
          <w:bCs w:val="1"/>
          <w:color w:val="auto"/>
        </w:rPr>
        <w:t xml:space="preserve"> Suite 210</w:t>
      </w:r>
    </w:p>
    <w:p>
      <w:pPr>
        <w:spacing w:after="0" w:line="41" w:lineRule="exact"/>
        <w:rPr>
          <w:sz w:val="24"/>
          <w:szCs w:val="24"/>
          <w:color w:val="auto"/>
        </w:rPr>
      </w:pPr>
    </w:p>
    <w:p>
      <w:pPr>
        <w:ind w:left="2060"/>
        <w:spacing w:after="0"/>
        <w:rPr>
          <w:sz w:val="20"/>
          <w:szCs w:val="20"/>
          <w:color w:val="auto"/>
        </w:rPr>
      </w:pPr>
      <w:r>
        <w:rPr>
          <w:rFonts w:ascii="Arial" w:cs="Arial" w:eastAsia="Arial" w:hAnsi="Arial"/>
          <w:sz w:val="17"/>
          <w:szCs w:val="17"/>
          <w:b w:val="1"/>
          <w:bCs w:val="1"/>
          <w:color w:val="auto"/>
        </w:rPr>
        <w:t>Franklin</w:t>
      </w:r>
      <w:r>
        <w:rPr>
          <w:rFonts w:ascii="Arial" w:cs="Arial" w:eastAsia="Arial" w:hAnsi="Arial"/>
          <w:sz w:val="20"/>
          <w:szCs w:val="20"/>
          <w:color w:val="auto"/>
        </w:rPr>
        <w:t>,</w:t>
      </w:r>
      <w:r>
        <w:rPr>
          <w:rFonts w:ascii="Arial" w:cs="Arial" w:eastAsia="Arial" w:hAnsi="Arial"/>
          <w:sz w:val="17"/>
          <w:szCs w:val="17"/>
          <w:b w:val="1"/>
          <w:bCs w:val="1"/>
          <w:color w:val="auto"/>
        </w:rPr>
        <w:t xml:space="preserve"> Tennessee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60"/>
        <w:spacing w:after="0"/>
        <w:rPr>
          <w:sz w:val="20"/>
          <w:szCs w:val="20"/>
          <w:color w:val="auto"/>
        </w:rPr>
      </w:pPr>
      <w:r>
        <w:rPr>
          <w:rFonts w:ascii="Arial" w:cs="Arial" w:eastAsia="Arial" w:hAnsi="Arial"/>
          <w:sz w:val="17"/>
          <w:szCs w:val="17"/>
          <w:b w:val="1"/>
          <w:bCs w:val="1"/>
          <w:color w:val="auto"/>
        </w:rPr>
        <w:t>37067</w:t>
      </w:r>
    </w:p>
    <w:p>
      <w:pPr>
        <w:spacing w:after="0" w:line="31" w:lineRule="exact"/>
        <w:rPr>
          <w:sz w:val="24"/>
          <w:szCs w:val="24"/>
          <w:color w:val="auto"/>
        </w:rPr>
      </w:pPr>
    </w:p>
    <w:p>
      <w:pPr>
        <w:sectPr>
          <w:pgSz w:w="11900" w:h="16838" w:orient="portrait"/>
          <w:cols w:equalWidth="0" w:num="2">
            <w:col w:w="7240" w:space="720"/>
            <w:col w:w="3260"/>
          </w:cols>
          <w:pgMar w:left="320" w:top="1150" w:right="359" w:bottom="1440" w:gutter="0" w:footer="0" w:header="0"/>
          <w:type w:val="continuous"/>
        </w:sectPr>
      </w:pPr>
    </w:p>
    <w:p>
      <w:pPr>
        <w:ind w:left="1820"/>
        <w:spacing w:after="0"/>
        <w:tabs>
          <w:tab w:leader="none" w:pos="8140" w:val="left"/>
        </w:tabs>
        <w:rPr>
          <w:sz w:val="20"/>
          <w:szCs w:val="20"/>
          <w:color w:val="auto"/>
        </w:rPr>
      </w:pPr>
      <w:r>
        <w:rPr>
          <w:rFonts w:ascii="Arial" w:cs="Arial" w:eastAsia="Arial" w:hAnsi="Arial"/>
          <w:sz w:val="12"/>
          <w:szCs w:val="12"/>
          <w:b w:val="1"/>
          <w:bCs w:val="1"/>
          <w:color w:val="auto"/>
        </w:rPr>
        <w:t>(Address of principal executive offices)</w:t>
      </w:r>
      <w:r>
        <w:rPr>
          <w:sz w:val="20"/>
          <w:szCs w:val="20"/>
          <w:color w:val="auto"/>
        </w:rPr>
        <w:tab/>
      </w:r>
      <w:r>
        <w:rPr>
          <w:rFonts w:ascii="Arial" w:cs="Arial" w:eastAsia="Arial" w:hAnsi="Arial"/>
          <w:sz w:val="11"/>
          <w:szCs w:val="11"/>
          <w:b w:val="1"/>
          <w:bCs w:val="1"/>
          <w:color w:val="auto"/>
        </w:rPr>
        <w:t>(Zip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(201) 432-2133</w:t>
      </w:r>
    </w:p>
    <w:p>
      <w:pPr>
        <w:spacing w:after="0" w:line="131"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spacing w:after="0"/>
              <w:rPr>
                <w:sz w:val="14"/>
                <w:szCs w:val="14"/>
                <w:color w:val="auto"/>
              </w:rPr>
            </w:pPr>
          </w:p>
        </w:tc>
      </w:tr>
      <w:tr>
        <w:trPr>
          <w:trHeight w:val="192"/>
        </w:trPr>
        <w:tc>
          <w:tcPr>
            <w:tcW w:w="4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Title of each class</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5"/>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196"/>
        </w:trPr>
        <w:tc>
          <w:tcPr>
            <w:tcW w:w="4460" w:type="dxa"/>
            <w:vAlign w:val="bottom"/>
          </w:tcPr>
          <w:p>
            <w:pPr>
              <w:jc w:val="center"/>
              <w:spacing w:after="0"/>
              <w:rPr>
                <w:sz w:val="20"/>
                <w:szCs w:val="20"/>
                <w:color w:val="auto"/>
              </w:rPr>
            </w:pPr>
            <w:r>
              <w:rPr>
                <w:rFonts w:ascii="Arial" w:cs="Arial" w:eastAsia="Arial" w:hAnsi="Arial"/>
                <w:sz w:val="16"/>
                <w:szCs w:val="16"/>
                <w:b w:val="1"/>
                <w:bCs w:val="1"/>
                <w:color w:val="auto"/>
                <w:w w:val="87"/>
              </w:rPr>
              <w:t>Class A Common Stock, par value $0.0001 per share</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8"/>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Stock Market LLC</w:t>
            </w:r>
          </w:p>
        </w:tc>
      </w:tr>
    </w:tbl>
    <w:p>
      <w:pPr>
        <w:spacing w:after="0" w:line="190" w:lineRule="exact"/>
        <w:rPr>
          <w:sz w:val="24"/>
          <w:szCs w:val="24"/>
          <w:color w:val="auto"/>
        </w:rPr>
      </w:pPr>
    </w:p>
    <w:p>
      <w:pPr>
        <w:jc w:val="both"/>
        <w:ind w:right="420" w:firstLine="623"/>
        <w:spacing w:after="0" w:line="28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tabs>
          <w:tab w:leader="none" w:pos="680" w:val="left"/>
        </w:tabs>
        <w:rPr>
          <w:sz w:val="20"/>
          <w:szCs w:val="20"/>
          <w:color w:val="auto"/>
        </w:rPr>
      </w:pPr>
      <w:r>
        <w:rPr>
          <w:rFonts w:ascii="Arial" w:cs="Arial" w:eastAsia="Arial" w:hAnsi="Arial"/>
          <w:sz w:val="16"/>
          <w:szCs w:val="16"/>
          <w:color w:val="auto"/>
        </w:rPr>
        <w:t>Yes x</w:t>
        <w:tab/>
        <w:t>No o</w:t>
      </w:r>
    </w:p>
    <w:p>
      <w:pPr>
        <w:spacing w:after="0" w:line="97" w:lineRule="exact"/>
        <w:rPr>
          <w:sz w:val="24"/>
          <w:szCs w:val="24"/>
          <w:color w:val="auto"/>
        </w:rPr>
      </w:pPr>
    </w:p>
    <w:p>
      <w:pPr>
        <w:ind w:right="180" w:firstLine="623"/>
        <w:spacing w:after="0" w:line="34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6" w:lineRule="exact"/>
        <w:rPr>
          <w:sz w:val="24"/>
          <w:szCs w:val="24"/>
          <w:color w:val="auto"/>
        </w:rPr>
      </w:pPr>
    </w:p>
    <w:p>
      <w:pPr>
        <w:ind w:right="140" w:firstLine="623"/>
        <w:spacing w:after="0" w:line="3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vMerge w:val="restart"/>
          </w:tcPr>
          <w:p>
            <w:pPr>
              <w:ind w:left="380"/>
              <w:spacing w:after="0"/>
              <w:rPr>
                <w:sz w:val="20"/>
                <w:szCs w:val="20"/>
                <w:color w:val="auto"/>
              </w:rPr>
            </w:pPr>
            <w:r>
              <w:rPr>
                <w:rFonts w:ascii="Arial" w:cs="Arial" w:eastAsia="Arial" w:hAnsi="Arial"/>
                <w:sz w:val="16"/>
                <w:szCs w:val="16"/>
                <w:color w:val="auto"/>
              </w:rPr>
              <w:t>x</w:t>
            </w:r>
          </w:p>
        </w:tc>
        <w:tc>
          <w:tcPr>
            <w:tcW w:w="5060" w:type="dxa"/>
            <w:vAlign w:val="bottom"/>
          </w:tcPr>
          <w:p>
            <w:pPr>
              <w:ind w:left="29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3460" w:type="dxa"/>
            <w:vAlign w:val="bottom"/>
            <w:vMerge w:val="continue"/>
          </w:tcPr>
          <w:p>
            <w:pPr>
              <w:spacing w:after="0"/>
              <w:rPr>
                <w:sz w:val="10"/>
                <w:szCs w:val="10"/>
                <w:color w:val="auto"/>
              </w:rPr>
            </w:pPr>
          </w:p>
        </w:tc>
        <w:tc>
          <w:tcPr>
            <w:tcW w:w="5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380"/>
              <w:spacing w:after="0"/>
              <w:rPr>
                <w:sz w:val="20"/>
                <w:szCs w:val="20"/>
                <w:color w:val="auto"/>
              </w:rPr>
            </w:pPr>
            <w:r>
              <w:rPr>
                <w:rFonts w:ascii="Arial" w:cs="Arial" w:eastAsia="Arial" w:hAnsi="Arial"/>
                <w:sz w:val="16"/>
                <w:szCs w:val="16"/>
                <w:color w:val="auto"/>
              </w:rPr>
              <w:t>o</w:t>
            </w:r>
          </w:p>
        </w:tc>
        <w:tc>
          <w:tcPr>
            <w:tcW w:w="5060" w:type="dxa"/>
            <w:vAlign w:val="bottom"/>
          </w:tcPr>
          <w:p>
            <w:pPr>
              <w:ind w:left="29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60" w:type="dxa"/>
            <w:vAlign w:val="bottom"/>
          </w:tcPr>
          <w:p>
            <w:pPr>
              <w:ind w:left="380"/>
              <w:spacing w:after="0"/>
              <w:rPr>
                <w:sz w:val="20"/>
                <w:szCs w:val="20"/>
                <w:color w:val="auto"/>
              </w:rPr>
            </w:pPr>
            <w:r>
              <w:rPr>
                <w:rFonts w:ascii="Arial" w:cs="Arial" w:eastAsia="Arial" w:hAnsi="Arial"/>
                <w:sz w:val="16"/>
                <w:szCs w:val="16"/>
                <w:color w:val="auto"/>
              </w:rPr>
              <w:t>o</w:t>
            </w:r>
          </w:p>
        </w:tc>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360" w:firstLine="623"/>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left="620"/>
        <w:spacing w:after="0"/>
        <w:tabs>
          <w:tab w:leader="none" w:pos="7880" w:val="left"/>
          <w:tab w:leader="none" w:pos="84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15" w:lineRule="exact"/>
        <w:rPr>
          <w:sz w:val="24"/>
          <w:szCs w:val="24"/>
          <w:color w:val="auto"/>
        </w:rPr>
      </w:pPr>
    </w:p>
    <w:p>
      <w:pPr>
        <w:ind w:right="360" w:firstLine="623"/>
        <w:spacing w:after="0" w:line="256" w:lineRule="auto"/>
        <w:rPr>
          <w:sz w:val="20"/>
          <w:szCs w:val="20"/>
          <w:color w:val="auto"/>
        </w:rPr>
      </w:pPr>
      <w:r>
        <w:rPr>
          <w:rFonts w:ascii="Arial" w:cs="Arial" w:eastAsia="Arial" w:hAnsi="Arial"/>
          <w:sz w:val="16"/>
          <w:szCs w:val="16"/>
          <w:color w:val="auto"/>
        </w:rPr>
        <w:t xml:space="preserve">As of November 2, 2022, the registrant had </w:t>
      </w:r>
      <w:r>
        <w:rPr>
          <w:rFonts w:ascii="Arial" w:cs="Arial" w:eastAsia="Arial" w:hAnsi="Arial"/>
          <w:sz w:val="16"/>
          <w:szCs w:val="16"/>
          <w:color w:val="0F7F40"/>
        </w:rPr>
        <w:t>383,548,896</w:t>
      </w:r>
      <w:r>
        <w:rPr>
          <w:rFonts w:ascii="Arial" w:cs="Arial" w:eastAsia="Arial" w:hAnsi="Arial"/>
          <w:sz w:val="16"/>
          <w:szCs w:val="16"/>
          <w:color w:val="auto"/>
        </w:rPr>
        <w:t xml:space="preserve"> shares of Class A Common Stock, $0.0001 par value per share, and 94,394,852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15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90805</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50"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40" w:type="dxa"/>
            <w:vAlign w:val="bottom"/>
            <w:gridSpan w:val="4"/>
          </w:tcPr>
          <w:p>
            <w:pPr>
              <w:ind w:left="360"/>
              <w:spacing w:after="0"/>
              <w:rPr>
                <w:sz w:val="20"/>
                <w:szCs w:val="20"/>
                <w:color w:val="auto"/>
              </w:rPr>
            </w:pPr>
            <w:r>
              <w:rPr>
                <w:rFonts w:ascii="Arial" w:cs="Arial" w:eastAsia="Arial" w:hAnsi="Arial"/>
                <w:sz w:val="17"/>
                <w:szCs w:val="17"/>
                <w:b w:val="1"/>
                <w:bCs w:val="1"/>
                <w:color w:val="auto"/>
              </w:rPr>
              <w:t>Table of Contents</w:t>
            </w:r>
          </w:p>
        </w:tc>
        <w:tc>
          <w:tcPr>
            <w:tcW w:w="0" w:type="dxa"/>
            <w:vAlign w:val="bottom"/>
          </w:tcPr>
          <w:p>
            <w:pPr>
              <w:spacing w:after="0"/>
              <w:rPr>
                <w:sz w:val="1"/>
                <w:szCs w:val="1"/>
                <w:color w:val="auto"/>
              </w:rPr>
            </w:pPr>
          </w:p>
        </w:tc>
      </w:tr>
      <w:tr>
        <w:trPr>
          <w:trHeight w:val="610"/>
        </w:trPr>
        <w:tc>
          <w:tcPr>
            <w:tcW w:w="1040" w:type="dxa"/>
            <w:vAlign w:val="bottom"/>
            <w:gridSpan w:val="6"/>
          </w:tcPr>
          <w:p>
            <w:pPr>
              <w:spacing w:after="0"/>
              <w:rPr>
                <w:sz w:val="20"/>
                <w:szCs w:val="20"/>
                <w:color w:val="auto"/>
              </w:rPr>
            </w:pPr>
            <w:r>
              <w:rPr>
                <w:rFonts w:ascii="Arial" w:cs="Arial" w:eastAsia="Arial" w:hAnsi="Arial"/>
                <w:sz w:val="17"/>
                <w:szCs w:val="17"/>
                <w:b w:val="1"/>
                <w:bCs w:val="1"/>
                <w:color w:val="0000FF"/>
              </w:rPr>
              <w:t>PART I.</w:t>
            </w:r>
          </w:p>
        </w:tc>
        <w:tc>
          <w:tcPr>
            <w:tcW w:w="7300" w:type="dxa"/>
            <w:vAlign w:val="bottom"/>
            <w:gridSpan w:val="13"/>
          </w:tcPr>
          <w:p>
            <w:pPr>
              <w:spacing w:after="0"/>
              <w:rPr>
                <w:sz w:val="20"/>
                <w:szCs w:val="20"/>
                <w:color w:val="auto"/>
              </w:rPr>
            </w:pPr>
            <w:r>
              <w:rPr>
                <w:rFonts w:ascii="Arial" w:cs="Arial" w:eastAsia="Arial" w:hAnsi="Arial"/>
                <w:sz w:val="17"/>
                <w:szCs w:val="17"/>
                <w:b w:val="1"/>
                <w:bCs w:val="1"/>
                <w:color w:val="0000FF"/>
              </w:rPr>
              <w:t>FINANCIAL INFORMATION</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00" w:type="dxa"/>
            <w:vAlign w:val="bottom"/>
          </w:tcPr>
          <w:p>
            <w:pPr>
              <w:spacing w:after="0"/>
              <w:rPr>
                <w:sz w:val="20"/>
                <w:szCs w:val="20"/>
                <w:color w:val="auto"/>
              </w:rPr>
            </w:pPr>
            <w:r>
              <w:rPr>
                <w:rFonts w:ascii="Arial" w:cs="Arial" w:eastAsia="Arial" w:hAnsi="Arial"/>
                <w:sz w:val="17"/>
                <w:szCs w:val="17"/>
                <w:color w:val="0000FF"/>
                <w:w w:val="92"/>
              </w:rPr>
              <w:t>Item 1.</w:t>
            </w:r>
          </w:p>
        </w:tc>
        <w:tc>
          <w:tcPr>
            <w:tcW w:w="100" w:type="dxa"/>
            <w:vAlign w:val="bottom"/>
          </w:tcPr>
          <w:p>
            <w:pPr>
              <w:spacing w:after="0"/>
              <w:rPr>
                <w:sz w:val="24"/>
                <w:szCs w:val="24"/>
                <w:color w:val="auto"/>
              </w:rPr>
            </w:pPr>
          </w:p>
        </w:tc>
        <w:tc>
          <w:tcPr>
            <w:tcW w:w="440" w:type="dxa"/>
            <w:vAlign w:val="bottom"/>
            <w:gridSpan w:val="4"/>
          </w:tcPr>
          <w:p>
            <w:pPr>
              <w:spacing w:after="0"/>
              <w:rPr>
                <w:sz w:val="24"/>
                <w:szCs w:val="24"/>
                <w:color w:val="auto"/>
              </w:rPr>
            </w:pPr>
          </w:p>
        </w:tc>
        <w:tc>
          <w:tcPr>
            <w:tcW w:w="7300" w:type="dxa"/>
            <w:vAlign w:val="bottom"/>
            <w:gridSpan w:val="13"/>
          </w:tcPr>
          <w:p>
            <w:pPr>
              <w:spacing w:after="0"/>
              <w:rPr>
                <w:sz w:val="20"/>
                <w:szCs w:val="20"/>
                <w:color w:val="auto"/>
              </w:rPr>
            </w:pPr>
            <w:r>
              <w:rPr>
                <w:rFonts w:ascii="Arial" w:cs="Arial" w:eastAsia="Arial" w:hAnsi="Arial"/>
                <w:sz w:val="17"/>
                <w:szCs w:val="17"/>
                <w:color w:val="0000FF"/>
              </w:rPr>
              <w:t>Financial Statements (Unaudited)</w:t>
            </w:r>
          </w:p>
        </w:tc>
        <w:tc>
          <w:tcPr>
            <w:tcW w:w="0" w:type="dxa"/>
            <w:vAlign w:val="bottom"/>
          </w:tcPr>
          <w:p>
            <w:pPr>
              <w:spacing w:after="0"/>
              <w:rPr>
                <w:sz w:val="1"/>
                <w:szCs w:val="1"/>
                <w:color w:val="auto"/>
              </w:rPr>
            </w:pPr>
          </w:p>
        </w:tc>
      </w:tr>
      <w:tr>
        <w:trPr>
          <w:trHeight w:val="20"/>
        </w:trPr>
        <w:tc>
          <w:tcPr>
            <w:tcW w:w="5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tcBorders>
              <w:bottom w:val="single" w:sz="8" w:color="0000FF"/>
            </w:tcBorders>
            <w:gridSpan w:val="7"/>
          </w:tcPr>
          <w:p>
            <w:pPr>
              <w:spacing w:after="0" w:line="180" w:lineRule="exact"/>
              <w:rPr>
                <w:sz w:val="20"/>
                <w:szCs w:val="20"/>
                <w:color w:val="auto"/>
              </w:rPr>
            </w:pPr>
            <w:r>
              <w:rPr>
                <w:rFonts w:ascii="Arial" w:cs="Arial" w:eastAsia="Arial" w:hAnsi="Arial"/>
                <w:sz w:val="17"/>
                <w:szCs w:val="17"/>
                <w:color w:val="0000FF"/>
                <w:w w:val="88"/>
              </w:rPr>
              <w:t>Condensed Consolidated Balance Sheets</w:t>
            </w:r>
          </w:p>
        </w:tc>
        <w:tc>
          <w:tcPr>
            <w:tcW w:w="44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0"/>
              </w:rPr>
              <w:t>Condensed Consolidated Statements of Operations</w:t>
            </w:r>
          </w:p>
        </w:tc>
        <w:tc>
          <w:tcPr>
            <w:tcW w:w="3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0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1"/>
              </w:rPr>
              <w:t>Condensed Consolidated Statements of Changes in Convertible Preferred Stock and Stockholders' Equity</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00" w:type="dxa"/>
            <w:vAlign w:val="bottom"/>
            <w:gridSpan w:val="13"/>
          </w:tcPr>
          <w:p>
            <w:pPr>
              <w:spacing w:after="0"/>
              <w:rPr>
                <w:sz w:val="20"/>
                <w:szCs w:val="20"/>
                <w:color w:val="auto"/>
              </w:rPr>
            </w:pPr>
            <w:r>
              <w:rPr>
                <w:rFonts w:ascii="Arial" w:cs="Arial" w:eastAsia="Arial" w:hAnsi="Arial"/>
                <w:sz w:val="17"/>
                <w:szCs w:val="17"/>
                <w:color w:val="0000FF"/>
              </w:rPr>
              <w:t>Condensed Consolidated Statements of Cash Flows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00" w:type="dxa"/>
            <w:vAlign w:val="bottom"/>
            <w:gridSpan w:val="13"/>
          </w:tcPr>
          <w:p>
            <w:pPr>
              <w:spacing w:after="0"/>
              <w:rPr>
                <w:sz w:val="20"/>
                <w:szCs w:val="20"/>
                <w:color w:val="auto"/>
              </w:rPr>
            </w:pPr>
            <w:r>
              <w:rPr>
                <w:rFonts w:ascii="Arial" w:cs="Arial" w:eastAsia="Arial" w:hAnsi="Arial"/>
                <w:sz w:val="17"/>
                <w:szCs w:val="17"/>
                <w:color w:val="0000FF"/>
              </w:rPr>
              <w:t>Notes to Unaudited Condensed Consolidated Financial Statements</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2"/>
              </w:rPr>
              <w:t>Item 2.</w:t>
            </w:r>
          </w:p>
        </w:tc>
        <w:tc>
          <w:tcPr>
            <w:tcW w:w="540" w:type="dxa"/>
            <w:vAlign w:val="bottom"/>
            <w:gridSpan w:val="5"/>
          </w:tcPr>
          <w:p>
            <w:pPr>
              <w:spacing w:after="0"/>
              <w:rPr>
                <w:sz w:val="18"/>
                <w:szCs w:val="18"/>
                <w:color w:val="auto"/>
              </w:rPr>
            </w:pPr>
          </w:p>
        </w:tc>
        <w:tc>
          <w:tcPr>
            <w:tcW w:w="620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00" w:type="dxa"/>
            <w:vAlign w:val="bottom"/>
          </w:tcPr>
          <w:p>
            <w:pPr>
              <w:spacing w:after="0"/>
              <w:rPr>
                <w:sz w:val="20"/>
                <w:szCs w:val="20"/>
                <w:color w:val="auto"/>
              </w:rPr>
            </w:pPr>
            <w:r>
              <w:rPr>
                <w:rFonts w:ascii="Arial" w:cs="Arial" w:eastAsia="Arial" w:hAnsi="Arial"/>
                <w:sz w:val="17"/>
                <w:szCs w:val="17"/>
                <w:color w:val="0000FF"/>
                <w:w w:val="92"/>
              </w:rPr>
              <w:t>Item 3.</w:t>
            </w:r>
          </w:p>
        </w:tc>
        <w:tc>
          <w:tcPr>
            <w:tcW w:w="540" w:type="dxa"/>
            <w:vAlign w:val="bottom"/>
            <w:gridSpan w:val="5"/>
          </w:tcPr>
          <w:p>
            <w:pPr>
              <w:spacing w:after="0"/>
              <w:rPr>
                <w:sz w:val="20"/>
                <w:szCs w:val="20"/>
                <w:color w:val="auto"/>
              </w:rPr>
            </w:pPr>
          </w:p>
        </w:tc>
        <w:tc>
          <w:tcPr>
            <w:tcW w:w="7300" w:type="dxa"/>
            <w:vAlign w:val="bottom"/>
            <w:gridSpan w:val="13"/>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0" w:type="dxa"/>
            <w:vAlign w:val="bottom"/>
          </w:tcPr>
          <w:p>
            <w:pPr>
              <w:spacing w:after="0"/>
              <w:rPr>
                <w:sz w:val="1"/>
                <w:szCs w:val="1"/>
                <w:color w:val="auto"/>
              </w:rPr>
            </w:pPr>
          </w:p>
        </w:tc>
      </w:tr>
      <w:tr>
        <w:trPr>
          <w:trHeight w:val="240"/>
        </w:trPr>
        <w:tc>
          <w:tcPr>
            <w:tcW w:w="50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2"/>
              </w:rPr>
              <w:t>Item 4.</w:t>
            </w:r>
          </w:p>
        </w:tc>
        <w:tc>
          <w:tcPr>
            <w:tcW w:w="540" w:type="dxa"/>
            <w:vAlign w:val="bottom"/>
            <w:gridSpan w:val="5"/>
          </w:tcPr>
          <w:p>
            <w:pPr>
              <w:spacing w:after="0"/>
              <w:rPr>
                <w:sz w:val="20"/>
                <w:szCs w:val="20"/>
                <w:color w:val="auto"/>
              </w:rPr>
            </w:pPr>
          </w:p>
        </w:tc>
        <w:tc>
          <w:tcPr>
            <w:tcW w:w="418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0000FF"/>
              </w:rPr>
              <w:t>Controls and Procedures</w:t>
            </w:r>
          </w:p>
        </w:tc>
        <w:tc>
          <w:tcPr>
            <w:tcW w:w="3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80" w:type="dxa"/>
            <w:vAlign w:val="bottom"/>
            <w:gridSpan w:val="4"/>
          </w:tcPr>
          <w:p>
            <w:pPr>
              <w:spacing w:after="0"/>
              <w:rPr>
                <w:sz w:val="20"/>
                <w:szCs w:val="20"/>
                <w:color w:val="auto"/>
              </w:rPr>
            </w:pPr>
            <w:r>
              <w:rPr>
                <w:rFonts w:ascii="Arial" w:cs="Arial" w:eastAsia="Arial" w:hAnsi="Arial"/>
                <w:sz w:val="17"/>
                <w:szCs w:val="17"/>
                <w:b w:val="1"/>
                <w:bCs w:val="1"/>
                <w:color w:val="0000FF"/>
              </w:rPr>
              <w:t>PART II.</w:t>
            </w:r>
          </w:p>
        </w:tc>
        <w:tc>
          <w:tcPr>
            <w:tcW w:w="360" w:type="dxa"/>
            <w:vAlign w:val="bottom"/>
            <w:gridSpan w:val="2"/>
          </w:tcPr>
          <w:p>
            <w:pPr>
              <w:spacing w:after="0"/>
              <w:rPr>
                <w:sz w:val="24"/>
                <w:szCs w:val="24"/>
                <w:color w:val="auto"/>
              </w:rPr>
            </w:pPr>
          </w:p>
        </w:tc>
        <w:tc>
          <w:tcPr>
            <w:tcW w:w="7300" w:type="dxa"/>
            <w:vAlign w:val="bottom"/>
            <w:gridSpan w:val="13"/>
          </w:tcPr>
          <w:p>
            <w:pPr>
              <w:spacing w:after="0"/>
              <w:rPr>
                <w:sz w:val="20"/>
                <w:szCs w:val="20"/>
                <w:color w:val="auto"/>
              </w:rPr>
            </w:pPr>
            <w:r>
              <w:rPr>
                <w:rFonts w:ascii="Arial" w:cs="Arial" w:eastAsia="Arial" w:hAnsi="Arial"/>
                <w:sz w:val="17"/>
                <w:szCs w:val="17"/>
                <w:b w:val="1"/>
                <w:bCs w:val="1"/>
                <w:color w:val="0000FF"/>
              </w:rPr>
              <w:t>OTHER INFORMATION</w:t>
            </w:r>
          </w:p>
        </w:tc>
        <w:tc>
          <w:tcPr>
            <w:tcW w:w="0" w:type="dxa"/>
            <w:vAlign w:val="bottom"/>
          </w:tcPr>
          <w:p>
            <w:pPr>
              <w:spacing w:after="0"/>
              <w:rPr>
                <w:sz w:val="1"/>
                <w:szCs w:val="1"/>
                <w:color w:val="auto"/>
              </w:rPr>
            </w:pPr>
          </w:p>
        </w:tc>
      </w:tr>
      <w:tr>
        <w:trPr>
          <w:trHeight w:val="395"/>
        </w:trPr>
        <w:tc>
          <w:tcPr>
            <w:tcW w:w="50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2"/>
              </w:rPr>
              <w:t>Item 1.</w:t>
            </w:r>
          </w:p>
        </w:tc>
        <w:tc>
          <w:tcPr>
            <w:tcW w:w="180" w:type="dxa"/>
            <w:vAlign w:val="bottom"/>
            <w:tcBorders>
              <w:top w:val="single" w:sz="8" w:color="0000FF"/>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194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Legal Proceedings</w:t>
            </w:r>
          </w:p>
        </w:tc>
        <w:tc>
          <w:tcPr>
            <w:tcW w:w="5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0" w:type="dxa"/>
            <w:vAlign w:val="bottom"/>
            <w:gridSpan w:val="3"/>
          </w:tcPr>
          <w:p>
            <w:pPr>
              <w:spacing w:after="0"/>
              <w:rPr>
                <w:sz w:val="20"/>
                <w:szCs w:val="20"/>
                <w:color w:val="auto"/>
              </w:rPr>
            </w:pPr>
            <w:r>
              <w:rPr>
                <w:rFonts w:ascii="Arial" w:cs="Arial" w:eastAsia="Arial" w:hAnsi="Arial"/>
                <w:sz w:val="17"/>
                <w:szCs w:val="17"/>
                <w:color w:val="0000FF"/>
                <w:w w:val="94"/>
              </w:rPr>
              <w:t>Item 1A.</w:t>
            </w:r>
          </w:p>
        </w:tc>
        <w:tc>
          <w:tcPr>
            <w:tcW w:w="420" w:type="dxa"/>
            <w:vAlign w:val="bottom"/>
            <w:gridSpan w:val="3"/>
          </w:tcPr>
          <w:p>
            <w:pPr>
              <w:spacing w:after="0"/>
              <w:rPr>
                <w:sz w:val="17"/>
                <w:szCs w:val="17"/>
                <w:color w:val="auto"/>
              </w:rPr>
            </w:pPr>
          </w:p>
        </w:tc>
        <w:tc>
          <w:tcPr>
            <w:tcW w:w="7300" w:type="dxa"/>
            <w:vAlign w:val="bottom"/>
            <w:gridSpan w:val="13"/>
          </w:tcPr>
          <w:p>
            <w:pPr>
              <w:spacing w:after="0"/>
              <w:rPr>
                <w:sz w:val="20"/>
                <w:szCs w:val="20"/>
                <w:color w:val="auto"/>
              </w:rPr>
            </w:pPr>
            <w:r>
              <w:rPr>
                <w:rFonts w:ascii="Arial" w:cs="Arial" w:eastAsia="Arial" w:hAnsi="Arial"/>
                <w:sz w:val="17"/>
                <w:szCs w:val="17"/>
                <w:color w:val="0000FF"/>
              </w:rPr>
              <w:t>Risk Factors</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2"/>
              </w:rPr>
              <w:t>Item 2.</w:t>
            </w:r>
          </w:p>
        </w:tc>
        <w:tc>
          <w:tcPr>
            <w:tcW w:w="120" w:type="dxa"/>
            <w:vAlign w:val="bottom"/>
            <w:gridSpan w:val="2"/>
          </w:tcPr>
          <w:p>
            <w:pPr>
              <w:spacing w:after="0"/>
              <w:rPr>
                <w:sz w:val="24"/>
                <w:szCs w:val="24"/>
                <w:color w:val="auto"/>
              </w:rPr>
            </w:pPr>
          </w:p>
        </w:tc>
        <w:tc>
          <w:tcPr>
            <w:tcW w:w="420" w:type="dxa"/>
            <w:vAlign w:val="bottom"/>
            <w:gridSpan w:val="3"/>
          </w:tcPr>
          <w:p>
            <w:pPr>
              <w:spacing w:after="0"/>
              <w:rPr>
                <w:sz w:val="24"/>
                <w:szCs w:val="24"/>
                <w:color w:val="auto"/>
              </w:rPr>
            </w:pPr>
          </w:p>
        </w:tc>
        <w:tc>
          <w:tcPr>
            <w:tcW w:w="4180" w:type="dxa"/>
            <w:vAlign w:val="bottom"/>
            <w:gridSpan w:val="10"/>
            <w:vMerge w:val="restart"/>
          </w:tcPr>
          <w:p>
            <w:pPr>
              <w:spacing w:after="0"/>
              <w:rPr>
                <w:sz w:val="20"/>
                <w:szCs w:val="20"/>
                <w:color w:val="auto"/>
              </w:rPr>
            </w:pPr>
            <w:r>
              <w:rPr>
                <w:rFonts w:ascii="Arial" w:cs="Arial" w:eastAsia="Arial" w:hAnsi="Arial"/>
                <w:sz w:val="17"/>
                <w:szCs w:val="17"/>
                <w:color w:val="0000FF"/>
                <w:w w:val="90"/>
              </w:rPr>
              <w:t>Unregistered Sales of Equity Securities and Use of Proceeds</w:t>
            </w:r>
          </w:p>
        </w:tc>
        <w:tc>
          <w:tcPr>
            <w:tcW w:w="3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040" w:type="dxa"/>
            <w:vAlign w:val="bottom"/>
            <w:gridSpan w:val="6"/>
            <w:vMerge w:val="restart"/>
          </w:tcPr>
          <w:p>
            <w:pPr>
              <w:spacing w:after="0"/>
              <w:rPr>
                <w:sz w:val="20"/>
                <w:szCs w:val="20"/>
                <w:color w:val="auto"/>
              </w:rPr>
            </w:pPr>
            <w:r>
              <w:rPr>
                <w:rFonts w:ascii="Arial" w:cs="Arial" w:eastAsia="Arial" w:hAnsi="Arial"/>
                <w:sz w:val="17"/>
                <w:szCs w:val="17"/>
                <w:color w:val="0000FF"/>
              </w:rPr>
              <w:t>Item 3.</w:t>
            </w:r>
          </w:p>
        </w:tc>
        <w:tc>
          <w:tcPr>
            <w:tcW w:w="4180" w:type="dxa"/>
            <w:vAlign w:val="bottom"/>
            <w:tcBorders>
              <w:bottom w:val="single" w:sz="8" w:color="0000FF"/>
            </w:tcBorders>
            <w:gridSpan w:val="10"/>
            <w:vMerge w:val="continue"/>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5"/>
        </w:trPr>
        <w:tc>
          <w:tcPr>
            <w:tcW w:w="1040" w:type="dxa"/>
            <w:vAlign w:val="bottom"/>
            <w:gridSpan w:val="6"/>
            <w:vMerge w:val="continue"/>
          </w:tcPr>
          <w:p>
            <w:pPr>
              <w:spacing w:after="0"/>
              <w:rPr>
                <w:sz w:val="24"/>
                <w:szCs w:val="24"/>
                <w:color w:val="auto"/>
              </w:rPr>
            </w:pPr>
          </w:p>
        </w:tc>
        <w:tc>
          <w:tcPr>
            <w:tcW w:w="2300" w:type="dxa"/>
            <w:vAlign w:val="bottom"/>
            <w:gridSpan w:val="6"/>
            <w:vMerge w:val="restart"/>
          </w:tcPr>
          <w:p>
            <w:pPr>
              <w:spacing w:after="0"/>
              <w:rPr>
                <w:sz w:val="20"/>
                <w:szCs w:val="20"/>
                <w:color w:val="auto"/>
              </w:rPr>
            </w:pPr>
            <w:r>
              <w:rPr>
                <w:rFonts w:ascii="Arial" w:cs="Arial" w:eastAsia="Arial" w:hAnsi="Arial"/>
                <w:sz w:val="17"/>
                <w:szCs w:val="17"/>
                <w:color w:val="0000FF"/>
                <w:w w:val="93"/>
              </w:rPr>
              <w:t>Defaults Upon Senior Securities</w:t>
            </w:r>
          </w:p>
        </w:tc>
        <w:tc>
          <w:tcPr>
            <w:tcW w:w="50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5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00" w:type="dxa"/>
            <w:vAlign w:val="bottom"/>
            <w:tcBorders>
              <w:bottom w:val="single" w:sz="8" w:color="0000FF"/>
            </w:tcBorders>
            <w:gridSpan w:val="6"/>
            <w:vMerge w:val="continue"/>
          </w:tcPr>
          <w:p>
            <w:pPr>
              <w:spacing w:after="0"/>
              <w:rPr>
                <w:sz w:val="11"/>
                <w:szCs w:val="11"/>
                <w:color w:val="auto"/>
              </w:rPr>
            </w:pPr>
          </w:p>
        </w:tc>
        <w:tc>
          <w:tcPr>
            <w:tcW w:w="50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20"/>
                <w:szCs w:val="20"/>
                <w:color w:val="auto"/>
              </w:rPr>
            </w:pPr>
            <w:r>
              <w:rPr>
                <w:rFonts w:ascii="Arial" w:cs="Arial" w:eastAsia="Arial" w:hAnsi="Arial"/>
                <w:sz w:val="17"/>
                <w:szCs w:val="17"/>
                <w:color w:val="0000FF"/>
                <w:w w:val="92"/>
              </w:rPr>
              <w:t>Item 4.</w:t>
            </w:r>
          </w:p>
        </w:tc>
        <w:tc>
          <w:tcPr>
            <w:tcW w:w="540" w:type="dxa"/>
            <w:vAlign w:val="bottom"/>
            <w:gridSpan w:val="5"/>
          </w:tcPr>
          <w:p>
            <w:pPr>
              <w:spacing w:after="0"/>
              <w:rPr>
                <w:sz w:val="19"/>
                <w:szCs w:val="19"/>
                <w:color w:val="auto"/>
              </w:rPr>
            </w:pPr>
          </w:p>
        </w:tc>
        <w:tc>
          <w:tcPr>
            <w:tcW w:w="7300" w:type="dxa"/>
            <w:vAlign w:val="bottom"/>
            <w:gridSpan w:val="13"/>
          </w:tcPr>
          <w:p>
            <w:pPr>
              <w:spacing w:after="0"/>
              <w:rPr>
                <w:sz w:val="20"/>
                <w:szCs w:val="20"/>
                <w:color w:val="auto"/>
              </w:rPr>
            </w:pPr>
            <w:r>
              <w:rPr>
                <w:rFonts w:ascii="Arial" w:cs="Arial" w:eastAsia="Arial" w:hAnsi="Arial"/>
                <w:sz w:val="17"/>
                <w:szCs w:val="17"/>
                <w:color w:val="0000FF"/>
              </w:rPr>
              <w:t>Mine Safety Disclosures</w:t>
            </w:r>
          </w:p>
        </w:tc>
        <w:tc>
          <w:tcPr>
            <w:tcW w:w="0" w:type="dxa"/>
            <w:vAlign w:val="bottom"/>
          </w:tcPr>
          <w:p>
            <w:pPr>
              <w:spacing w:after="0"/>
              <w:rPr>
                <w:sz w:val="1"/>
                <w:szCs w:val="1"/>
                <w:color w:val="auto"/>
              </w:rPr>
            </w:pPr>
          </w:p>
        </w:tc>
      </w:tr>
      <w:tr>
        <w:trPr>
          <w:trHeight w:val="201"/>
        </w:trPr>
        <w:tc>
          <w:tcPr>
            <w:tcW w:w="50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2"/>
              </w:rPr>
              <w:t>Item 5.</w:t>
            </w:r>
          </w:p>
        </w:tc>
        <w:tc>
          <w:tcPr>
            <w:tcW w:w="540" w:type="dxa"/>
            <w:vAlign w:val="bottom"/>
            <w:gridSpan w:val="5"/>
          </w:tcPr>
          <w:p>
            <w:pPr>
              <w:spacing w:after="0"/>
              <w:rPr>
                <w:sz w:val="17"/>
                <w:szCs w:val="17"/>
                <w:color w:val="auto"/>
              </w:rPr>
            </w:pPr>
          </w:p>
        </w:tc>
        <w:tc>
          <w:tcPr>
            <w:tcW w:w="17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Other Information</w:t>
            </w:r>
          </w:p>
        </w:tc>
        <w:tc>
          <w:tcPr>
            <w:tcW w:w="5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2"/>
              </w:rPr>
              <w:t>Item 6.</w:t>
            </w:r>
          </w:p>
        </w:tc>
        <w:tc>
          <w:tcPr>
            <w:tcW w:w="540" w:type="dxa"/>
            <w:vAlign w:val="bottom"/>
            <w:gridSpan w:val="5"/>
          </w:tcPr>
          <w:p>
            <w:pPr>
              <w:spacing w:after="0"/>
              <w:rPr>
                <w:sz w:val="17"/>
                <w:szCs w:val="17"/>
                <w:color w:val="auto"/>
              </w:rPr>
            </w:pP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4"/>
              </w:rPr>
              <w:t>Exhibits</w:t>
            </w:r>
          </w:p>
        </w:tc>
        <w:tc>
          <w:tcPr>
            <w:tcW w:w="700" w:type="dxa"/>
            <w:vAlign w:val="bottom"/>
            <w:tcBorders>
              <w:top w:val="single" w:sz="8" w:color="0000FF"/>
            </w:tcBorders>
            <w:gridSpan w:val="2"/>
          </w:tcPr>
          <w:p>
            <w:pPr>
              <w:spacing w:after="0"/>
              <w:rPr>
                <w:sz w:val="17"/>
                <w:szCs w:val="17"/>
                <w:color w:val="auto"/>
              </w:rPr>
            </w:pPr>
          </w:p>
        </w:tc>
        <w:tc>
          <w:tcPr>
            <w:tcW w:w="6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74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88"/>
              </w:rPr>
              <w:t>Signatures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41910</wp:posOffset>
            </wp:positionV>
            <wp:extent cx="577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5</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5</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5</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7</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0000FF"/>
        </w:rPr>
        <w:t>8</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10</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11</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33</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43</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44</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45</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FF"/>
        </w:rPr>
        <w:t>46</w:t>
      </w:r>
    </w:p>
    <w:p>
      <w:pPr>
        <w:sectPr>
          <w:pgSz w:w="11900" w:h="16838" w:orient="portrait"/>
          <w:cols w:equalWidth="0" w:num="2">
            <w:col w:w="9900" w:space="720"/>
            <w:col w:w="300"/>
          </w:cols>
          <w:pgMar w:left="340" w:top="952" w:right="639" w:bottom="1440" w:gutter="0" w:footer="0" w:header="0"/>
        </w:sectPr>
      </w:pPr>
    </w:p>
    <w:bookmarkStart w:id="2" w:name="page3"/>
    <w:bookmarkEnd w:id="2"/>
    <w:p>
      <w:pPr>
        <w:jc w:val="both"/>
        <w:spacing w:after="0" w:line="269" w:lineRule="auto"/>
        <w:rPr>
          <w:sz w:val="20"/>
          <w:szCs w:val="20"/>
          <w:color w:val="auto"/>
        </w:rPr>
      </w:pPr>
      <w:r>
        <w:rPr>
          <w:rFonts w:ascii="Arial" w:cs="Arial" w:eastAsia="Arial" w:hAnsi="Arial"/>
          <w:sz w:val="17"/>
          <w:szCs w:val="17"/>
          <w:i w:val="1"/>
          <w:iCs w:val="1"/>
          <w:color w:val="auto"/>
        </w:rPr>
        <w:t>As used in this report, "Company," "Clover," "Clover Health," "we," "us," "our," and similar terms refer to Clover Health Investments, Corp. and its consolidated subsidiaries, unless otherwise noted or the context otherwise requires.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197" w:lineRule="exact"/>
        <w:rPr>
          <w:sz w:val="20"/>
          <w:szCs w:val="20"/>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results of operations, financial condition, and cash flows;</w:t>
      </w:r>
    </w:p>
    <w:p>
      <w:pPr>
        <w:spacing w:after="0" w:line="13" w:lineRule="exact"/>
        <w:rPr>
          <w:rFonts w:ascii="Arial" w:cs="Arial" w:eastAsia="Arial" w:hAnsi="Arial"/>
          <w:sz w:val="17"/>
          <w:szCs w:val="17"/>
          <w:color w:val="auto"/>
        </w:rPr>
      </w:pPr>
    </w:p>
    <w:p>
      <w:pPr>
        <w:ind w:left="620" w:hanging="305"/>
        <w:spacing w:after="0" w:line="22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development and expansion of our Insurance and Non-Insurance businesses;</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enter new service markets and manage our operations;</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in the markets in which we operate;</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expand our beneficiary base and provider network;</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increase adoption and use of Clover Assistant;</w:t>
      </w:r>
    </w:p>
    <w:p>
      <w:pPr>
        <w:ind w:left="620" w:hanging="305"/>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anticipated benefits associated with the use of Clover Assistant, including our ability to utilize the platform to manage our medical care ratios;</w:t>
      </w:r>
    </w:p>
    <w:p>
      <w:pPr>
        <w:spacing w:after="0" w:line="10" w:lineRule="exact"/>
        <w:rPr>
          <w:rFonts w:ascii="Arial" w:cs="Arial" w:eastAsia="Arial" w:hAnsi="Arial"/>
          <w:sz w:val="16"/>
          <w:szCs w:val="16"/>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new features and functionality that meet market needs and achieve market acceptance;</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hire necessary employees and staff our operations appropriately;</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amount of certain investments in growth;</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on our business, results of operations, and financial condition;</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known and unknown litigation and regulatory proceedings;</w:t>
      </w:r>
    </w:p>
    <w:p>
      <w:pPr>
        <w:ind w:left="620" w:hanging="305"/>
        <w:spacing w:after="0" w:line="23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current, pending, or future legislation, regulations or policies that could have a negative effect on our revenue and businesses, including rules, regulations, and policies relating to healthcare and Medicare;</w:t>
      </w:r>
    </w:p>
    <w:p>
      <w:pPr>
        <w:ind w:left="620" w:hanging="305"/>
        <w:spacing w:after="0" w:line="22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or improve our Star Ratings or otherwise continue to improve the financial performance of our business;</w:t>
      </w: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ind w:left="620" w:hanging="305"/>
        <w:spacing w:after="0" w:line="252"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and uncertainty, including the societal and economic impact of the COVID-19 pandemic and its variants, inflation, and geopolitical uncertainty and instability.</w:t>
      </w:r>
    </w:p>
    <w:p>
      <w:pPr>
        <w:spacing w:after="0" w:line="19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17"/>
          <w:szCs w:val="17"/>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2021, as filed with the SEC, our actual results or performance may be materially different from those expressed or implied by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website address is www.cloverhealth.com. Our filings with the SEC are posted on our website and available free of charge as soon as reasonably practical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Channels for Disclosure of Information</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Investors and others should note that we routinely announce material information to investors and the marketplace using filings with the SEC, press releases, public conference calls, presentations, webcasts, and the investor relations page of our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Twitter, and the LinkedIn account of our President,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September 30,</w:t>
            </w:r>
          </w:p>
        </w:tc>
        <w:tc>
          <w:tcPr>
            <w:tcW w:w="160" w:type="dxa"/>
            <w:vAlign w:val="bottom"/>
          </w:tcPr>
          <w:p>
            <w:pPr>
              <w:spacing w:after="0"/>
              <w:rPr>
                <w:sz w:val="16"/>
                <w:szCs w:val="16"/>
                <w:color w:val="auto"/>
              </w:rPr>
            </w:pPr>
          </w:p>
        </w:tc>
        <w:tc>
          <w:tcPr>
            <w:tcW w:w="12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169"/>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4"/>
              <w:spacing w:after="0" w:line="169" w:lineRule="exact"/>
              <w:rPr>
                <w:sz w:val="20"/>
                <w:szCs w:val="20"/>
                <w:color w:val="auto"/>
              </w:rPr>
            </w:pPr>
            <w:r>
              <w:rPr>
                <w:rFonts w:ascii="Arial" w:cs="Arial" w:eastAsia="Arial" w:hAnsi="Arial"/>
                <w:sz w:val="17"/>
                <w:szCs w:val="17"/>
                <w:b w:val="1"/>
                <w:bCs w:val="1"/>
                <w:color w:val="auto"/>
                <w:w w:val="89"/>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6"/>
                <w:szCs w:val="16"/>
                <w:color w:val="auto"/>
              </w:rPr>
            </w:pPr>
          </w:p>
        </w:tc>
        <w:tc>
          <w:tcPr>
            <w:tcW w:w="124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1"/>
        </w:trPr>
        <w:tc>
          <w:tcPr>
            <w:tcW w:w="8340" w:type="dxa"/>
            <w:vAlign w:val="bottom"/>
            <w:tcBorders>
              <w:top w:val="single" w:sz="8" w:color="CCEEFF"/>
            </w:tcBorders>
            <w:shd w:val="clear" w:color="auto" w:fill="CCEEFF"/>
          </w:tcPr>
          <w:p>
            <w:pPr>
              <w:ind w:left="394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382,869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299,968</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153,799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293,851</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securities, available-for-sale (Amortized cost: 2022: $179,774; 2021: $21,142)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21,131</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Investment securities, held-to-maturity (Fair value: 2022: $0; 2021: $307)</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retrospective premiums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34,923</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Other receivables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23,085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14,282</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Healthcare receivable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48,042</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Non-Insurance performance year receivable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585,901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Surety bonds and deposits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12,613</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Prepaid expenses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17,816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9,409</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assets, current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18,022</w:t>
            </w:r>
          </w:p>
        </w:tc>
        <w:tc>
          <w:tcPr>
            <w:tcW w:w="0" w:type="dxa"/>
            <w:vAlign w:val="bottom"/>
          </w:tcPr>
          <w:p>
            <w:pPr>
              <w:spacing w:after="0"/>
              <w:rPr>
                <w:sz w:val="1"/>
                <w:szCs w:val="1"/>
                <w:color w:val="auto"/>
              </w:rPr>
            </w:pPr>
          </w:p>
        </w:tc>
      </w:tr>
      <w:tr>
        <w:trPr>
          <w:trHeight w:val="214"/>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current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1,459,992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752,546</w:t>
            </w:r>
          </w:p>
        </w:tc>
        <w:tc>
          <w:tcPr>
            <w:tcW w:w="0" w:type="dxa"/>
            <w:vAlign w:val="bottom"/>
          </w:tcPr>
          <w:p>
            <w:pPr>
              <w:spacing w:after="0"/>
              <w:rPr>
                <w:sz w:val="1"/>
                <w:szCs w:val="1"/>
                <w:color w:val="auto"/>
              </w:rPr>
            </w:pPr>
          </w:p>
        </w:tc>
      </w:tr>
      <w:tr>
        <w:trPr>
          <w:trHeight w:val="188"/>
        </w:trPr>
        <w:tc>
          <w:tcPr>
            <w:tcW w:w="8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Investment securities, available-for-sale (Amortized cost: 2022: $76,339; 2021: $177,527)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70,237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175,604</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securities, held-to-maturity (Fair value: 2022: $596; 2021: $364)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Equity method investment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2,287</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Operating lease right-of-use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5,367</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 and other intangible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0" w:type="dxa"/>
            <w:vAlign w:val="bottom"/>
          </w:tcPr>
          <w:p>
            <w:pPr>
              <w:spacing w:after="0"/>
              <w:rPr>
                <w:sz w:val="1"/>
                <w:szCs w:val="1"/>
                <w:color w:val="auto"/>
              </w:rPr>
            </w:pPr>
          </w:p>
        </w:tc>
      </w:tr>
      <w:tr>
        <w:trPr>
          <w:trHeight w:val="221"/>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 non-current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10,432</w:t>
            </w: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1,557,679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950,804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231F20"/>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September 30,</w:t>
            </w:r>
          </w:p>
        </w:tc>
        <w:tc>
          <w:tcPr>
            <w:tcW w:w="160" w:type="dxa"/>
            <w:vAlign w:val="bottom"/>
          </w:tcPr>
          <w:p>
            <w:pPr>
              <w:spacing w:after="0"/>
              <w:rPr>
                <w:sz w:val="16"/>
                <w:szCs w:val="16"/>
                <w:color w:val="auto"/>
              </w:rPr>
            </w:pP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169"/>
        </w:trPr>
        <w:tc>
          <w:tcPr>
            <w:tcW w:w="8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4"/>
              <w:spacing w:after="0" w:line="169" w:lineRule="exact"/>
              <w:rPr>
                <w:sz w:val="20"/>
                <w:szCs w:val="20"/>
                <w:color w:val="auto"/>
              </w:rPr>
            </w:pPr>
            <w:r>
              <w:rPr>
                <w:rFonts w:ascii="Arial" w:cs="Arial" w:eastAsia="Arial" w:hAnsi="Arial"/>
                <w:sz w:val="17"/>
                <w:szCs w:val="17"/>
                <w:b w:val="1"/>
                <w:bCs w:val="1"/>
                <w:color w:val="auto"/>
                <w:w w:val="89"/>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6"/>
                <w:szCs w:val="16"/>
                <w:color w:val="auto"/>
              </w:rPr>
            </w:pPr>
          </w:p>
        </w:tc>
        <w:tc>
          <w:tcPr>
            <w:tcW w:w="122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1"/>
        </w:trPr>
        <w:tc>
          <w:tcPr>
            <w:tcW w:w="8380" w:type="dxa"/>
            <w:vAlign w:val="bottom"/>
            <w:tcBorders>
              <w:top w:val="single" w:sz="8" w:color="CCEEFF"/>
            </w:tcBorders>
            <w:shd w:val="clear" w:color="auto" w:fill="CCEEFF"/>
          </w:tcPr>
          <w:p>
            <w:pPr>
              <w:ind w:left="286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Unpaid claims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138,604</w:t>
            </w:r>
          </w:p>
        </w:tc>
        <w:tc>
          <w:tcPr>
            <w:tcW w:w="0" w:type="dxa"/>
            <w:vAlign w:val="bottom"/>
          </w:tcPr>
          <w:p>
            <w:pPr>
              <w:spacing w:after="0"/>
              <w:rPr>
                <w:sz w:val="1"/>
                <w:szCs w:val="1"/>
                <w:color w:val="auto"/>
              </w:rPr>
            </w:pPr>
          </w:p>
        </w:tc>
      </w:tr>
      <w:tr>
        <w:trPr>
          <w:trHeight w:val="221"/>
        </w:trPr>
        <w:tc>
          <w:tcPr>
            <w:tcW w:w="8380" w:type="dxa"/>
            <w:vAlign w:val="bottom"/>
          </w:tcPr>
          <w:p>
            <w:pPr>
              <w:ind w:left="120"/>
              <w:spacing w:after="0"/>
              <w:rPr>
                <w:sz w:val="20"/>
                <w:szCs w:val="20"/>
                <w:color w:val="auto"/>
              </w:rPr>
            </w:pPr>
            <w:r>
              <w:rPr>
                <w:rFonts w:ascii="Arial" w:cs="Arial" w:eastAsia="Arial" w:hAnsi="Arial"/>
                <w:sz w:val="17"/>
                <w:szCs w:val="17"/>
                <w:color w:val="auto"/>
              </w:rPr>
              <w:t>Due to related parties,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2,320</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Non-Insurance performance year obligation, 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655,849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36,891</w:t>
            </w:r>
          </w:p>
        </w:tc>
        <w:tc>
          <w:tcPr>
            <w:tcW w:w="0" w:type="dxa"/>
            <w:vAlign w:val="bottom"/>
          </w:tcPr>
          <w:p>
            <w:pPr>
              <w:spacing w:after="0"/>
              <w:rPr>
                <w:sz w:val="1"/>
                <w:szCs w:val="1"/>
                <w:color w:val="auto"/>
              </w:rPr>
            </w:pPr>
          </w:p>
        </w:tc>
      </w:tr>
      <w:tr>
        <w:trPr>
          <w:trHeight w:val="221"/>
        </w:trPr>
        <w:tc>
          <w:tcPr>
            <w:tcW w:w="8380" w:type="dxa"/>
            <w:vAlign w:val="bottom"/>
          </w:tcPr>
          <w:p>
            <w:pPr>
              <w:ind w:left="120"/>
              <w:spacing w:after="0"/>
              <w:rPr>
                <w:sz w:val="20"/>
                <w:szCs w:val="20"/>
                <w:color w:val="auto"/>
              </w:rPr>
            </w:pPr>
            <w:r>
              <w:rPr>
                <w:rFonts w:ascii="Arial" w:cs="Arial" w:eastAsia="Arial" w:hAnsi="Arial"/>
                <w:sz w:val="17"/>
                <w:szCs w:val="17"/>
                <w:color w:val="auto"/>
              </w:rPr>
              <w:t>Non-Insurance payable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147,132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37,773</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28,129</w:t>
            </w:r>
          </w:p>
        </w:tc>
        <w:tc>
          <w:tcPr>
            <w:tcW w:w="0" w:type="dxa"/>
            <w:vAlign w:val="bottom"/>
          </w:tcPr>
          <w:p>
            <w:pPr>
              <w:spacing w:after="0"/>
              <w:rPr>
                <w:sz w:val="1"/>
                <w:szCs w:val="1"/>
                <w:color w:val="auto"/>
              </w:rPr>
            </w:pPr>
          </w:p>
        </w:tc>
      </w:tr>
      <w:tr>
        <w:trPr>
          <w:trHeight w:val="221"/>
        </w:trPr>
        <w:tc>
          <w:tcPr>
            <w:tcW w:w="8380" w:type="dxa"/>
            <w:vAlign w:val="bottom"/>
          </w:tcPr>
          <w:p>
            <w:pPr>
              <w:ind w:left="120"/>
              <w:spacing w:after="0"/>
              <w:rPr>
                <w:sz w:val="20"/>
                <w:szCs w:val="20"/>
                <w:color w:val="auto"/>
              </w:rPr>
            </w:pPr>
            <w:r>
              <w:rPr>
                <w:rFonts w:ascii="Arial" w:cs="Arial" w:eastAsia="Arial" w:hAnsi="Arial"/>
                <w:sz w:val="17"/>
                <w:szCs w:val="17"/>
                <w:color w:val="auto"/>
              </w:rPr>
              <w:t>Accrued salaries and benefits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15,147</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380" w:type="dxa"/>
            <w:vAlign w:val="bottom"/>
          </w:tcPr>
          <w:p>
            <w:pPr>
              <w:ind w:left="120"/>
              <w:spacing w:after="0"/>
              <w:rPr>
                <w:sz w:val="20"/>
                <w:szCs w:val="20"/>
                <w:color w:val="auto"/>
              </w:rPr>
            </w:pPr>
            <w:r>
              <w:rPr>
                <w:rFonts w:ascii="Arial" w:cs="Arial" w:eastAsia="Arial" w:hAnsi="Arial"/>
                <w:sz w:val="17"/>
                <w:szCs w:val="17"/>
                <w:color w:val="auto"/>
              </w:rPr>
              <w:t>Operating lease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3,059</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Premium deficiency reserve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110,628</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liabilities, current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1,128,346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372,624</w:t>
            </w:r>
          </w:p>
        </w:tc>
        <w:tc>
          <w:tcPr>
            <w:tcW w:w="0" w:type="dxa"/>
            <w:vAlign w:val="bottom"/>
          </w:tcPr>
          <w:p>
            <w:pPr>
              <w:spacing w:after="0"/>
              <w:rPr>
                <w:sz w:val="1"/>
                <w:szCs w:val="1"/>
                <w:color w:val="auto"/>
              </w:rPr>
            </w:pPr>
          </w:p>
        </w:tc>
      </w:tr>
      <w:tr>
        <w:trPr>
          <w:trHeight w:val="188"/>
        </w:trPr>
        <w:tc>
          <w:tcPr>
            <w:tcW w:w="8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Notes and securities payable, net of discounts and deferred issuance costs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19,938</w:t>
            </w:r>
          </w:p>
        </w:tc>
        <w:tc>
          <w:tcPr>
            <w:tcW w:w="0" w:type="dxa"/>
            <w:vAlign w:val="bottom"/>
          </w:tcPr>
          <w:p>
            <w:pPr>
              <w:spacing w:after="0"/>
              <w:rPr>
                <w:sz w:val="1"/>
                <w:szCs w:val="1"/>
                <w:color w:val="auto"/>
              </w:rPr>
            </w:pPr>
          </w:p>
        </w:tc>
      </w:tr>
      <w:tr>
        <w:trPr>
          <w:trHeight w:val="221"/>
        </w:trPr>
        <w:tc>
          <w:tcPr>
            <w:tcW w:w="8380" w:type="dxa"/>
            <w:vAlign w:val="bottom"/>
          </w:tcPr>
          <w:p>
            <w:pPr>
              <w:ind w:left="120"/>
              <w:spacing w:after="0"/>
              <w:rPr>
                <w:sz w:val="20"/>
                <w:szCs w:val="20"/>
                <w:color w:val="auto"/>
              </w:rPr>
            </w:pPr>
            <w:r>
              <w:rPr>
                <w:rFonts w:ascii="Arial" w:cs="Arial" w:eastAsia="Arial" w:hAnsi="Arial"/>
                <w:sz w:val="17"/>
                <w:szCs w:val="17"/>
                <w:color w:val="auto"/>
              </w:rPr>
              <w:t>Long-term operating lease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4,830</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liabilities,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14,095</w:t>
            </w:r>
          </w:p>
        </w:tc>
        <w:tc>
          <w:tcPr>
            <w:tcW w:w="0" w:type="dxa"/>
            <w:vAlign w:val="bottom"/>
          </w:tcPr>
          <w:p>
            <w:pPr>
              <w:spacing w:after="0"/>
              <w:rPr>
                <w:sz w:val="1"/>
                <w:szCs w:val="1"/>
                <w:color w:val="auto"/>
              </w:rPr>
            </w:pPr>
          </w:p>
        </w:tc>
      </w:tr>
      <w:tr>
        <w:trPr>
          <w:trHeight w:val="214"/>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1,165,699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411,487</w:t>
            </w:r>
          </w:p>
        </w:tc>
        <w:tc>
          <w:tcPr>
            <w:tcW w:w="0" w:type="dxa"/>
            <w:vAlign w:val="bottom"/>
          </w:tcPr>
          <w:p>
            <w:pPr>
              <w:spacing w:after="0"/>
              <w:rPr>
                <w:sz w:val="1"/>
                <w:szCs w:val="1"/>
                <w:color w:val="auto"/>
              </w:rPr>
            </w:pPr>
          </w:p>
        </w:tc>
      </w:tr>
      <w:tr>
        <w:trPr>
          <w:trHeight w:val="201"/>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15)</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38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rPr>
              <w:t>Class A Common Stock, $0.0001 par value; 2,500,000,000 shares authorized as of September 30, 2022, and</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8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rPr>
              <w:t>December 31, 2021; 383,526,634 and 352,645,626 issued and outstanding as of September 30, 2022, and</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December 31, 2021, respectively</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69"/>
        </w:trPr>
        <w:tc>
          <w:tcPr>
            <w:tcW w:w="8380" w:type="dxa"/>
            <w:vAlign w:val="bottom"/>
          </w:tcPr>
          <w:p>
            <w:pPr>
              <w:ind w:left="120"/>
              <w:spacing w:after="0" w:line="169" w:lineRule="exact"/>
              <w:rPr>
                <w:sz w:val="20"/>
                <w:szCs w:val="20"/>
                <w:color w:val="auto"/>
              </w:rPr>
            </w:pPr>
            <w:r>
              <w:rPr>
                <w:rFonts w:ascii="Arial" w:cs="Arial" w:eastAsia="Arial" w:hAnsi="Arial"/>
                <w:sz w:val="17"/>
                <w:szCs w:val="17"/>
                <w:color w:val="auto"/>
              </w:rPr>
              <w:t>Class B Common Stock, $0.0001 par value; 500,000,000 shares authorized as of September 30, 2022, and</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80" w:type="dxa"/>
            <w:vAlign w:val="bottom"/>
          </w:tcPr>
          <w:p>
            <w:pPr>
              <w:ind w:left="120"/>
              <w:spacing w:after="0" w:line="169" w:lineRule="exact"/>
              <w:rPr>
                <w:sz w:val="20"/>
                <w:szCs w:val="20"/>
                <w:color w:val="auto"/>
              </w:rPr>
            </w:pPr>
            <w:r>
              <w:rPr>
                <w:rFonts w:ascii="Arial" w:cs="Arial" w:eastAsia="Arial" w:hAnsi="Arial"/>
                <w:sz w:val="17"/>
                <w:szCs w:val="17"/>
                <w:color w:val="auto"/>
                <w:w w:val="91"/>
              </w:rPr>
              <w:t>December 31, 2021; 94,394,852 and 118,206,768 issued and outstanding as of September 30, 2022, and December 31,</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380" w:type="dxa"/>
            <w:vAlign w:val="bottom"/>
          </w:tcPr>
          <w:p>
            <w:pPr>
              <w:ind w:left="120"/>
              <w:spacing w:after="0"/>
              <w:rPr>
                <w:sz w:val="20"/>
                <w:szCs w:val="20"/>
                <w:color w:val="auto"/>
              </w:rPr>
            </w:pPr>
            <w:r>
              <w:rPr>
                <w:rFonts w:ascii="Arial" w:cs="Arial" w:eastAsia="Arial" w:hAnsi="Arial"/>
                <w:sz w:val="17"/>
                <w:szCs w:val="17"/>
                <w:color w:val="auto"/>
              </w:rPr>
              <w:t>2021, respectively</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2,280,697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2,154,187</w:t>
            </w:r>
          </w:p>
        </w:tc>
        <w:tc>
          <w:tcPr>
            <w:tcW w:w="0" w:type="dxa"/>
            <w:vAlign w:val="bottom"/>
          </w:tcPr>
          <w:p>
            <w:pPr>
              <w:spacing w:after="0"/>
              <w:rPr>
                <w:sz w:val="1"/>
                <w:szCs w:val="1"/>
                <w:color w:val="auto"/>
              </w:rPr>
            </w:pPr>
          </w:p>
        </w:tc>
      </w:tr>
      <w:tr>
        <w:trPr>
          <w:trHeight w:val="221"/>
        </w:trPr>
        <w:tc>
          <w:tcPr>
            <w:tcW w:w="8380" w:type="dxa"/>
            <w:vAlign w:val="bottom"/>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(10,760)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(1,934)</w:t>
            </w: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(1,871,536)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(1,616,738)</w:t>
            </w:r>
          </w:p>
        </w:tc>
        <w:tc>
          <w:tcPr>
            <w:tcW w:w="0" w:type="dxa"/>
            <w:vAlign w:val="bottom"/>
          </w:tcPr>
          <w:p>
            <w:pPr>
              <w:spacing w:after="0"/>
              <w:rPr>
                <w:sz w:val="1"/>
                <w:szCs w:val="1"/>
                <w:color w:val="auto"/>
              </w:rPr>
            </w:pPr>
          </w:p>
        </w:tc>
      </w:tr>
      <w:tr>
        <w:trPr>
          <w:trHeight w:val="208"/>
        </w:trPr>
        <w:tc>
          <w:tcPr>
            <w:tcW w:w="8380" w:type="dxa"/>
            <w:vAlign w:val="bottom"/>
          </w:tcPr>
          <w:p>
            <w:pPr>
              <w:ind w:left="120"/>
              <w:spacing w:after="0" w:line="208" w:lineRule="exact"/>
              <w:rPr>
                <w:sz w:val="20"/>
                <w:szCs w:val="20"/>
                <w:color w:val="auto"/>
              </w:rPr>
            </w:pPr>
            <w:r>
              <w:rPr>
                <w:rFonts w:ascii="Arial" w:cs="Arial" w:eastAsia="Arial" w:hAnsi="Arial"/>
                <w:sz w:val="17"/>
                <w:szCs w:val="17"/>
                <w:color w:val="auto"/>
                <w:w w:val="93"/>
              </w:rPr>
              <w:t>Less: Treasury stock, at cost; 2,041,948 and 14,730 shares held as of September 30, 2022</w:t>
            </w:r>
            <w:r>
              <w:rPr>
                <w:rFonts w:ascii="Arial" w:cs="Arial" w:eastAsia="Arial" w:hAnsi="Arial"/>
                <w:sz w:val="20"/>
                <w:szCs w:val="20"/>
                <w:color w:val="auto"/>
                <w:w w:val="93"/>
              </w:rPr>
              <w:t>,</w:t>
            </w:r>
            <w:r>
              <w:rPr>
                <w:rFonts w:ascii="Arial" w:cs="Arial" w:eastAsia="Arial" w:hAnsi="Arial"/>
                <w:sz w:val="17"/>
                <w:szCs w:val="17"/>
                <w:color w:val="auto"/>
                <w:w w:val="93"/>
              </w:rPr>
              <w:t xml:space="preserve"> and December 31, 2021,</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respectively</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Clover stockholders' equity</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535,414</w:t>
            </w:r>
          </w:p>
        </w:tc>
        <w:tc>
          <w:tcPr>
            <w:tcW w:w="0" w:type="dxa"/>
            <w:vAlign w:val="bottom"/>
          </w:tcPr>
          <w:p>
            <w:pPr>
              <w:spacing w:after="0"/>
              <w:rPr>
                <w:sz w:val="1"/>
                <w:szCs w:val="1"/>
                <w:color w:val="auto"/>
              </w:rPr>
            </w:pPr>
          </w:p>
        </w:tc>
      </w:tr>
      <w:tr>
        <w:trPr>
          <w:trHeight w:val="221"/>
        </w:trPr>
        <w:tc>
          <w:tcPr>
            <w:tcW w:w="838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14"/>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391,980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539,317</w:t>
            </w:r>
          </w:p>
        </w:tc>
        <w:tc>
          <w:tcPr>
            <w:tcW w:w="0" w:type="dxa"/>
            <w:vAlign w:val="bottom"/>
          </w:tcPr>
          <w:p>
            <w:pPr>
              <w:spacing w:after="0"/>
              <w:rPr>
                <w:sz w:val="1"/>
                <w:szCs w:val="1"/>
                <w:color w:val="auto"/>
              </w:rPr>
            </w:pPr>
          </w:p>
        </w:tc>
      </w:tr>
      <w:tr>
        <w:trPr>
          <w:trHeight w:val="214"/>
        </w:trPr>
        <w:tc>
          <w:tcPr>
            <w:tcW w:w="8380" w:type="dxa"/>
            <w:vAlign w:val="bottom"/>
          </w:tcPr>
          <w:p>
            <w:pPr>
              <w:ind w:left="44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1,557,679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950,804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231F20"/>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 xml:space="preserve">CONDENSED CONSOLIDATED STATEMENTS OF OPERATIONS AND COMPREHENSIVE LOSS </w:t>
      </w:r>
      <w:r>
        <w:rPr>
          <w:rFonts w:ascii="Arial" w:cs="Arial" w:eastAsia="Arial" w:hAnsi="Arial"/>
          <w:sz w:val="13"/>
          <w:szCs w:val="13"/>
          <w:color w:val="231F20"/>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and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2"/>
              </w:rPr>
              <w:t>Three Months Ended</w:t>
            </w:r>
          </w:p>
        </w:tc>
        <w:tc>
          <w:tcPr>
            <w:tcW w:w="200" w:type="dxa"/>
            <w:vAlign w:val="bottom"/>
          </w:tcPr>
          <w:p>
            <w:pPr>
              <w:spacing w:after="0"/>
              <w:rPr>
                <w:sz w:val="16"/>
                <w:szCs w:val="16"/>
                <w:color w:val="auto"/>
              </w:rPr>
            </w:pPr>
          </w:p>
        </w:tc>
        <w:tc>
          <w:tcPr>
            <w:tcW w:w="2380" w:type="dxa"/>
            <w:vAlign w:val="bottom"/>
            <w:gridSpan w:val="4"/>
          </w:tcPr>
          <w:p>
            <w:pPr>
              <w:jc w:val="right"/>
              <w:ind w:right="453"/>
              <w:spacing w:after="0"/>
              <w:rPr>
                <w:sz w:val="20"/>
                <w:szCs w:val="20"/>
                <w:color w:val="auto"/>
              </w:rPr>
            </w:pPr>
            <w:r>
              <w:rPr>
                <w:rFonts w:ascii="Arial" w:cs="Arial" w:eastAsia="Arial" w:hAnsi="Arial"/>
                <w:sz w:val="17"/>
                <w:szCs w:val="17"/>
                <w:b w:val="1"/>
                <w:bCs w:val="1"/>
                <w:color w:val="auto"/>
              </w:rPr>
              <w:t>Nine Months Ended</w:t>
            </w:r>
          </w:p>
        </w:tc>
      </w:tr>
      <w:tr>
        <w:trPr>
          <w:trHeight w:val="230"/>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September 30,</w:t>
            </w:r>
          </w:p>
        </w:tc>
        <w:tc>
          <w:tcPr>
            <w:tcW w:w="200" w:type="dxa"/>
            <w:vAlign w:val="bottom"/>
          </w:tcPr>
          <w:p>
            <w:pPr>
              <w:spacing w:after="0"/>
              <w:rPr>
                <w:sz w:val="19"/>
                <w:szCs w:val="19"/>
                <w:color w:val="auto"/>
              </w:rPr>
            </w:pPr>
          </w:p>
        </w:tc>
        <w:tc>
          <w:tcPr>
            <w:tcW w:w="2380" w:type="dxa"/>
            <w:vAlign w:val="bottom"/>
            <w:gridSpan w:val="4"/>
          </w:tcPr>
          <w:p>
            <w:pPr>
              <w:jc w:val="right"/>
              <w:ind w:right="673"/>
              <w:spacing w:after="0"/>
              <w:rPr>
                <w:sz w:val="20"/>
                <w:szCs w:val="20"/>
                <w:color w:val="auto"/>
              </w:rPr>
            </w:pPr>
            <w:r>
              <w:rPr>
                <w:rFonts w:ascii="Arial" w:cs="Arial" w:eastAsia="Arial" w:hAnsi="Arial"/>
                <w:sz w:val="17"/>
                <w:szCs w:val="17"/>
                <w:b w:val="1"/>
                <w:bCs w:val="1"/>
                <w:color w:val="auto"/>
              </w:rPr>
              <w:t>September 30,</w:t>
            </w:r>
          </w:p>
        </w:tc>
      </w:tr>
      <w:tr>
        <w:trPr>
          <w:trHeight w:val="217"/>
        </w:trPr>
        <w:tc>
          <w:tcPr>
            <w:tcW w:w="59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r>
      <w:tr>
        <w:trPr>
          <w:trHeight w:val="20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1"/>
        </w:trPr>
        <w:tc>
          <w:tcPr>
            <w:tcW w:w="5980" w:type="dxa"/>
            <w:vAlign w:val="bottom"/>
          </w:tcPr>
          <w:p>
            <w:pPr>
              <w:ind w:left="20"/>
              <w:spacing w:after="0"/>
              <w:rPr>
                <w:sz w:val="20"/>
                <w:szCs w:val="20"/>
                <w:color w:val="auto"/>
              </w:rPr>
            </w:pPr>
            <w:r>
              <w:rPr>
                <w:rFonts w:ascii="Arial" w:cs="Arial" w:eastAsia="Arial" w:hAnsi="Arial"/>
                <w:sz w:val="17"/>
                <w:szCs w:val="17"/>
                <w:color w:val="auto"/>
                <w:w w:val="91"/>
              </w:rPr>
              <w:t>Premiums earned, net (Net of ceded premiums of $116 and $120 for the three months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8"/>
        </w:trPr>
        <w:tc>
          <w:tcPr>
            <w:tcW w:w="5980" w:type="dxa"/>
            <w:vAlign w:val="bottom"/>
          </w:tcPr>
          <w:p>
            <w:pPr>
              <w:ind w:left="20"/>
              <w:spacing w:after="0"/>
              <w:rPr>
                <w:sz w:val="20"/>
                <w:szCs w:val="20"/>
                <w:color w:val="auto"/>
              </w:rPr>
            </w:pPr>
            <w:r>
              <w:rPr>
                <w:rFonts w:ascii="Arial" w:cs="Arial" w:eastAsia="Arial" w:hAnsi="Arial"/>
                <w:sz w:val="17"/>
                <w:szCs w:val="17"/>
                <w:color w:val="auto"/>
                <w:w w:val="95"/>
              </w:rPr>
              <w:t>ended September 30, 2022 and 2021, respectively; net of ceded premiums of $354</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6"/>
        </w:trPr>
        <w:tc>
          <w:tcPr>
            <w:tcW w:w="5980" w:type="dxa"/>
            <w:vAlign w:val="bottom"/>
          </w:tcPr>
          <w:p>
            <w:pPr>
              <w:ind w:left="20"/>
              <w:spacing w:after="0"/>
              <w:rPr>
                <w:sz w:val="20"/>
                <w:szCs w:val="20"/>
                <w:color w:val="auto"/>
              </w:rPr>
            </w:pPr>
            <w:r>
              <w:rPr>
                <w:rFonts w:ascii="Arial" w:cs="Arial" w:eastAsia="Arial" w:hAnsi="Arial"/>
                <w:sz w:val="17"/>
                <w:szCs w:val="17"/>
                <w:color w:val="auto"/>
                <w:w w:val="96"/>
              </w:rPr>
              <w:t>and $370 for the nine months ended September 30, 2022 and 2021, respectively)</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267,892</w:t>
            </w:r>
          </w:p>
        </w:tc>
        <w:tc>
          <w:tcPr>
            <w:tcW w:w="8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203,657</w:t>
            </w:r>
          </w:p>
        </w:tc>
        <w:tc>
          <w:tcPr>
            <w:tcW w:w="8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814,566</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598,390</w:t>
            </w:r>
          </w:p>
        </w:tc>
      </w:tr>
      <w:tr>
        <w:trPr>
          <w:trHeight w:val="221"/>
        </w:trPr>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Non-Insurance revenue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439,020</w:t>
            </w:r>
          </w:p>
        </w:tc>
      </w:tr>
      <w:tr>
        <w:trPr>
          <w:trHeight w:val="221"/>
        </w:trPr>
        <w:tc>
          <w:tcPr>
            <w:tcW w:w="59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w:t>
            </w:r>
          </w:p>
        </w:tc>
      </w:tr>
      <w:tr>
        <w:trPr>
          <w:trHeight w:val="214"/>
        </w:trPr>
        <w:tc>
          <w:tcPr>
            <w:tcW w:w="5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856,817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427,163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2,577,896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1,039,960</w:t>
            </w:r>
          </w:p>
        </w:tc>
      </w:tr>
      <w:tr>
        <w:trPr>
          <w:trHeight w:val="240"/>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1"/>
        </w:trPr>
        <w:tc>
          <w:tcPr>
            <w:tcW w:w="5980" w:type="dxa"/>
            <w:vAlign w:val="bottom"/>
          </w:tcPr>
          <w:p>
            <w:pPr>
              <w:ind w:left="120"/>
              <w:spacing w:after="0"/>
              <w:rPr>
                <w:sz w:val="20"/>
                <w:szCs w:val="20"/>
                <w:color w:val="auto"/>
              </w:rPr>
            </w:pPr>
            <w:r>
              <w:rPr>
                <w:rFonts w:ascii="Arial" w:cs="Arial" w:eastAsia="Arial" w:hAnsi="Arial"/>
                <w:sz w:val="17"/>
                <w:szCs w:val="17"/>
                <w:color w:val="auto"/>
              </w:rPr>
              <w:t>Net medical claims incurred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839,799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436,325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2,560,307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1,109,248</w:t>
            </w:r>
          </w:p>
        </w:tc>
      </w:tr>
      <w:tr>
        <w:trPr>
          <w:trHeight w:val="221"/>
        </w:trPr>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Salaries and benefits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201,555</w:t>
            </w:r>
          </w:p>
        </w:tc>
      </w:tr>
      <w:tr>
        <w:trPr>
          <w:trHeight w:val="221"/>
        </w:trPr>
        <w:tc>
          <w:tcPr>
            <w:tcW w:w="5980" w:type="dxa"/>
            <w:vAlign w:val="bottom"/>
          </w:tcPr>
          <w:p>
            <w:pPr>
              <w:ind w:left="1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47,832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45,846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152,569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130,110</w:t>
            </w:r>
          </w:p>
        </w:tc>
      </w:tr>
      <w:tr>
        <w:trPr>
          <w:trHeight w:val="221"/>
        </w:trPr>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Premium deficiency reserve (benefit) expense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48,661</w:t>
            </w:r>
          </w:p>
        </w:tc>
      </w:tr>
      <w:tr>
        <w:trPr>
          <w:trHeight w:val="221"/>
        </w:trPr>
        <w:tc>
          <w:tcPr>
            <w:tcW w:w="598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21"/>
        </w:trPr>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expense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14"/>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930,732</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576,416</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2,841,657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1,490,163</w:t>
            </w:r>
          </w:p>
        </w:tc>
      </w:tr>
      <w:tr>
        <w:trPr>
          <w:trHeight w:val="214"/>
        </w:trPr>
        <w:tc>
          <w:tcPr>
            <w:tcW w:w="5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(450,203)</w:t>
            </w:r>
          </w:p>
        </w:tc>
      </w:tr>
      <w:tr>
        <w:trPr>
          <w:trHeight w:val="260"/>
        </w:trPr>
        <w:tc>
          <w:tcPr>
            <w:tcW w:w="5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warrants payable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(66,146)</w:t>
            </w:r>
          </w:p>
        </w:tc>
      </w:tr>
      <w:tr>
        <w:trPr>
          <w:trHeight w:val="221"/>
        </w:trPr>
        <w:tc>
          <w:tcPr>
            <w:tcW w:w="59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2,790</w:t>
            </w:r>
          </w:p>
        </w:tc>
      </w:tr>
      <w:tr>
        <w:trPr>
          <w:trHeight w:val="2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notes and securities discounts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13,708</w:t>
            </w:r>
          </w:p>
        </w:tc>
      </w:tr>
      <w:tr>
        <w:trPr>
          <w:trHeight w:val="221"/>
        </w:trPr>
        <w:tc>
          <w:tcPr>
            <w:tcW w:w="5980" w:type="dxa"/>
            <w:vAlign w:val="bottom"/>
          </w:tcPr>
          <w:p>
            <w:pPr>
              <w:ind w:left="20"/>
              <w:spacing w:after="0"/>
              <w:rPr>
                <w:sz w:val="20"/>
                <w:szCs w:val="20"/>
                <w:color w:val="auto"/>
              </w:rPr>
            </w:pPr>
            <w:r>
              <w:rPr>
                <w:rFonts w:ascii="Arial" w:cs="Arial" w:eastAsia="Arial" w:hAnsi="Arial"/>
                <w:sz w:val="17"/>
                <w:szCs w:val="17"/>
                <w:color w:val="auto"/>
              </w:rPr>
              <w:t>Loss (gain) on investment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59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Net loss</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(400,555)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 data:</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9"/>
        </w:trPr>
        <w:tc>
          <w:tcPr>
            <w:tcW w:w="5980" w:type="dxa"/>
            <w:vAlign w:val="bottom"/>
          </w:tcPr>
          <w:p>
            <w:pPr>
              <w:ind w:left="20"/>
              <w:spacing w:after="0" w:line="169" w:lineRule="exact"/>
              <w:rPr>
                <w:sz w:val="20"/>
                <w:szCs w:val="20"/>
                <w:color w:val="auto"/>
              </w:rPr>
            </w:pPr>
            <w:r>
              <w:rPr>
                <w:rFonts w:ascii="Arial" w:cs="Arial" w:eastAsia="Arial" w:hAnsi="Arial"/>
                <w:sz w:val="17"/>
                <w:szCs w:val="17"/>
                <w:color w:val="auto"/>
                <w:w w:val="93"/>
              </w:rPr>
              <w:t>Net loss per share attributable to Class A and Class B common stockholders – basic</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4"/>
        </w:trPr>
        <w:tc>
          <w:tcPr>
            <w:tcW w:w="5980" w:type="dxa"/>
            <w:vAlign w:val="bottom"/>
          </w:tcPr>
          <w:p>
            <w:pPr>
              <w:ind w:left="20"/>
              <w:spacing w:after="0" w:line="233" w:lineRule="exact"/>
              <w:rPr>
                <w:sz w:val="20"/>
                <w:szCs w:val="20"/>
                <w:color w:val="auto"/>
              </w:rPr>
            </w:pPr>
            <w:r>
              <w:rPr>
                <w:rFonts w:ascii="Arial" w:cs="Arial" w:eastAsia="Arial" w:hAnsi="Arial"/>
                <w:sz w:val="17"/>
                <w:szCs w:val="17"/>
                <w:color w:val="auto"/>
              </w:rPr>
              <w:t xml:space="preserve">and diluted </w:t>
            </w:r>
            <w:r>
              <w:rPr>
                <w:rFonts w:ascii="Arial" w:cs="Arial" w:eastAsia="Arial" w:hAnsi="Arial"/>
                <w:sz w:val="22"/>
                <w:szCs w:val="22"/>
                <w:color w:val="auto"/>
                <w:vertAlign w:val="superscript"/>
              </w:rPr>
              <w:t>(1)</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(0.16)</w:t>
            </w:r>
          </w:p>
        </w:tc>
        <w:tc>
          <w:tcPr>
            <w:tcW w:w="8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(0.08)</w:t>
            </w:r>
          </w:p>
        </w:tc>
        <w:tc>
          <w:tcPr>
            <w:tcW w:w="8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number of common shares outstanding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5980" w:type="dxa"/>
            <w:vAlign w:val="bottom"/>
          </w:tcPr>
          <w:p>
            <w:pPr>
              <w:ind w:left="20"/>
              <w:spacing w:after="0"/>
              <w:rPr>
                <w:sz w:val="20"/>
                <w:szCs w:val="20"/>
                <w:color w:val="auto"/>
              </w:rPr>
            </w:pPr>
            <w:r>
              <w:rPr>
                <w:rFonts w:ascii="Arial" w:cs="Arial" w:eastAsia="Arial" w:hAnsi="Arial"/>
                <w:sz w:val="17"/>
                <w:szCs w:val="17"/>
                <w:color w:val="auto"/>
                <w:w w:val="93"/>
              </w:rPr>
              <w:t>Basic and diluted weighted average number of Class A and Class B common shares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5980" w:type="dxa"/>
            <w:vAlign w:val="bottom"/>
          </w:tcPr>
          <w:p>
            <w:pPr>
              <w:ind w:left="20"/>
              <w:spacing w:after="0"/>
              <w:rPr>
                <w:sz w:val="20"/>
                <w:szCs w:val="20"/>
                <w:color w:val="auto"/>
              </w:rPr>
            </w:pPr>
            <w:r>
              <w:rPr>
                <w:rFonts w:ascii="Arial" w:cs="Arial" w:eastAsia="Arial" w:hAnsi="Arial"/>
                <w:sz w:val="17"/>
                <w:szCs w:val="17"/>
                <w:color w:val="auto"/>
              </w:rPr>
              <w:t xml:space="preserve">and common share equivalents outstanding </w:t>
            </w:r>
            <w:r>
              <w:rPr>
                <w:rFonts w:ascii="Arial" w:cs="Arial" w:eastAsia="Arial" w:hAnsi="Arial"/>
                <w:sz w:val="22"/>
                <w:szCs w:val="22"/>
                <w:color w:val="auto"/>
                <w:vertAlign w:val="superscript"/>
              </w:rPr>
              <w:t>(1)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477,690,204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414,572,706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475,609,571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410,417,493</w:t>
            </w:r>
          </w:p>
        </w:tc>
      </w:tr>
      <w:tr>
        <w:trPr>
          <w:trHeight w:val="260"/>
        </w:trPr>
        <w:tc>
          <w:tcPr>
            <w:tcW w:w="59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14"/>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Net unrealized loss on available-for-sale investments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w:t>
            </w:r>
          </w:p>
        </w:tc>
      </w:tr>
      <w:tr>
        <w:trPr>
          <w:trHeight w:val="239"/>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Comprehensive loss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(77,715)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(263,624)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(401,175)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-4820920</wp:posOffset>
            </wp:positionV>
            <wp:extent cx="57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43" w:lineRule="exact"/>
        <w:rPr>
          <w:sz w:val="20"/>
          <w:szCs w:val="20"/>
          <w:color w:val="auto"/>
        </w:rPr>
      </w:pPr>
    </w:p>
    <w:p>
      <w:pPr>
        <w:ind w:left="160" w:hanging="156"/>
        <w:spacing w:after="0" w:line="412" w:lineRule="auto"/>
        <w:tabs>
          <w:tab w:leader="none" w:pos="146" w:val="left"/>
        </w:tabs>
        <w:numPr>
          <w:ilvl w:val="0"/>
          <w:numId w:val="4"/>
        </w:numPr>
        <w:rPr>
          <w:rFonts w:ascii="Arial" w:cs="Arial" w:eastAsia="Arial" w:hAnsi="Arial"/>
          <w:sz w:val="8"/>
          <w:szCs w:val="8"/>
          <w:color w:val="auto"/>
        </w:rPr>
      </w:pPr>
      <w:r>
        <w:rPr>
          <w:rFonts w:ascii="Arial" w:cs="Arial" w:eastAsia="Arial" w:hAnsi="Arial"/>
          <w:sz w:val="11"/>
          <w:szCs w:val="11"/>
          <w:color w:val="auto"/>
        </w:rPr>
        <w:t>Because the Company had a net loss during the three and nine months ended September 30, 2022 and 2021,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 w:name="page8"/>
    <w:bookmarkEnd w:id="7"/>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CLOVER HEALTH INVESTMENTS, CORP.</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231F20"/>
        </w:rPr>
        <w:t xml:space="preserve">CONDENSED </w:t>
      </w:r>
      <w:r>
        <w:rPr>
          <w:rFonts w:ascii="Arial" w:cs="Arial" w:eastAsia="Arial" w:hAnsi="Arial"/>
          <w:sz w:val="16"/>
          <w:szCs w:val="16"/>
          <w:color w:val="000000"/>
        </w:rPr>
        <w:t>CONSOLIDATED STATEMENTS OF CHANGES IN CONVERTIBLE PREFERRED STOCK AND STOCKHOLDERS' EQUITY</w:t>
      </w:r>
      <w:r>
        <w:rPr>
          <w:rFonts w:ascii="Arial" w:cs="Arial" w:eastAsia="Arial" w:hAnsi="Arial"/>
          <w:sz w:val="16"/>
          <w:szCs w:val="16"/>
          <w:color w:val="231F20"/>
        </w:rPr>
        <w:t xml:space="preserve"> </w:t>
      </w:r>
      <w:r>
        <w:rPr>
          <w:rFonts w:ascii="Arial" w:cs="Arial" w:eastAsia="Arial" w:hAnsi="Arial"/>
          <w:sz w:val="12"/>
          <w:szCs w:val="12"/>
          <w:color w:val="000000"/>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1"/>
          </w:tcPr>
          <w:p>
            <w:pPr>
              <w:ind w:left="200"/>
              <w:spacing w:after="0"/>
              <w:rPr>
                <w:sz w:val="20"/>
                <w:szCs w:val="20"/>
                <w:color w:val="auto"/>
              </w:rPr>
            </w:pPr>
            <w:r>
              <w:rPr>
                <w:rFonts w:ascii="Arial" w:cs="Arial" w:eastAsia="Arial" w:hAnsi="Arial"/>
                <w:sz w:val="14"/>
                <w:szCs w:val="14"/>
                <w:color w:val="auto"/>
                <w:w w:val="88"/>
              </w:rPr>
              <w:t>(Dollars in thousands, except share amounts)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restart"/>
          </w:tcPr>
          <w:p>
            <w:pPr>
              <w:jc w:val="center"/>
              <w:ind w:right="60"/>
              <w:spacing w:after="0" w:line="156" w:lineRule="exact"/>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center"/>
              <w:ind w:right="71"/>
              <w:spacing w:after="0" w:line="15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line="20" w:lineRule="exact"/>
              <w:rPr>
                <w:sz w:val="1"/>
                <w:szCs w:val="1"/>
                <w:color w:val="auto"/>
              </w:rPr>
            </w:pPr>
          </w:p>
        </w:tc>
      </w:tr>
      <w:tr>
        <w:trPr>
          <w:trHeight w:val="130"/>
        </w:trPr>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1600" w:type="dxa"/>
            <w:vAlign w:val="bottom"/>
            <w:tcBorders>
              <w:right w:val="single" w:sz="8" w:color="auto"/>
            </w:tcBorders>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Convertible Preferred</w:t>
            </w:r>
          </w:p>
        </w:tc>
        <w:tc>
          <w:tcPr>
            <w:tcW w:w="60" w:type="dxa"/>
            <w:vAlign w:val="bottom"/>
          </w:tcPr>
          <w:p>
            <w:pPr>
              <w:spacing w:after="0"/>
              <w:rPr>
                <w:sz w:val="12"/>
                <w:szCs w:val="12"/>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Class A Common</w:t>
            </w:r>
          </w:p>
        </w:tc>
        <w:tc>
          <w:tcPr>
            <w:tcW w:w="15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B Common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1"/>
              </w:rPr>
              <w:t>other</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8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1600" w:type="dxa"/>
            <w:vAlign w:val="bottom"/>
            <w:tcBorders>
              <w:right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2"/>
              </w:rPr>
              <w:t>Treasury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3"/>
            <w:vMerge w:val="continue"/>
          </w:tcPr>
          <w:p>
            <w:pPr>
              <w:spacing w:after="0"/>
              <w:rPr>
                <w:sz w:val="12"/>
                <w:szCs w:val="12"/>
                <w:color w:val="auto"/>
              </w:rPr>
            </w:pPr>
          </w:p>
        </w:tc>
        <w:tc>
          <w:tcPr>
            <w:tcW w:w="10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3"/>
              </w:rPr>
              <w:t>comprehensive</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1"/>
              <w:spacing w:after="0" w:line="143"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92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4"/>
                <w:szCs w:val="14"/>
                <w:b w:val="1"/>
                <w:bCs w:val="1"/>
                <w:color w:val="auto"/>
                <w:w w:val="81"/>
              </w:rPr>
              <w:t>stock</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 xml:space="preserve">Stock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 xml:space="preserve">Stock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0"/>
              </w:rPr>
              <w:t>(deficit)</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92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December 31,</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139,444,346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85"/>
              </w:rPr>
              <w:t>$447,747</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89,206,266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411,867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(1,028,982)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(613,193)</w:t>
            </w: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w w:val="99"/>
              </w:rPr>
              <w:t>Stock issuance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w w:val="97"/>
              </w:rPr>
              <w:t>for exercise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stock options,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exercise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761,480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Stock-based</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42,713</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rPr>
              <w:t>Unrealized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holdings loss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w w:val="98"/>
              </w:rPr>
              <w:t>on investment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securities,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available-for-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sale</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Preferred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(139,444,346)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139,444,346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rPr>
              <w:t>Issuance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w w:val="95"/>
              </w:rPr>
              <w:t>common stock</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related to</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exercises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legacy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warrants</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7,205,490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97,781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97,782</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Convertible debt</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w w:val="90"/>
              </w:rPr>
              <w:t>conversion 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87"/>
              </w:rPr>
              <w:t>other issuances</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75,084,703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16,059</w:t>
            </w: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rPr>
              <w:t>Issuance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w w:val="95"/>
              </w:rPr>
              <w:t>common stock</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in connection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with Business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Combination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and PIPE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offering</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89"/>
              </w:rPr>
              <w:t>146,373,904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8"/>
              </w:rPr>
              <w:t>(49,975,104)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666,232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666,242</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Conversion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from Class B</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Common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6"/>
              </w:rPr>
              <w:t>Stock to Class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A Common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1,143,863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(1,143,863)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rPr>
              <w:t>Capital</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contribution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for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w w:val="91"/>
              </w:rPr>
              <w:t>extinguishment</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126,795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126,795</w:t>
            </w:r>
          </w:p>
        </w:tc>
        <w:tc>
          <w:tcPr>
            <w:tcW w:w="0" w:type="dxa"/>
            <w:vAlign w:val="bottom"/>
          </w:tcPr>
          <w:p>
            <w:pPr>
              <w:spacing w:after="0"/>
              <w:rPr>
                <w:sz w:val="1"/>
                <w:szCs w:val="1"/>
                <w:color w:val="auto"/>
              </w:rPr>
            </w:pPr>
          </w:p>
        </w:tc>
      </w:tr>
      <w:tr>
        <w:trPr>
          <w:trHeight w:val="185"/>
        </w:trPr>
        <w:tc>
          <w:tcPr>
            <w:tcW w:w="1080" w:type="dxa"/>
            <w:vAlign w:val="bottom"/>
          </w:tcPr>
          <w:p>
            <w:pPr>
              <w:ind w:left="200"/>
              <w:spacing w:after="0"/>
              <w:rPr>
                <w:sz w:val="20"/>
                <w:szCs w:val="20"/>
                <w:color w:val="auto"/>
              </w:rPr>
            </w:pPr>
            <w:r>
              <w:rPr>
                <w:rFonts w:ascii="Arial" w:cs="Arial" w:eastAsia="Arial" w:hAnsi="Arial"/>
                <w:sz w:val="14"/>
                <w:szCs w:val="14"/>
                <w:color w:val="auto"/>
              </w:rPr>
              <w:t>of debt</w:t>
            </w:r>
          </w:p>
        </w:tc>
        <w:tc>
          <w:tcPr>
            <w:tcW w:w="9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Acquisition of</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public 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private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placement</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0"/>
              </w:rPr>
              <w:t>(147,582)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(147,582)</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warrants</w:t>
            </w:r>
          </w:p>
        </w:tc>
        <w:tc>
          <w:tcPr>
            <w:tcW w:w="9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(48,417)</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Balance, March</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148,279,247</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259,821,838</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1,662,873</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(1,077,399)</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588,935</w:t>
            </w: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31, 2021</w:t>
            </w:r>
          </w:p>
        </w:tc>
        <w:tc>
          <w:tcPr>
            <w:tcW w:w="920" w:type="dxa"/>
            <w:vAlign w:val="bottom"/>
            <w:gridSpan w:val="3"/>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vMerge w:val="restart"/>
          </w:tcPr>
          <w:p>
            <w:pPr>
              <w:ind w:left="120"/>
              <w:spacing w:after="0" w:line="116" w:lineRule="exact"/>
              <w:rPr>
                <w:sz w:val="20"/>
                <w:szCs w:val="20"/>
                <w:color w:val="auto"/>
              </w:rPr>
            </w:pPr>
            <w:r>
              <w:rPr>
                <w:rFonts w:ascii="Arial" w:cs="Arial" w:eastAsia="Arial" w:hAnsi="Arial"/>
                <w:sz w:val="13"/>
                <w:szCs w:val="13"/>
                <w:color w:val="auto"/>
              </w:rPr>
              <w:t>Stock issuance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0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w w:val="97"/>
              </w:rPr>
              <w:t>for exercise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stock options,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exercise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204,366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Stock-based</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43,026</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rPr>
              <w:t>Unrealized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holdings gain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w w:val="98"/>
              </w:rPr>
              <w:t>on investment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securities,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available-for-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sale</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Conversion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from Class B</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Common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6"/>
              </w:rPr>
              <w:t>Stock to Class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A Common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77,364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(77,364)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(317,611)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(317,611)</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Balance, June 30,</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148,560,977</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259,744,474</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1,706,334</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(1,395,010)</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314,855</w:t>
            </w: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20" w:type="dxa"/>
            <w:vAlign w:val="bottom"/>
            <w:gridSpan w:val="3"/>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vMerge w:val="restart"/>
          </w:tcPr>
          <w:p>
            <w:pPr>
              <w:ind w:left="120"/>
              <w:spacing w:after="0" w:line="116" w:lineRule="exact"/>
              <w:rPr>
                <w:sz w:val="20"/>
                <w:szCs w:val="20"/>
                <w:color w:val="auto"/>
              </w:rPr>
            </w:pPr>
            <w:r>
              <w:rPr>
                <w:rFonts w:ascii="Arial" w:cs="Arial" w:eastAsia="Arial" w:hAnsi="Arial"/>
                <w:sz w:val="13"/>
                <w:szCs w:val="13"/>
                <w:color w:val="auto"/>
              </w:rPr>
              <w:t>Stock issuance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0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w w:val="97"/>
              </w:rPr>
              <w:t>for exercise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Arial" w:cs="Arial" w:eastAsia="Arial" w:hAnsi="Arial"/>
                <w:sz w:val="14"/>
                <w:szCs w:val="14"/>
                <w:color w:val="auto"/>
              </w:rPr>
              <w:t>stock options,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exercise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2,893,802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Stock-based</w:t>
            </w: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w w:val="89"/>
              </w:rPr>
              <w:t>Vested restricted</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34,888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08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9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Unrealized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holdings loss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w w:val="98"/>
              </w:rPr>
              <w:t>on investment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securities,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available-for-</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sale</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Arial" w:cs="Arial" w:eastAsia="Arial" w:hAnsi="Arial"/>
                <w:sz w:val="14"/>
                <w:szCs w:val="14"/>
                <w:color w:val="auto"/>
              </w:rPr>
              <w:t>Conversion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080" w:type="dxa"/>
            <w:vAlign w:val="bottom"/>
          </w:tcPr>
          <w:p>
            <w:pPr>
              <w:ind w:left="200"/>
              <w:spacing w:after="0" w:line="82" w:lineRule="exact"/>
              <w:rPr>
                <w:sz w:val="20"/>
                <w:szCs w:val="20"/>
                <w:color w:val="auto"/>
              </w:rPr>
            </w:pPr>
            <w:r>
              <w:rPr>
                <w:rFonts w:ascii="Arial" w:cs="Arial" w:eastAsia="Arial" w:hAnsi="Arial"/>
                <w:sz w:val="9"/>
                <w:szCs w:val="9"/>
                <w:color w:val="auto"/>
              </w:rPr>
              <w:t>from Class B</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95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80" w:type="dxa"/>
            <w:vAlign w:val="bottom"/>
          </w:tcPr>
          <w:p>
            <w:pPr>
              <w:ind w:left="200"/>
              <w:spacing w:after="0"/>
              <w:rPr>
                <w:sz w:val="20"/>
                <w:szCs w:val="20"/>
                <w:color w:val="auto"/>
              </w:rPr>
            </w:pPr>
            <w:r>
              <w:rPr>
                <w:rFonts w:ascii="Arial" w:cs="Arial" w:eastAsia="Arial" w:hAnsi="Arial"/>
                <w:sz w:val="14"/>
                <w:szCs w:val="14"/>
                <w:color w:val="auto"/>
              </w:rPr>
              <w:t>Common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0"/>
              <w:spacing w:after="0" w:line="135" w:lineRule="exact"/>
              <w:rPr>
                <w:sz w:val="20"/>
                <w:szCs w:val="20"/>
                <w:color w:val="auto"/>
              </w:rPr>
            </w:pPr>
            <w:r>
              <w:rPr>
                <w:rFonts w:ascii="Arial" w:cs="Arial" w:eastAsia="Arial" w:hAnsi="Arial"/>
                <w:sz w:val="14"/>
                <w:szCs w:val="14"/>
                <w:color w:val="auto"/>
                <w:w w:val="96"/>
              </w:rPr>
              <w:t>Stock to Class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0"/>
              <w:spacing w:after="0" w:line="137" w:lineRule="exact"/>
              <w:rPr>
                <w:sz w:val="20"/>
                <w:szCs w:val="20"/>
                <w:color w:val="auto"/>
              </w:rPr>
            </w:pPr>
            <w:r>
              <w:rPr>
                <w:rFonts w:ascii="Arial" w:cs="Arial" w:eastAsia="Arial" w:hAnsi="Arial"/>
                <w:sz w:val="14"/>
                <w:szCs w:val="14"/>
                <w:color w:val="auto"/>
              </w:rPr>
              <w:t>A Common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0"/>
              <w:spacing w:after="0"/>
              <w:rPr>
                <w:sz w:val="20"/>
                <w:szCs w:val="20"/>
                <w:color w:val="auto"/>
              </w:rPr>
            </w:pPr>
            <w:r>
              <w:rPr>
                <w:rFonts w:ascii="Arial" w:cs="Arial" w:eastAsia="Arial" w:hAnsi="Arial"/>
                <w:sz w:val="14"/>
                <w:szCs w:val="14"/>
                <w:color w:val="auto"/>
              </w:rPr>
              <w:t>Stock</w:t>
            </w: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87"/>
              </w:rPr>
              <w:t>117,425,763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(117,425,763)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(12)</w:t>
            </w: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w w:val="95"/>
              </w:rPr>
              <w:t>common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related to</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exercises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public 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private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placement</w:t>
            </w:r>
          </w:p>
        </w:tc>
        <w:tc>
          <w:tcPr>
            <w:tcW w:w="1140" w:type="dxa"/>
            <w:vAlign w:val="bottom"/>
            <w:gridSpan w:val="3"/>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9,408,264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81,672</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81,673</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warrants</w:t>
            </w:r>
          </w:p>
        </w:tc>
        <w:tc>
          <w:tcPr>
            <w:tcW w:w="1140" w:type="dxa"/>
            <w:vAlign w:val="bottom"/>
            <w:gridSpan w:val="3"/>
            <w:vMerge w:val="continue"/>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8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14,730</w:t>
            </w: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4"/>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(34,527)</w:t>
            </w:r>
          </w:p>
        </w:tc>
        <w:tc>
          <w:tcPr>
            <w:tcW w:w="0" w:type="dxa"/>
            <w:vAlign w:val="bottom"/>
          </w:tcPr>
          <w:p>
            <w:pPr>
              <w:spacing w:after="0"/>
              <w:rPr>
                <w:sz w:val="1"/>
                <w:szCs w:val="1"/>
                <w:color w:val="auto"/>
              </w:rPr>
            </w:pPr>
          </w:p>
        </w:tc>
      </w:tr>
      <w:tr>
        <w:trPr>
          <w:trHeight w:val="110"/>
        </w:trPr>
        <w:tc>
          <w:tcPr>
            <w:tcW w:w="1080" w:type="dxa"/>
            <w:vAlign w:val="bottom"/>
          </w:tcPr>
          <w:p>
            <w:pPr>
              <w:ind w:left="20"/>
              <w:spacing w:after="0" w:line="110" w:lineRule="exact"/>
              <w:rPr>
                <w:sz w:val="20"/>
                <w:szCs w:val="20"/>
                <w:color w:val="auto"/>
              </w:rPr>
            </w:pPr>
            <w:r>
              <w:rPr>
                <w:rFonts w:ascii="Arial" w:cs="Arial" w:eastAsia="Arial" w:hAnsi="Arial"/>
                <w:sz w:val="12"/>
                <w:szCs w:val="12"/>
                <w:color w:val="auto"/>
              </w:rPr>
              <w:t>Balance,</w:t>
            </w: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
              <w:spacing w:after="0" w:line="137" w:lineRule="exact"/>
              <w:rPr>
                <w:sz w:val="20"/>
                <w:szCs w:val="20"/>
                <w:color w:val="auto"/>
              </w:rPr>
            </w:pPr>
            <w:r>
              <w:rPr>
                <w:rFonts w:ascii="Arial" w:cs="Arial" w:eastAsia="Arial" w:hAnsi="Arial"/>
                <w:sz w:val="14"/>
                <w:szCs w:val="14"/>
                <w:color w:val="auto"/>
              </w:rPr>
              <w:t>September 30,</w:t>
            </w:r>
          </w:p>
        </w:tc>
        <w:tc>
          <w:tcPr>
            <w:tcW w:w="1140" w:type="dxa"/>
            <w:vAlign w:val="bottom"/>
            <w:gridSpan w:val="3"/>
            <w:vMerge w:val="restart"/>
          </w:tcPr>
          <w:p>
            <w:pPr>
              <w:ind w:left="620"/>
              <w:spacing w:after="0"/>
              <w:rPr>
                <w:sz w:val="20"/>
                <w:szCs w:val="20"/>
                <w:color w:val="auto"/>
              </w:rPr>
            </w:pPr>
            <w:r>
              <w:rPr>
                <w:rFonts w:ascii="Arial" w:cs="Arial" w:eastAsia="Arial" w:hAnsi="Arial"/>
                <w:sz w:val="14"/>
                <w:szCs w:val="14"/>
                <w:color w:val="auto"/>
              </w:rPr>
              <w:t>—  $</w:t>
            </w:r>
          </w:p>
        </w:tc>
        <w:tc>
          <w:tcPr>
            <w:tcW w:w="4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89"/>
              </w:rPr>
              <w:t>278,308,964</w:t>
            </w:r>
          </w:p>
        </w:tc>
        <w:tc>
          <w:tcPr>
            <w:tcW w:w="80" w:type="dxa"/>
            <w:vAlign w:val="bottom"/>
          </w:tcPr>
          <w:p>
            <w:pPr>
              <w:spacing w:after="0"/>
              <w:rPr>
                <w:sz w:val="11"/>
                <w:szCs w:val="11"/>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5"/>
              </w:rPr>
              <w:t>142,318,711</w:t>
            </w:r>
          </w:p>
        </w:tc>
        <w:tc>
          <w:tcPr>
            <w:tcW w:w="80" w:type="dxa"/>
            <w:vAlign w:val="bottom"/>
          </w:tcPr>
          <w:p>
            <w:pPr>
              <w:spacing w:after="0"/>
              <w:rPr>
                <w:sz w:val="11"/>
                <w:szCs w:val="11"/>
                <w:color w:val="auto"/>
              </w:rPr>
            </w:pP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340" w:type="dxa"/>
            <w:vAlign w:val="bottom"/>
            <w:vMerge w:val="restart"/>
          </w:tcPr>
          <w:p>
            <w:pPr>
              <w:jc w:val="center"/>
              <w:ind w:left="11"/>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8"/>
              </w:rPr>
              <w:t>14,730</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  (147)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$1,838,639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3"/>
              </w:rPr>
              <w:t>$ (1,429,537)</w:t>
            </w:r>
          </w:p>
        </w:tc>
        <w:tc>
          <w:tcPr>
            <w:tcW w:w="80" w:type="dxa"/>
            <w:vAlign w:val="bottom"/>
          </w:tcPr>
          <w:p>
            <w:pPr>
              <w:spacing w:after="0"/>
              <w:rPr>
                <w:sz w:val="11"/>
                <w:szCs w:val="11"/>
                <w:color w:val="auto"/>
              </w:rPr>
            </w:pPr>
          </w:p>
        </w:tc>
        <w:tc>
          <w:tcPr>
            <w:tcW w:w="34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w w:val="91"/>
              </w:rPr>
              <w:t>(610)</w:t>
            </w:r>
          </w:p>
        </w:tc>
        <w:tc>
          <w:tcPr>
            <w:tcW w:w="80" w:type="dxa"/>
            <w:vAlign w:val="bottom"/>
          </w:tcPr>
          <w:p>
            <w:pPr>
              <w:spacing w:after="0"/>
              <w:rPr>
                <w:sz w:val="11"/>
                <w:szCs w:val="11"/>
                <w:color w:val="auto"/>
              </w:rPr>
            </w:pPr>
          </w:p>
        </w:tc>
        <w:tc>
          <w:tcPr>
            <w:tcW w:w="3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200" w:type="dxa"/>
            <w:vAlign w:val="bottom"/>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412,290</w:t>
            </w:r>
          </w:p>
        </w:tc>
        <w:tc>
          <w:tcPr>
            <w:tcW w:w="0" w:type="dxa"/>
            <w:vAlign w:val="bottom"/>
          </w:tcPr>
          <w:p>
            <w:pPr>
              <w:spacing w:after="0"/>
              <w:rPr>
                <w:sz w:val="1"/>
                <w:szCs w:val="1"/>
                <w:color w:val="auto"/>
              </w:rPr>
            </w:pPr>
          </w:p>
        </w:tc>
      </w:tr>
      <w:tr>
        <w:trPr>
          <w:trHeight w:val="194"/>
        </w:trPr>
        <w:tc>
          <w:tcPr>
            <w:tcW w:w="1080" w:type="dxa"/>
            <w:vAlign w:val="bottom"/>
          </w:tcPr>
          <w:p>
            <w:pPr>
              <w:ind w:left="20"/>
              <w:spacing w:after="0"/>
              <w:rPr>
                <w:sz w:val="20"/>
                <w:szCs w:val="20"/>
                <w:color w:val="auto"/>
              </w:rPr>
            </w:pPr>
            <w:r>
              <w:rPr>
                <w:rFonts w:ascii="Arial" w:cs="Arial" w:eastAsia="Arial" w:hAnsi="Arial"/>
                <w:sz w:val="14"/>
                <w:szCs w:val="14"/>
                <w:color w:val="auto"/>
              </w:rPr>
              <w:t>2021</w:t>
            </w:r>
          </w:p>
        </w:tc>
        <w:tc>
          <w:tcPr>
            <w:tcW w:w="1140" w:type="dxa"/>
            <w:vAlign w:val="bottom"/>
            <w:gridSpan w:val="3"/>
            <w:vMerge w:val="continue"/>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900" w:type="dxa"/>
            <w:vAlign w:val="bottom"/>
            <w:gridSpan w:val="3"/>
            <w:vMerge w:val="restart"/>
          </w:tcPr>
          <w:p>
            <w:pPr>
              <w:jc w:val="center"/>
              <w:ind w:left="131"/>
              <w:spacing w:after="0"/>
              <w:rPr>
                <w:sz w:val="20"/>
                <w:szCs w:val="20"/>
                <w:color w:val="auto"/>
              </w:rPr>
            </w:pPr>
            <w:r>
              <w:rPr>
                <w:rFonts w:ascii="Arial" w:cs="Arial" w:eastAsia="Arial" w:hAnsi="Arial"/>
                <w:sz w:val="14"/>
                <w:szCs w:val="14"/>
                <w:b w:val="1"/>
                <w:bCs w:val="1"/>
                <w:color w:val="auto"/>
                <w:w w:val="90"/>
              </w:rPr>
              <w:t>Convertible</w:t>
            </w: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Class B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1"/>
              </w:rPr>
              <w:t>other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Noncontrolling</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240" w:type="dxa"/>
            <w:vAlign w:val="bottom"/>
            <w:gridSpan w:val="4"/>
            <w:vMerge w:val="restart"/>
          </w:tcPr>
          <w:p>
            <w:pPr>
              <w:jc w:val="right"/>
              <w:ind w:right="91"/>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2"/>
                <w:szCs w:val="12"/>
                <w:color w:val="auto"/>
              </w:rPr>
            </w:pPr>
          </w:p>
        </w:tc>
        <w:tc>
          <w:tcPr>
            <w:tcW w:w="8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1"/>
              </w:rPr>
              <w:t>paid-in</w:t>
            </w:r>
          </w:p>
        </w:tc>
        <w:tc>
          <w:tcPr>
            <w:tcW w:w="920" w:type="dxa"/>
            <w:vAlign w:val="bottom"/>
            <w:gridSpan w:val="3"/>
            <w:vMerge w:val="continue"/>
          </w:tcPr>
          <w:p>
            <w:pPr>
              <w:spacing w:after="0"/>
              <w:rPr>
                <w:sz w:val="12"/>
                <w:szCs w:val="12"/>
                <w:color w:val="auto"/>
              </w:rPr>
            </w:pPr>
          </w:p>
        </w:tc>
        <w:tc>
          <w:tcPr>
            <w:tcW w:w="10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3"/>
              </w:rPr>
              <w:t>comprehensive</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1"/>
              <w:spacing w:after="0" w:line="143"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Preferred stock</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 xml:space="preserve">Stock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 xml:space="preserve">Stock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0"/>
              </w:rPr>
              <w:t>(deficit)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1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Balance,</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352,645,626</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7"/>
              </w:rPr>
              <w:t>118,206,768</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14,730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$ 2,154,187</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(1,616,738)</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539,317</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December 31, 2021</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w w:val="90"/>
              </w:rPr>
              <w:t>Stock issuance for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Arial" w:cs="Arial" w:eastAsia="Arial" w:hAnsi="Arial"/>
                <w:sz w:val="14"/>
                <w:szCs w:val="14"/>
                <w:color w:val="auto"/>
                <w:w w:val="93"/>
              </w:rPr>
              <w:t>exercise of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200"/>
              <w:spacing w:after="0" w:line="137" w:lineRule="exact"/>
              <w:rPr>
                <w:sz w:val="20"/>
                <w:szCs w:val="20"/>
                <w:color w:val="auto"/>
              </w:rPr>
            </w:pPr>
            <w:r>
              <w:rPr>
                <w:rFonts w:ascii="Arial" w:cs="Arial" w:eastAsia="Arial" w:hAnsi="Arial"/>
                <w:sz w:val="14"/>
                <w:szCs w:val="14"/>
                <w:color w:val="auto"/>
              </w:rPr>
              <w:t>options, net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00"/>
              <w:spacing w:after="0" w:line="143" w:lineRule="exact"/>
              <w:rPr>
                <w:sz w:val="20"/>
                <w:szCs w:val="20"/>
                <w:color w:val="auto"/>
              </w:rPr>
            </w:pPr>
            <w:r>
              <w:rPr>
                <w:rFonts w:ascii="Arial" w:cs="Arial" w:eastAsia="Arial" w:hAnsi="Arial"/>
                <w:sz w:val="14"/>
                <w:szCs w:val="14"/>
                <w:color w:val="auto"/>
              </w:rPr>
              <w:t>early exercise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151,620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1"/>
        </w:trPr>
        <w:tc>
          <w:tcPr>
            <w:tcW w:w="120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Stock-based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40,640</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w w:val="98"/>
              </w:rPr>
              <w:t>Vested restricted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2,275,946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1,677,873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20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Vested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performance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restricted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units</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Unrealized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Arial" w:cs="Arial" w:eastAsia="Arial" w:hAnsi="Arial"/>
                <w:sz w:val="14"/>
                <w:szCs w:val="14"/>
                <w:color w:val="auto"/>
                <w:w w:val="97"/>
              </w:rPr>
              <w:t>holdings loss 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200"/>
              <w:spacing w:after="0" w:line="137" w:lineRule="exact"/>
              <w:rPr>
                <w:sz w:val="20"/>
                <w:szCs w:val="20"/>
                <w:color w:val="auto"/>
              </w:rPr>
            </w:pPr>
            <w:r>
              <w:rPr>
                <w:rFonts w:ascii="Arial" w:cs="Arial" w:eastAsia="Arial" w:hAnsi="Arial"/>
                <w:sz w:val="14"/>
                <w:szCs w:val="14"/>
                <w:color w:val="auto"/>
              </w:rPr>
              <w:t>investment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Arial" w:cs="Arial" w:eastAsia="Arial" w:hAnsi="Arial"/>
                <w:sz w:val="14"/>
                <w:szCs w:val="14"/>
                <w:color w:val="auto"/>
              </w:rPr>
              <w:t>securities,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gridSpan w:val="3"/>
          </w:tcPr>
          <w:p>
            <w:pPr>
              <w:ind w:left="200"/>
              <w:spacing w:after="0"/>
              <w:rPr>
                <w:sz w:val="20"/>
                <w:szCs w:val="20"/>
                <w:color w:val="auto"/>
              </w:rPr>
            </w:pPr>
            <w:r>
              <w:rPr>
                <w:rFonts w:ascii="Arial" w:cs="Arial" w:eastAsia="Arial" w:hAnsi="Arial"/>
                <w:sz w:val="14"/>
                <w:szCs w:val="14"/>
                <w:color w:val="auto"/>
                <w:w w:val="99"/>
              </w:rPr>
              <w:t>available-for-sale—</w:t>
            </w:r>
          </w:p>
        </w:tc>
        <w:tc>
          <w:tcPr>
            <w:tcW w:w="320" w:type="dxa"/>
            <w:vAlign w:val="bottom"/>
          </w:tcPr>
          <w:p>
            <w:pPr>
              <w:spacing w:after="0"/>
              <w:rPr>
                <w:sz w:val="16"/>
                <w:szCs w:val="16"/>
                <w:color w:val="auto"/>
              </w:rPr>
            </w:pPr>
          </w:p>
        </w:tc>
        <w:tc>
          <w:tcPr>
            <w:tcW w:w="3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Conversion from</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Class A</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to Class B</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25,436,433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(25,436,433)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Treasury stock</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(1,879,063)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86"/>
              </w:rPr>
              <w:t>1,879,063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0"/>
              </w:rPr>
              <w:t>(5,939)</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81"/>
        </w:trPr>
        <w:tc>
          <w:tcPr>
            <w:tcW w:w="1200" w:type="dxa"/>
            <w:vAlign w:val="bottom"/>
          </w:tcPr>
          <w:p>
            <w:pPr>
              <w:ind w:left="140"/>
              <w:spacing w:after="0"/>
              <w:rPr>
                <w:sz w:val="20"/>
                <w:szCs w:val="20"/>
                <w:color w:val="auto"/>
              </w:rPr>
            </w:pPr>
            <w:r>
              <w:rPr>
                <w:rFonts w:ascii="Arial" w:cs="Arial" w:eastAsia="Arial" w:hAnsi="Arial"/>
                <w:sz w:val="14"/>
                <w:szCs w:val="14"/>
                <w:color w:val="auto"/>
              </w:rPr>
              <w:t>acquired</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140"/>
              <w:spacing w:after="0" w:line="137" w:lineRule="exact"/>
              <w:rPr>
                <w:sz w:val="20"/>
                <w:szCs w:val="20"/>
                <w:color w:val="auto"/>
              </w:rPr>
            </w:pPr>
            <w:r>
              <w:rPr>
                <w:rFonts w:ascii="Arial" w:cs="Arial" w:eastAsia="Arial" w:hAnsi="Arial"/>
                <w:sz w:val="14"/>
                <w:szCs w:val="14"/>
                <w:color w:val="auto"/>
              </w:rPr>
              <w:t>under Employee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Stock Purchase</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214,797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Derecognition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140"/>
              <w:spacing w:after="0" w:line="135" w:lineRule="exact"/>
              <w:rPr>
                <w:sz w:val="20"/>
                <w:szCs w:val="20"/>
                <w:color w:val="auto"/>
              </w:rPr>
            </w:pPr>
            <w:r>
              <w:rPr>
                <w:rFonts w:ascii="Arial" w:cs="Arial" w:eastAsia="Arial" w:hAnsi="Arial"/>
                <w:sz w:val="14"/>
                <w:szCs w:val="14"/>
                <w:color w:val="auto"/>
              </w:rPr>
              <w:t>noncontrolling</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85"/>
        </w:trPr>
        <w:tc>
          <w:tcPr>
            <w:tcW w:w="1200" w:type="dxa"/>
            <w:vAlign w:val="bottom"/>
          </w:tcPr>
          <w:p>
            <w:pPr>
              <w:ind w:left="140"/>
              <w:spacing w:after="0"/>
              <w:rPr>
                <w:sz w:val="20"/>
                <w:szCs w:val="20"/>
                <w:color w:val="auto"/>
              </w:rPr>
            </w:pPr>
            <w:r>
              <w:rPr>
                <w:rFonts w:ascii="Arial" w:cs="Arial" w:eastAsia="Arial" w:hAnsi="Arial"/>
                <w:sz w:val="14"/>
                <w:szCs w:val="14"/>
                <w:color w:val="auto"/>
              </w:rPr>
              <w:t>interest</w:t>
            </w:r>
          </w:p>
        </w:tc>
        <w:tc>
          <w:tcPr>
            <w:tcW w:w="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(75,309)</w:t>
            </w:r>
          </w:p>
        </w:tc>
        <w:tc>
          <w:tcPr>
            <w:tcW w:w="0" w:type="dxa"/>
            <w:vAlign w:val="bottom"/>
          </w:tcPr>
          <w:p>
            <w:pPr>
              <w:spacing w:after="0"/>
              <w:rPr>
                <w:sz w:val="1"/>
                <w:szCs w:val="1"/>
                <w:color w:val="auto"/>
              </w:rPr>
            </w:pPr>
          </w:p>
        </w:tc>
      </w:tr>
      <w:tr>
        <w:trPr>
          <w:trHeight w:val="117"/>
        </w:trPr>
        <w:tc>
          <w:tcPr>
            <w:tcW w:w="1200" w:type="dxa"/>
            <w:vAlign w:val="bottom"/>
          </w:tcPr>
          <w:p>
            <w:pPr>
              <w:ind w:left="20"/>
              <w:spacing w:after="0" w:line="118" w:lineRule="exact"/>
              <w:rPr>
                <w:sz w:val="20"/>
                <w:szCs w:val="20"/>
                <w:color w:val="auto"/>
              </w:rPr>
            </w:pPr>
            <w:r>
              <w:rPr>
                <w:rFonts w:ascii="Arial" w:cs="Arial" w:eastAsia="Arial" w:hAnsi="Arial"/>
                <w:sz w:val="13"/>
                <w:szCs w:val="13"/>
                <w:color w:val="auto"/>
              </w:rPr>
              <w:t>Balance, March 31,</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378,854,310</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94,448,208</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86"/>
              </w:rPr>
              <w:t>1,893,793</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0"/>
              </w:rPr>
              <w:t>(6,086)</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86"/>
              </w:rPr>
              <w:t>$ 2,195,158</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2"/>
              </w:rPr>
              <w:t>(1,692,047)</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(7,258)</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489,813</w:t>
            </w:r>
          </w:p>
        </w:tc>
        <w:tc>
          <w:tcPr>
            <w:tcW w:w="0" w:type="dxa"/>
            <w:vAlign w:val="bottom"/>
          </w:tcPr>
          <w:p>
            <w:pPr>
              <w:spacing w:after="0"/>
              <w:rPr>
                <w:sz w:val="1"/>
                <w:szCs w:val="1"/>
                <w:color w:val="auto"/>
              </w:rPr>
            </w:pPr>
          </w:p>
        </w:tc>
      </w:tr>
      <w:tr>
        <w:trPr>
          <w:trHeight w:val="161"/>
        </w:trPr>
        <w:tc>
          <w:tcPr>
            <w:tcW w:w="1200" w:type="dxa"/>
            <w:vAlign w:val="bottom"/>
          </w:tcPr>
          <w:p>
            <w:pPr>
              <w:ind w:left="20"/>
              <w:spacing w:after="0"/>
              <w:rPr>
                <w:sz w:val="20"/>
                <w:szCs w:val="20"/>
                <w:color w:val="auto"/>
              </w:rPr>
            </w:pPr>
            <w:r>
              <w:rPr>
                <w:rFonts w:ascii="Arial" w:cs="Arial" w:eastAsia="Arial" w:hAnsi="Arial"/>
                <w:sz w:val="14"/>
                <w:szCs w:val="14"/>
                <w:color w:val="auto"/>
              </w:rPr>
              <w:t>2022</w:t>
            </w:r>
          </w:p>
        </w:tc>
        <w:tc>
          <w:tcPr>
            <w:tcW w:w="5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200" w:type="dxa"/>
            <w:vAlign w:val="bottom"/>
            <w:shd w:val="clear" w:color="auto" w:fill="CCEEFF"/>
          </w:tcPr>
          <w:p>
            <w:pPr>
              <w:ind w:left="140"/>
              <w:spacing w:after="0" w:line="104" w:lineRule="exact"/>
              <w:rPr>
                <w:sz w:val="20"/>
                <w:szCs w:val="20"/>
                <w:color w:val="auto"/>
              </w:rPr>
            </w:pPr>
            <w:r>
              <w:rPr>
                <w:rFonts w:ascii="Arial" w:cs="Arial" w:eastAsia="Arial" w:hAnsi="Arial"/>
                <w:sz w:val="10"/>
                <w:szCs w:val="10"/>
                <w:color w:val="auto"/>
              </w:rPr>
              <w:t>Stock issuance for</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3"/>
              </w:rPr>
              <w:t>exercise of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options, net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early exercise</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4,016,336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liability</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41,927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41,927</w:t>
            </w:r>
          </w:p>
        </w:tc>
        <w:tc>
          <w:tcPr>
            <w:tcW w:w="0" w:type="dxa"/>
            <w:vAlign w:val="bottom"/>
          </w:tcPr>
          <w:p>
            <w:pPr>
              <w:spacing w:after="0"/>
              <w:rPr>
                <w:sz w:val="1"/>
                <w:szCs w:val="1"/>
                <w:color w:val="auto"/>
              </w:rPr>
            </w:pPr>
          </w:p>
        </w:tc>
      </w:tr>
      <w:tr>
        <w:trPr>
          <w:trHeight w:val="181"/>
        </w:trPr>
        <w:tc>
          <w:tcPr>
            <w:tcW w:w="12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8"/>
              </w:rPr>
              <w:t>Vested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122,672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Treasury stock</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(37,744)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37,744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1"/>
        </w:trPr>
        <w:tc>
          <w:tcPr>
            <w:tcW w:w="1200" w:type="dxa"/>
            <w:vAlign w:val="bottom"/>
          </w:tcPr>
          <w:p>
            <w:pPr>
              <w:ind w:left="200"/>
              <w:spacing w:after="0"/>
              <w:rPr>
                <w:sz w:val="20"/>
                <w:szCs w:val="20"/>
                <w:color w:val="auto"/>
              </w:rPr>
            </w:pPr>
            <w:r>
              <w:rPr>
                <w:rFonts w:ascii="Arial" w:cs="Arial" w:eastAsia="Arial" w:hAnsi="Arial"/>
                <w:sz w:val="14"/>
                <w:szCs w:val="14"/>
                <w:color w:val="auto"/>
              </w:rPr>
              <w:t>acquired</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Unrealized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6"/>
              </w:rPr>
              <w:t>holdings gain 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investment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securities,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9"/>
              </w:rPr>
              <w:t>available-for-sale—</w:t>
            </w: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Conversion from</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Arial" w:cs="Arial" w:eastAsia="Arial" w:hAnsi="Arial"/>
                <w:sz w:val="14"/>
                <w:szCs w:val="14"/>
                <w:color w:val="auto"/>
              </w:rPr>
              <w:t>Class A</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200"/>
              <w:spacing w:after="0" w:line="137" w:lineRule="exact"/>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00"/>
              <w:spacing w:after="0" w:line="143" w:lineRule="exact"/>
              <w:rPr>
                <w:sz w:val="20"/>
                <w:szCs w:val="20"/>
                <w:color w:val="auto"/>
              </w:rPr>
            </w:pPr>
            <w:r>
              <w:rPr>
                <w:rFonts w:ascii="Arial" w:cs="Arial" w:eastAsia="Arial" w:hAnsi="Arial"/>
                <w:sz w:val="14"/>
                <w:szCs w:val="14"/>
                <w:color w:val="auto"/>
              </w:rPr>
              <w:t>to Class B</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53,040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(53,040)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20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(104,181)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(104,181)</w:t>
            </w:r>
          </w:p>
        </w:tc>
        <w:tc>
          <w:tcPr>
            <w:tcW w:w="0" w:type="dxa"/>
            <w:vAlign w:val="bottom"/>
          </w:tcPr>
          <w:p>
            <w:pPr>
              <w:spacing w:after="0"/>
              <w:rPr>
                <w:sz w:val="1"/>
                <w:szCs w:val="1"/>
                <w:color w:val="auto"/>
              </w:rPr>
            </w:pPr>
          </w:p>
        </w:tc>
      </w:tr>
      <w:tr>
        <w:trPr>
          <w:trHeight w:val="117"/>
        </w:trPr>
        <w:tc>
          <w:tcPr>
            <w:tcW w:w="1200" w:type="dxa"/>
            <w:vAlign w:val="bottom"/>
          </w:tcPr>
          <w:p>
            <w:pPr>
              <w:ind w:left="20"/>
              <w:spacing w:after="0" w:line="118" w:lineRule="exact"/>
              <w:rPr>
                <w:sz w:val="20"/>
                <w:szCs w:val="20"/>
                <w:color w:val="auto"/>
              </w:rPr>
            </w:pPr>
            <w:r>
              <w:rPr>
                <w:rFonts w:ascii="Arial" w:cs="Arial" w:eastAsia="Arial" w:hAnsi="Arial"/>
                <w:sz w:val="13"/>
                <w:szCs w:val="13"/>
                <w:color w:val="auto"/>
              </w:rPr>
              <w:t>Balance, June 30,</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383,008,614</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94,395,168</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86"/>
              </w:rPr>
              <w:t>1,931,537</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0"/>
              </w:rPr>
              <w:t>(6,191)</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86"/>
              </w:rPr>
              <w:t>$ 2,237,648</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2"/>
              </w:rPr>
              <w:t>(1,796,228)</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(8,353)</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426,922</w:t>
            </w:r>
          </w:p>
        </w:tc>
        <w:tc>
          <w:tcPr>
            <w:tcW w:w="0" w:type="dxa"/>
            <w:vAlign w:val="bottom"/>
          </w:tcPr>
          <w:p>
            <w:pPr>
              <w:spacing w:after="0"/>
              <w:rPr>
                <w:sz w:val="1"/>
                <w:szCs w:val="1"/>
                <w:color w:val="auto"/>
              </w:rPr>
            </w:pPr>
          </w:p>
        </w:tc>
      </w:tr>
      <w:tr>
        <w:trPr>
          <w:trHeight w:val="161"/>
        </w:trPr>
        <w:tc>
          <w:tcPr>
            <w:tcW w:w="1200" w:type="dxa"/>
            <w:vAlign w:val="bottom"/>
          </w:tcPr>
          <w:p>
            <w:pPr>
              <w:ind w:left="20"/>
              <w:spacing w:after="0"/>
              <w:rPr>
                <w:sz w:val="20"/>
                <w:szCs w:val="20"/>
                <w:color w:val="auto"/>
              </w:rPr>
            </w:pPr>
            <w:r>
              <w:rPr>
                <w:rFonts w:ascii="Arial" w:cs="Arial" w:eastAsia="Arial" w:hAnsi="Arial"/>
                <w:sz w:val="14"/>
                <w:szCs w:val="14"/>
                <w:color w:val="auto"/>
              </w:rPr>
              <w:t>2022</w:t>
            </w:r>
          </w:p>
        </w:tc>
        <w:tc>
          <w:tcPr>
            <w:tcW w:w="5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200" w:type="dxa"/>
            <w:vAlign w:val="bottom"/>
            <w:shd w:val="clear" w:color="auto" w:fill="CCEEFF"/>
          </w:tcPr>
          <w:p>
            <w:pPr>
              <w:ind w:left="140"/>
              <w:spacing w:after="0" w:line="104" w:lineRule="exact"/>
              <w:rPr>
                <w:sz w:val="20"/>
                <w:szCs w:val="20"/>
                <w:color w:val="auto"/>
              </w:rPr>
            </w:pPr>
            <w:r>
              <w:rPr>
                <w:rFonts w:ascii="Arial" w:cs="Arial" w:eastAsia="Arial" w:hAnsi="Arial"/>
                <w:sz w:val="10"/>
                <w:szCs w:val="10"/>
                <w:color w:val="auto"/>
              </w:rPr>
              <w:t>Stock issuance for</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3"/>
              </w:rPr>
              <w:t>exercise of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options, net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early exercise</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190,052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liability</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42,641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42,641</w:t>
            </w:r>
          </w:p>
        </w:tc>
        <w:tc>
          <w:tcPr>
            <w:tcW w:w="0" w:type="dxa"/>
            <w:vAlign w:val="bottom"/>
          </w:tcPr>
          <w:p>
            <w:pPr>
              <w:spacing w:after="0"/>
              <w:rPr>
                <w:sz w:val="1"/>
                <w:szCs w:val="1"/>
                <w:color w:val="auto"/>
              </w:rPr>
            </w:pPr>
          </w:p>
        </w:tc>
      </w:tr>
      <w:tr>
        <w:trPr>
          <w:trHeight w:val="181"/>
        </w:trPr>
        <w:tc>
          <w:tcPr>
            <w:tcW w:w="12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8"/>
              </w:rPr>
              <w:t>Vested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438,063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units</w:t>
            </w:r>
          </w:p>
        </w:tc>
        <w:tc>
          <w:tcPr>
            <w:tcW w:w="5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Treasury stock</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(110,411)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110,411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1"/>
        </w:trPr>
        <w:tc>
          <w:tcPr>
            <w:tcW w:w="1200" w:type="dxa"/>
            <w:vAlign w:val="bottom"/>
          </w:tcPr>
          <w:p>
            <w:pPr>
              <w:ind w:left="200"/>
              <w:spacing w:after="0"/>
              <w:rPr>
                <w:sz w:val="20"/>
                <w:szCs w:val="20"/>
                <w:color w:val="auto"/>
              </w:rPr>
            </w:pPr>
            <w:r>
              <w:rPr>
                <w:rFonts w:ascii="Arial" w:cs="Arial" w:eastAsia="Arial" w:hAnsi="Arial"/>
                <w:sz w:val="14"/>
                <w:szCs w:val="14"/>
                <w:color w:val="auto"/>
              </w:rPr>
              <w:t>acquired</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Unrealized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6"/>
              </w:rPr>
              <w:t>holdings gain 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investment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securities,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9"/>
              </w:rPr>
              <w:t>available-for-sale—</w:t>
            </w:r>
          </w:p>
        </w:tc>
        <w:tc>
          <w:tcPr>
            <w:tcW w:w="320" w:type="dxa"/>
            <w:vAlign w:val="bottom"/>
            <w:shd w:val="clear" w:color="auto" w:fill="CCEEFF"/>
          </w:tcPr>
          <w:p>
            <w:pPr>
              <w:spacing w:after="0"/>
              <w:rPr>
                <w:sz w:val="16"/>
                <w:szCs w:val="16"/>
                <w:color w:val="auto"/>
              </w:rPr>
            </w:pPr>
          </w:p>
        </w:tc>
        <w:tc>
          <w:tcPr>
            <w:tcW w:w="3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37"/>
        </w:trPr>
        <w:tc>
          <w:tcPr>
            <w:tcW w:w="1200" w:type="dxa"/>
            <w:vAlign w:val="bottom"/>
          </w:tcPr>
          <w:p>
            <w:pPr>
              <w:ind w:left="140"/>
              <w:spacing w:after="0" w:line="137" w:lineRule="exact"/>
              <w:rPr>
                <w:sz w:val="20"/>
                <w:szCs w:val="20"/>
                <w:color w:val="auto"/>
              </w:rPr>
            </w:pPr>
            <w:r>
              <w:rPr>
                <w:rFonts w:ascii="Arial" w:cs="Arial" w:eastAsia="Arial" w:hAnsi="Arial"/>
                <w:sz w:val="14"/>
                <w:szCs w:val="14"/>
                <w:color w:val="auto"/>
              </w:rPr>
              <w:t>Conversion from</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Arial" w:cs="Arial" w:eastAsia="Arial" w:hAnsi="Arial"/>
                <w:sz w:val="14"/>
                <w:szCs w:val="14"/>
                <w:color w:val="auto"/>
              </w:rPr>
              <w:t>Class A</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200"/>
              <w:spacing w:after="0" w:line="137" w:lineRule="exact"/>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00"/>
              <w:spacing w:after="0" w:line="143" w:lineRule="exact"/>
              <w:rPr>
                <w:sz w:val="20"/>
                <w:szCs w:val="20"/>
                <w:color w:val="auto"/>
              </w:rPr>
            </w:pPr>
            <w:r>
              <w:rPr>
                <w:rFonts w:ascii="Arial" w:cs="Arial" w:eastAsia="Arial" w:hAnsi="Arial"/>
                <w:sz w:val="14"/>
                <w:szCs w:val="14"/>
                <w:color w:val="auto"/>
              </w:rPr>
              <w:t>to Class B</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20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(75,308)</w:t>
            </w:r>
          </w:p>
        </w:tc>
        <w:tc>
          <w:tcPr>
            <w:tcW w:w="0" w:type="dxa"/>
            <w:vAlign w:val="bottom"/>
          </w:tcPr>
          <w:p>
            <w:pPr>
              <w:spacing w:after="0"/>
              <w:rPr>
                <w:sz w:val="1"/>
                <w:szCs w:val="1"/>
                <w:color w:val="auto"/>
              </w:rPr>
            </w:pPr>
          </w:p>
        </w:tc>
      </w:tr>
      <w:tr>
        <w:trPr>
          <w:trHeight w:val="117"/>
        </w:trPr>
        <w:tc>
          <w:tcPr>
            <w:tcW w:w="1200" w:type="dxa"/>
            <w:vAlign w:val="bottom"/>
          </w:tcPr>
          <w:p>
            <w:pPr>
              <w:ind w:left="20"/>
              <w:spacing w:after="0" w:line="118" w:lineRule="exact"/>
              <w:rPr>
                <w:sz w:val="20"/>
                <w:szCs w:val="20"/>
                <w:color w:val="auto"/>
              </w:rPr>
            </w:pPr>
            <w:r>
              <w:rPr>
                <w:rFonts w:ascii="Arial" w:cs="Arial" w:eastAsia="Arial" w:hAnsi="Arial"/>
                <w:sz w:val="13"/>
                <w:szCs w:val="13"/>
                <w:color w:val="auto"/>
              </w:rPr>
              <w:t>Balance,</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383,526,634</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94,394,852</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86"/>
              </w:rPr>
              <w:t>2,041,948</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0"/>
              </w:rPr>
              <w:t>(6,467)</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86"/>
              </w:rPr>
              <w:t>$ 2,280,697</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2"/>
              </w:rPr>
              <w:t>(1,871,536)</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(10,760)</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391,980</w:t>
            </w:r>
          </w:p>
        </w:tc>
        <w:tc>
          <w:tcPr>
            <w:tcW w:w="0" w:type="dxa"/>
            <w:vAlign w:val="bottom"/>
          </w:tcPr>
          <w:p>
            <w:pPr>
              <w:spacing w:after="0"/>
              <w:rPr>
                <w:sz w:val="1"/>
                <w:szCs w:val="1"/>
                <w:color w:val="auto"/>
              </w:rPr>
            </w:pP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w w:val="91"/>
              </w:rPr>
              <w:t>September 30, 2022</w:t>
            </w:r>
          </w:p>
        </w:tc>
        <w:tc>
          <w:tcPr>
            <w:tcW w:w="5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80" w:right="2880" w:hanging="2740"/>
        <w:spacing w:after="0" w:line="744" w:lineRule="auto"/>
        <w:tabs>
          <w:tab w:leader="none" w:pos="268" w:val="left"/>
        </w:tabs>
        <w:numPr>
          <w:ilvl w:val="0"/>
          <w:numId w:val="5"/>
        </w:numPr>
        <w:rPr>
          <w:rFonts w:ascii="Arial" w:cs="Arial" w:eastAsia="Arial" w:hAnsi="Arial"/>
          <w:sz w:val="15"/>
          <w:szCs w:val="15"/>
          <w:color w:val="auto"/>
          <w:vertAlign w:val="superscript"/>
        </w:rPr>
      </w:pPr>
      <w:r>
        <w:rPr>
          <w:rFonts w:ascii="Arial" w:cs="Arial" w:eastAsia="Arial" w:hAnsi="Arial"/>
          <w:sz w:val="11"/>
          <w:szCs w:val="11"/>
          <w:color w:val="auto"/>
        </w:rPr>
        <w:t>The presentation of Common Stock has been updated to separately disclose the changes in Class A and Class B common stock in all periods. The accompanying notes are an integral part of these condensed consolidated financial statements.</w:t>
      </w:r>
    </w:p>
    <w:p>
      <w:pPr>
        <w:sectPr>
          <w:pgSz w:w="11900" w:h="16838" w:orient="portrait"/>
          <w:cols w:equalWidth="0" w:num="1">
            <w:col w:w="11200"/>
          </w:cols>
          <w:pgMar w:left="340" w:top="761" w:right="359" w:bottom="20" w:gutter="0" w:footer="0" w:header="0"/>
        </w:sectPr>
      </w:pP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40" w:top="761" w:right="359" w:bottom="2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CLOVER HEALTH INVESTMENTS, CORP.</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231F20"/>
        </w:rPr>
        <w:t xml:space="preserve">CONDENSED </w:t>
      </w:r>
      <w:r>
        <w:rPr>
          <w:rFonts w:ascii="Arial" w:cs="Arial" w:eastAsia="Arial" w:hAnsi="Arial"/>
          <w:sz w:val="16"/>
          <w:szCs w:val="16"/>
          <w:color w:val="000000"/>
        </w:rPr>
        <w:t>CONSOLIDATED STATEMENTS OF CASH FLOWS</w:t>
      </w:r>
      <w:r>
        <w:rPr>
          <w:rFonts w:ascii="Arial" w:cs="Arial" w:eastAsia="Arial" w:hAnsi="Arial"/>
          <w:sz w:val="16"/>
          <w:szCs w:val="16"/>
          <w:color w:val="231F20"/>
        </w:rPr>
        <w:t xml:space="preserve"> </w:t>
      </w:r>
      <w:r>
        <w:rPr>
          <w:rFonts w:ascii="Arial" w:cs="Arial" w:eastAsia="Arial" w:hAnsi="Arial"/>
          <w:sz w:val="13"/>
          <w:szCs w:val="13"/>
          <w:color w:val="000000"/>
        </w:rPr>
        <w:t>(Unaudited)</w:t>
      </w:r>
    </w:p>
    <w:p>
      <w:pPr>
        <w:jc w:val="center"/>
        <w:ind w:right="20"/>
        <w:spacing w:after="0"/>
        <w:rPr>
          <w:sz w:val="20"/>
          <w:szCs w:val="20"/>
          <w:color w:val="auto"/>
        </w:rPr>
      </w:pPr>
      <w:r>
        <w:rPr>
          <w:rFonts w:ascii="Arial" w:cs="Arial" w:eastAsia="Arial" w:hAnsi="Arial"/>
          <w:sz w:val="14"/>
          <w:szCs w:val="14"/>
          <w:color w:val="auto"/>
        </w:rPr>
        <w:t>(Dollars in thousands)</w:t>
      </w:r>
    </w:p>
    <w:p>
      <w:pPr>
        <w:spacing w:after="0" w:line="29" w:lineRule="exact"/>
        <w:rPr>
          <w:sz w:val="20"/>
          <w:szCs w:val="20"/>
          <w:color w:val="auto"/>
        </w:rPr>
      </w:pPr>
    </w:p>
    <w:p>
      <w:pPr>
        <w:jc w:val="center"/>
        <w:ind w:left="8320"/>
        <w:spacing w:after="0"/>
        <w:rPr>
          <w:sz w:val="20"/>
          <w:szCs w:val="20"/>
          <w:color w:val="auto"/>
        </w:rPr>
      </w:pPr>
      <w:r>
        <w:rPr>
          <w:rFonts w:ascii="Arial" w:cs="Arial" w:eastAsia="Arial" w:hAnsi="Arial"/>
          <w:sz w:val="16"/>
          <w:szCs w:val="16"/>
          <w:b w:val="1"/>
          <w:bCs w:val="1"/>
          <w:color w:val="auto"/>
        </w:rPr>
        <w:t>Nine Months Ended</w:t>
      </w:r>
    </w:p>
    <w:p>
      <w:pPr>
        <w:jc w:val="center"/>
        <w:ind w:left="8320"/>
        <w:spacing w:after="0"/>
        <w:rPr>
          <w:sz w:val="20"/>
          <w:szCs w:val="20"/>
          <w:color w:val="auto"/>
        </w:rPr>
      </w:pPr>
      <w:r>
        <w:rPr>
          <w:rFonts w:ascii="Arial" w:cs="Arial" w:eastAsia="Arial" w:hAnsi="Arial"/>
          <w:sz w:val="16"/>
          <w:szCs w:val="16"/>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r>
      <w:tr>
        <w:trPr>
          <w:trHeight w:val="19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5"/>
        </w:trPr>
        <w:tc>
          <w:tcPr>
            <w:tcW w:w="832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(254,798)</w:t>
            </w:r>
          </w:p>
        </w:tc>
        <w:tc>
          <w:tcPr>
            <w:tcW w:w="6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(400,555)</w:t>
            </w: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2,028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398</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notes and securities discounts and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13,708</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125,211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132,542</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warrants payable and amortization of warrants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(66,146)</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Accretion, net of amortization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142</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realized losses on investment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Gain on investment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(10,187)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 deficiency reserve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48,661</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Accrued retrospective premiums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21,029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4,645</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(8,803)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(9,759)</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Surety bonds and 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(13,165)</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(8,407)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(4,347)</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Healthcare receivables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(10,844)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4,089</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2,636</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Unpaid claims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1,013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36,465</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9,606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1,386</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Accrued salaries and benefits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4,489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9,458</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96,358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1,013</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Performance year obligation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33,057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23,861</w:t>
            </w:r>
          </w:p>
        </w:tc>
      </w:tr>
      <w:tr>
        <w:trPr>
          <w:trHeight w:val="205"/>
        </w:trPr>
        <w:tc>
          <w:tcPr>
            <w:tcW w:w="8320" w:type="dxa"/>
            <w:vAlign w:val="bottom"/>
          </w:tcPr>
          <w:p>
            <w:pPr>
              <w:ind w:left="540"/>
              <w:spacing w:after="0"/>
              <w:rPr>
                <w:sz w:val="20"/>
                <w:szCs w:val="20"/>
                <w:color w:val="auto"/>
              </w:rPr>
            </w:pPr>
            <w:r>
              <w:rPr>
                <w:rFonts w:ascii="Arial" w:cs="Arial" w:eastAsia="Arial" w:hAnsi="Arial"/>
                <w:sz w:val="16"/>
                <w:szCs w:val="16"/>
                <w:color w:val="auto"/>
              </w:rPr>
              <w:t>Non-Insurance payable</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109,359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26,233</w:t>
            </w:r>
          </w:p>
        </w:tc>
      </w:tr>
      <w:tr>
        <w:trPr>
          <w:trHeight w:val="211"/>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w:t>
            </w:r>
          </w:p>
        </w:tc>
      </w:tr>
      <w:tr>
        <w:trPr>
          <w:trHeight w:val="198"/>
        </w:trPr>
        <w:tc>
          <w:tcPr>
            <w:tcW w:w="8320" w:type="dxa"/>
            <w:vAlign w:val="bottom"/>
            <w:tcBorders>
              <w:bottom w:val="single" w:sz="8" w:color="CCEEFF"/>
            </w:tcBorders>
          </w:tcPr>
          <w:p>
            <w:pPr>
              <w:ind w:left="640"/>
              <w:spacing w:after="0" w:line="182" w:lineRule="exact"/>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5,442</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(202,150)</w:t>
            </w:r>
          </w:p>
        </w:tc>
      </w:tr>
      <w:tr>
        <w:trPr>
          <w:trHeight w:val="19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 short-term investments, available-for-sale, and held-to-maturity securities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(276,848)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(705,598)</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sales of short-term investments and available-for-sale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9,710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126,862</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Proceeds from maturities of short-term investments, available-for-sale, and held-to-maturity securities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350,455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250,265</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of Character Biosciences, Inc. Series A preferred shares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82,477</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(328,956)</w:t>
            </w:r>
          </w:p>
        </w:tc>
      </w:tr>
      <w:tr>
        <w:trPr>
          <w:trHeight w:val="185"/>
        </w:trPr>
        <w:tc>
          <w:tcPr>
            <w:tcW w:w="8320" w:type="dxa"/>
            <w:vAlign w:val="bottom"/>
          </w:tcPr>
          <w:p>
            <w:pPr>
              <w:ind w:left="20"/>
              <w:spacing w:after="0" w:line="182"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notes payable principal</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(30,925)</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Issuance of common stock, net of early exercise liability</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1,302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5,547</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reverse recapitalization, net of transaction costs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666,242</w:t>
            </w:r>
          </w:p>
        </w:tc>
      </w:tr>
      <w:tr>
        <w:trPr>
          <w:trHeight w:val="205"/>
        </w:trPr>
        <w:tc>
          <w:tcPr>
            <w:tcW w:w="8320" w:type="dxa"/>
            <w:vAlign w:val="bottom"/>
          </w:tcPr>
          <w:p>
            <w:pPr>
              <w:ind w:left="360"/>
              <w:spacing w:after="0"/>
              <w:rPr>
                <w:sz w:val="20"/>
                <w:szCs w:val="20"/>
                <w:color w:val="auto"/>
              </w:rPr>
            </w:pPr>
            <w:r>
              <w:rPr>
                <w:rFonts w:ascii="Arial" w:cs="Arial" w:eastAsia="Arial" w:hAnsi="Arial"/>
                <w:sz w:val="16"/>
                <w:szCs w:val="16"/>
                <w:color w:val="auto"/>
              </w:rPr>
              <w:t>Proceeds received for the exercise of public and private warrants</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390</w:t>
            </w:r>
          </w:p>
        </w:tc>
      </w:tr>
      <w:tr>
        <w:trPr>
          <w:trHeight w:val="211"/>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for the redemptions of public warrants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Treasury stock acquired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04"/>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641,022</w:t>
            </w:r>
          </w:p>
        </w:tc>
      </w:tr>
      <w:tr>
        <w:trPr>
          <w:trHeight w:val="198"/>
        </w:trPr>
        <w:tc>
          <w:tcPr>
            <w:tcW w:w="8320" w:type="dxa"/>
            <w:vAlign w:val="bottom"/>
          </w:tcPr>
          <w:p>
            <w:pPr>
              <w:ind w:left="20"/>
              <w:spacing w:after="0" w:line="182" w:lineRule="exact"/>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82,901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109,916</w:t>
            </w: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299,968</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92,348</w:t>
            </w:r>
          </w:p>
        </w:tc>
      </w:tr>
      <w:tr>
        <w:trPr>
          <w:trHeight w:val="198"/>
        </w:trPr>
        <w:tc>
          <w:tcPr>
            <w:tcW w:w="8320" w:type="dxa"/>
            <w:vAlign w:val="bottom"/>
          </w:tcPr>
          <w:p>
            <w:pPr>
              <w:ind w:left="20"/>
              <w:spacing w:after="0" w:line="182" w:lineRule="exact"/>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382,869</w:t>
            </w:r>
          </w:p>
        </w:tc>
        <w:tc>
          <w:tcPr>
            <w:tcW w:w="6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202,264</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83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cash flow disclosures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5"/>
        </w:trPr>
        <w:tc>
          <w:tcPr>
            <w:tcW w:w="832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year receivable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(585,901)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(220,738)</w:t>
            </w:r>
          </w:p>
        </w:tc>
      </w:tr>
      <w:tr>
        <w:trPr>
          <w:trHeight w:val="205"/>
        </w:trPr>
        <w:tc>
          <w:tcPr>
            <w:tcW w:w="8320" w:type="dxa"/>
            <w:vAlign w:val="bottom"/>
          </w:tcPr>
          <w:p>
            <w:pPr>
              <w:ind w:left="180"/>
              <w:spacing w:after="0"/>
              <w:rPr>
                <w:sz w:val="20"/>
                <w:szCs w:val="20"/>
                <w:color w:val="auto"/>
              </w:rPr>
            </w:pPr>
            <w:r>
              <w:rPr>
                <w:rFonts w:ascii="Arial" w:cs="Arial" w:eastAsia="Arial" w:hAnsi="Arial"/>
                <w:sz w:val="16"/>
                <w:szCs w:val="16"/>
                <w:color w:val="auto"/>
              </w:rPr>
              <w:t>Performance year obligation</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585,901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220,738</w:t>
            </w: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Conversion of preferred stock to common stock</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447,747</w:t>
            </w:r>
          </w:p>
        </w:tc>
      </w:tr>
      <w:tr>
        <w:trPr>
          <w:trHeight w:val="205"/>
        </w:trPr>
        <w:tc>
          <w:tcPr>
            <w:tcW w:w="8320" w:type="dxa"/>
            <w:vAlign w:val="bottom"/>
          </w:tcPr>
          <w:p>
            <w:pPr>
              <w:ind w:left="180"/>
              <w:spacing w:after="0"/>
              <w:rPr>
                <w:sz w:val="20"/>
                <w:szCs w:val="20"/>
                <w:color w:val="auto"/>
              </w:rPr>
            </w:pPr>
            <w:r>
              <w:rPr>
                <w:rFonts w:ascii="Arial" w:cs="Arial" w:eastAsia="Arial" w:hAnsi="Arial"/>
                <w:sz w:val="16"/>
                <w:szCs w:val="16"/>
                <w:color w:val="auto"/>
              </w:rPr>
              <w:t>Issuance of common stock related to convertible debt</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16,059</w:t>
            </w: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contribution for extinguishment of debt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126,795</w:t>
            </w:r>
          </w:p>
        </w:tc>
      </w:tr>
      <w:tr>
        <w:trPr>
          <w:trHeight w:val="205"/>
        </w:trPr>
        <w:tc>
          <w:tcPr>
            <w:tcW w:w="8320" w:type="dxa"/>
            <w:vAlign w:val="bottom"/>
          </w:tcPr>
          <w:p>
            <w:pPr>
              <w:ind w:left="180"/>
              <w:spacing w:after="0"/>
              <w:rPr>
                <w:sz w:val="20"/>
                <w:szCs w:val="20"/>
                <w:color w:val="auto"/>
              </w:rPr>
            </w:pPr>
            <w:r>
              <w:rPr>
                <w:rFonts w:ascii="Arial" w:cs="Arial" w:eastAsia="Arial" w:hAnsi="Arial"/>
                <w:sz w:val="16"/>
                <w:szCs w:val="16"/>
                <w:color w:val="auto"/>
              </w:rPr>
              <w:t>Issuance of common stock related to warrants exercised</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97,782</w:t>
            </w: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public and private warrants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147,582</w:t>
            </w:r>
          </w:p>
        </w:tc>
      </w:tr>
      <w:tr>
        <w:trPr>
          <w:trHeight w:val="205"/>
        </w:trPr>
        <w:tc>
          <w:tcPr>
            <w:tcW w:w="832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for lease liabilities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642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582</w:t>
            </w: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Recognition of equity method investments and preferred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8,644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5"/>
        </w:trPr>
        <w:tc>
          <w:tcPr>
            <w:tcW w:w="8320" w:type="dxa"/>
            <w:vAlign w:val="bottom"/>
          </w:tcPr>
          <w:p>
            <w:pPr>
              <w:ind w:left="180"/>
              <w:spacing w:after="0"/>
              <w:rPr>
                <w:sz w:val="20"/>
                <w:szCs w:val="20"/>
                <w:color w:val="auto"/>
              </w:rPr>
            </w:pPr>
            <w:r>
              <w:rPr>
                <w:rFonts w:ascii="Arial" w:cs="Arial" w:eastAsia="Arial" w:hAnsi="Arial"/>
                <w:sz w:val="16"/>
                <w:szCs w:val="16"/>
                <w:color w:val="auto"/>
              </w:rPr>
              <w:t>Derecognition of noncontrolling interest</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3,903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Conversion of Character Biosciences, Inc. convertible note to preferred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bl>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20"/>
          </w:cols>
          <w:pgMar w:left="340" w:top="649" w:right="3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67945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649"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CLOVER HEALTH INVESTMENTS, CORP.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Operations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Clover Health Investments, Corp. (collectively with its affiliates and subsidiaries, "Clover" or the "Company") is singularly focused on creating great, sustainable healthcare to improve every life. Clover has centered its strategy on building and deploying technology through its flagship software platform, Clover Assistant, to help America's seniors receive better care at lower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Clover provides affordable, high-quality Medicare Advantage ("MA")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Original Medicare beneficiaries (the "Non-Insurance Beneficiaries").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at the point of care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16 in this report.</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and a favorable vote of SCH's stockholders at an extraordinary general meeting on January 6, 2021 (the "Special Meeting"),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"Business Combination"). The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financial statements for previous periods are disclosed in periodic reports filed with the SEC.</w:t>
      </w:r>
    </w:p>
    <w:p>
      <w:pPr>
        <w:spacing w:after="0" w:line="188"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The Business Combination has had a significant impact on the Company's reported financial position and results as a consequence of the reverse recapitalization. The Business Combination closed on January 7, 2021, and on the following day the Company's Class A Common Stock and then outstanding public warrants were listed on the Nasdaq Global Select Market ("Nasdaq") under the symbols "CLOV" and "CLOVW," respectively, for trading in the public market.</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additional information, see Note 1 (Organization and Operations) and Note 3 (Business Combination) included in the Company's Annual Report on Form 10-K for the year ended December 31, 2021 (the "2021 Form 10-K").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Company's interim condensed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interim condensed consolidated financial statements should be read in conjunction with the audited consolidated financial statements and related notes to the financial statements included in the 2021 Form 10-K.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15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Premiums earned, net is recognized as income in the period members are entitled to receive services, risk adjustment revenue, and other ancillary income. Premiums received in advance of the service period are reported as deferred revenue on the Condensed Consolidated Balance Sheets and recognized within Premiums earned, net once earned. Premiums anticipated to be received within twelve months based on the documented diagnostic criteria of the Company's members are estimated and included in revenue for the period including the member months for which the payment is designated by CMS.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of accounting and variable interest entities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Performance guarantees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As a result of the Company's participation in the DC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Accordingly, a liability for the performance guarantee was recorded on the Condensed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from CMS ("shared savings") or the consideration due to CMS from the DCE ("shared loss") is reconciled in the subsequent years following the performance year. The shared savings or loss is measured periodically and will be applied to the Non-Insurance performance obligation or Non-Insurance performance receivable if the Company is in a probable loss position or probable savings position, respectively. The DCE has entered into a surety bond agreement with CMS and a third-party surety to cover the financial threshold determined by CMS. The surety bond is partially collateralized by a cash deposit from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 development costs - cloud computing arrangements</w:t>
      </w:r>
    </w:p>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Company's cloud computing arrangements are mostly comprised of hosting arrangements that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in other assets, and are generally amortized over the fixed, non-cancelable term of the associated hosting arrangement on a straight-line basis.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acquisition costs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Acquisition costs directly related to the successful acquisition of new business, which are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September 30, 2022, and December 31, 2021, there were no deferred acquisition costs as a result of the acceleration of amortization for deferred acquisition costs due to the recognition of a premium deficiency reserve. For the three and nine months ended September 30, 2022, charges related to deferred acquisition costs of $1.9 million and $15.6 million, respectively, were recognized in general and administrative expenses. For the three and nine months ended September 30, 2021, charges related to deferred acquisition costs of $1.1 million and $9.6 million, respectively, were recognized in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societal and economic impact of the Coronavirus Disease 2019 ("COVID-19") pandemic and its variants are continuing to evolve, and the ultimate impact on the Company's business, results of operations, financial condition, and cash flows is uncertain and difficult to predict. The global pandemic has severely impacted businesses worldwide, including many in the health insurance sector. In response to the pandemic, the Company has implemented additional steps related to its care delivery, member support, and internal policies and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pronouncements effective in future periods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ASU 2018-12, </w:t>
      </w:r>
      <w:r>
        <w:rPr>
          <w:rFonts w:ascii="Arial" w:cs="Arial" w:eastAsia="Arial" w:hAnsi="Arial"/>
          <w:sz w:val="16"/>
          <w:szCs w:val="16"/>
          <w:i w:val="1"/>
          <w:iCs w:val="1"/>
          <w:color w:val="auto"/>
        </w:rPr>
        <w:t>Financial Services - Insurance (Topic 944): Targeted Improvements to the Accounting for Long-Duration</w:t>
      </w:r>
    </w:p>
    <w:p>
      <w:pPr>
        <w:spacing w:after="0" w:line="3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 xml:space="preserve">Contracts, </w:t>
      </w:r>
      <w:r>
        <w:rPr>
          <w:rFonts w:ascii="Arial" w:cs="Arial" w:eastAsia="Arial" w:hAnsi="Arial"/>
          <w:sz w:val="15"/>
          <w:szCs w:val="15"/>
          <w:color w:val="auto"/>
        </w:rPr>
        <w:t>which was subsequently amended by ASU 2019-09,</w:t>
      </w:r>
      <w:r>
        <w:rPr>
          <w:rFonts w:ascii="Arial" w:cs="Arial" w:eastAsia="Arial" w:hAnsi="Arial"/>
          <w:sz w:val="15"/>
          <w:szCs w:val="15"/>
          <w:i w:val="1"/>
          <w:iCs w:val="1"/>
          <w:color w:val="auto"/>
        </w:rPr>
        <w:t xml:space="preserve"> Financial Services—Insurance (Topic 944): Effective Date </w:t>
      </w:r>
      <w:r>
        <w:rPr>
          <w:rFonts w:ascii="Arial" w:cs="Arial" w:eastAsia="Arial" w:hAnsi="Arial"/>
          <w:sz w:val="15"/>
          <w:szCs w:val="15"/>
          <w:color w:val="auto"/>
        </w:rPr>
        <w:t>and ASU 2020-11,</w:t>
      </w:r>
      <w:r>
        <w:rPr>
          <w:rFonts w:ascii="Arial" w:cs="Arial" w:eastAsia="Arial" w:hAnsi="Arial"/>
          <w:sz w:val="15"/>
          <w:szCs w:val="15"/>
          <w:i w:val="1"/>
          <w:iCs w:val="1"/>
          <w:color w:val="auto"/>
        </w:rPr>
        <w:t xml:space="preserve"> Financial Services —Insurance (Topic 944): Effective Date and Early Application</w:t>
      </w:r>
      <w:r>
        <w:rPr>
          <w:rFonts w:ascii="Arial" w:cs="Arial" w:eastAsia="Arial" w:hAnsi="Arial"/>
          <w:sz w:val="15"/>
          <w:szCs w:val="15"/>
          <w:color w:val="auto"/>
        </w:rPr>
        <w:t>. ASU 2020-11 was issued in consideration of the implications of COVID-19 and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 the potential impact to future cash flows. The amendments related to the liability for future policy benefits for traditional and limited-payment contracts and deferred acquisition costs are to be applied to contracts in force as of the beginning of the earliest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7"/>
          <w:szCs w:val="17"/>
          <w:color w:val="auto"/>
        </w:rPr>
        <w:t>presented, with an option to apply such amendments retrospectively with a cumulative-effect adjustment to the opening balance of retained earnings as of the earliest period presented. The amendments for market risk benefits are to be applied retrospectively. ASU 2020-11 is effective for public entities for periods beginning after December 15, 2022. The Company is currently evaluating the effects the adoption of ASU 2018-12 and ASU 2020-11 will have on its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Investment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amortized cost and fair values of investments as of September 30, 2022, and December 31, 2021, respectively: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Accumulated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Amortized cost</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unrealized gains</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3"/>
              </w:rPr>
              <w:t>unrealized losses</w:t>
            </w:r>
          </w:p>
        </w:tc>
        <w:tc>
          <w:tcPr>
            <w:tcW w:w="20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6"/>
                <w:szCs w:val="16"/>
                <w:b w:val="1"/>
                <w:bCs w:val="1"/>
                <w:color w:val="auto"/>
                <w:w w:val="98"/>
              </w:rPr>
              <w:t>Fair value</w:t>
            </w:r>
          </w:p>
        </w:tc>
      </w:tr>
      <w:tr>
        <w:trPr>
          <w:trHeight w:val="183"/>
        </w:trPr>
        <w:tc>
          <w:tcPr>
            <w:tcW w:w="5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Investment securities, held-to-maturity</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1"/>
        </w:trPr>
        <w:tc>
          <w:tcPr>
            <w:tcW w:w="5980" w:type="dxa"/>
            <w:vAlign w:val="bottom"/>
            <w:gridSpan w:val="2"/>
          </w:tcPr>
          <w:p>
            <w:pPr>
              <w:ind w:left="180"/>
              <w:spacing w:after="0"/>
              <w:rPr>
                <w:sz w:val="20"/>
                <w:szCs w:val="20"/>
                <w:color w:val="auto"/>
              </w:rPr>
            </w:pPr>
            <w:r>
              <w:rPr>
                <w:rFonts w:ascii="Arial" w:cs="Arial" w:eastAsia="Arial" w:hAnsi="Arial"/>
                <w:sz w:val="17"/>
                <w:szCs w:val="17"/>
                <w:color w:val="auto"/>
              </w:rPr>
              <w:t>U.S. government and government agencies and authorities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596</w:t>
            </w:r>
          </w:p>
        </w:tc>
      </w:tr>
      <w:tr>
        <w:trPr>
          <w:trHeight w:val="26"/>
        </w:trPr>
        <w:tc>
          <w:tcPr>
            <w:tcW w:w="5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Investment securities, available-for-sale</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21"/>
        </w:trPr>
        <w:tc>
          <w:tcPr>
            <w:tcW w:w="5980" w:type="dxa"/>
            <w:vAlign w:val="bottom"/>
            <w:gridSpan w:val="2"/>
          </w:tcPr>
          <w:p>
            <w:pPr>
              <w:ind w:left="180"/>
              <w:spacing w:after="0"/>
              <w:rPr>
                <w:sz w:val="20"/>
                <w:szCs w:val="20"/>
                <w:color w:val="auto"/>
              </w:rPr>
            </w:pPr>
            <w:r>
              <w:rPr>
                <w:rFonts w:ascii="Arial" w:cs="Arial" w:eastAsia="Arial" w:hAnsi="Arial"/>
                <w:sz w:val="17"/>
                <w:szCs w:val="17"/>
                <w:color w:val="auto"/>
              </w:rPr>
              <w:t>U.S. government and government agencies and authorities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232,189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221,668</w:t>
            </w:r>
          </w:p>
        </w:tc>
      </w:tr>
      <w:tr>
        <w:trPr>
          <w:trHeight w:val="26"/>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23,685</w:t>
            </w:r>
          </w:p>
        </w:tc>
      </w:tr>
      <w:tr>
        <w:trPr>
          <w:trHeight w:val="240"/>
        </w:trPr>
        <w:tc>
          <w:tcPr>
            <w:tcW w:w="5980" w:type="dxa"/>
            <w:vAlign w:val="bottom"/>
            <w:gridSpan w:val="2"/>
          </w:tcPr>
          <w:p>
            <w:pPr>
              <w:ind w:left="420"/>
              <w:spacing w:after="0"/>
              <w:rPr>
                <w:sz w:val="20"/>
                <w:szCs w:val="20"/>
                <w:color w:val="auto"/>
              </w:rPr>
            </w:pPr>
            <w:r>
              <w:rPr>
                <w:rFonts w:ascii="Arial" w:cs="Arial" w:eastAsia="Arial" w:hAnsi="Arial"/>
                <w:sz w:val="17"/>
                <w:szCs w:val="17"/>
                <w:color w:val="auto"/>
              </w:rPr>
              <w:t>Total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256,813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(10,886)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245,949</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18"/>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Amortized cost</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unrealized gains</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3"/>
              </w:rPr>
              <w:t>unrealized losses</w:t>
            </w:r>
          </w:p>
        </w:tc>
        <w:tc>
          <w:tcPr>
            <w:tcW w:w="20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6"/>
                <w:szCs w:val="16"/>
                <w:b w:val="1"/>
                <w:bCs w:val="1"/>
                <w:color w:val="auto"/>
                <w:w w:val="98"/>
              </w:rPr>
              <w:t>Fair value</w:t>
            </w:r>
          </w:p>
        </w:tc>
      </w:tr>
      <w:tr>
        <w:trPr>
          <w:trHeight w:val="183"/>
        </w:trPr>
        <w:tc>
          <w:tcPr>
            <w:tcW w:w="5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
        </w:trPr>
        <w:tc>
          <w:tcPr>
            <w:tcW w:w="5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Investment securities, held-to-maturity</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r>
      <w:tr>
        <w:trPr>
          <w:trHeight w:val="221"/>
        </w:trPr>
        <w:tc>
          <w:tcPr>
            <w:tcW w:w="5980" w:type="dxa"/>
            <w:vAlign w:val="bottom"/>
            <w:gridSpan w:val="2"/>
          </w:tcPr>
          <w:p>
            <w:pPr>
              <w:ind w:left="180"/>
              <w:spacing w:after="0"/>
              <w:rPr>
                <w:sz w:val="20"/>
                <w:szCs w:val="20"/>
                <w:color w:val="auto"/>
              </w:rPr>
            </w:pPr>
            <w:r>
              <w:rPr>
                <w:rFonts w:ascii="Arial" w:cs="Arial" w:eastAsia="Arial" w:hAnsi="Arial"/>
                <w:sz w:val="17"/>
                <w:szCs w:val="17"/>
                <w:color w:val="auto"/>
              </w:rPr>
              <w:t>U.S. government and government agencies and authorities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671</w:t>
            </w:r>
          </w:p>
        </w:tc>
      </w:tr>
      <w:tr>
        <w:trPr>
          <w:trHeight w:val="26"/>
        </w:trPr>
        <w:tc>
          <w:tcPr>
            <w:tcW w:w="598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Investment securities, available-for-sale</w:t>
            </w: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r>
      <w:tr>
        <w:trPr>
          <w:trHeight w:val="221"/>
        </w:trPr>
        <w:tc>
          <w:tcPr>
            <w:tcW w:w="5980" w:type="dxa"/>
            <w:vAlign w:val="bottom"/>
            <w:gridSpan w:val="2"/>
          </w:tcPr>
          <w:p>
            <w:pPr>
              <w:ind w:left="180"/>
              <w:spacing w:after="0"/>
              <w:rPr>
                <w:sz w:val="20"/>
                <w:szCs w:val="20"/>
                <w:color w:val="auto"/>
              </w:rPr>
            </w:pPr>
            <w:r>
              <w:rPr>
                <w:rFonts w:ascii="Arial" w:cs="Arial" w:eastAsia="Arial" w:hAnsi="Arial"/>
                <w:sz w:val="17"/>
                <w:szCs w:val="17"/>
                <w:color w:val="auto"/>
              </w:rPr>
              <w:t>U.S. government and government agencies and authorities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198,669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196,735</w:t>
            </w:r>
          </w:p>
        </w:tc>
      </w:tr>
      <w:tr>
        <w:trPr>
          <w:trHeight w:val="26"/>
        </w:trPr>
        <w:tc>
          <w:tcPr>
            <w:tcW w:w="598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5"/>
        </w:trPr>
        <w:tc>
          <w:tcPr>
            <w:tcW w:w="5980" w:type="dxa"/>
            <w:vAlign w:val="bottom"/>
            <w:tcBorders>
              <w:bottom w:val="single" w:sz="8" w:color="CFF0FC"/>
            </w:tcBorders>
            <w:gridSpan w:val="2"/>
            <w:shd w:val="clear" w:color="auto" w:fill="CFF0FC"/>
          </w:tcPr>
          <w:p>
            <w:pPr>
              <w:ind w:left="420"/>
              <w:spacing w:after="0"/>
              <w:rPr>
                <w:sz w:val="20"/>
                <w:szCs w:val="20"/>
                <w:color w:val="auto"/>
              </w:rPr>
            </w:pPr>
            <w:r>
              <w:rPr>
                <w:rFonts w:ascii="Arial" w:cs="Arial" w:eastAsia="Arial" w:hAnsi="Arial"/>
                <w:sz w:val="17"/>
                <w:szCs w:val="17"/>
                <w:color w:val="auto"/>
              </w:rPr>
              <w:t>Total investment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199,309</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(1,953)</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197,406</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amortized cost and fair value of debt securities as of September 30, 2022, by contractual maturity: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8"/>
                <w:szCs w:val="18"/>
                <w:color w:val="auto"/>
              </w:rPr>
            </w:pPr>
          </w:p>
        </w:tc>
        <w:tc>
          <w:tcPr>
            <w:tcW w:w="2560" w:type="dxa"/>
            <w:vAlign w:val="bottom"/>
            <w:gridSpan w:val="5"/>
          </w:tcPr>
          <w:p>
            <w:pPr>
              <w:ind w:left="600"/>
              <w:spacing w:after="0"/>
              <w:rPr>
                <w:sz w:val="20"/>
                <w:szCs w:val="20"/>
                <w:color w:val="auto"/>
              </w:rPr>
            </w:pPr>
            <w:r>
              <w:rPr>
                <w:rFonts w:ascii="Arial" w:cs="Arial" w:eastAsia="Arial" w:hAnsi="Arial"/>
                <w:sz w:val="16"/>
                <w:szCs w:val="16"/>
                <w:b w:val="1"/>
                <w:bCs w:val="1"/>
                <w:color w:val="auto"/>
              </w:rPr>
              <w:t>Held-to-maturity</w:t>
            </w:r>
          </w:p>
        </w:tc>
        <w:tc>
          <w:tcPr>
            <w:tcW w:w="120" w:type="dxa"/>
            <w:vAlign w:val="bottom"/>
          </w:tcPr>
          <w:p>
            <w:pPr>
              <w:spacing w:after="0"/>
              <w:rPr>
                <w:sz w:val="18"/>
                <w:szCs w:val="18"/>
                <w:color w:val="auto"/>
              </w:rPr>
            </w:pPr>
          </w:p>
        </w:tc>
        <w:tc>
          <w:tcPr>
            <w:tcW w:w="2460" w:type="dxa"/>
            <w:vAlign w:val="bottom"/>
            <w:gridSpan w:val="4"/>
          </w:tcPr>
          <w:p>
            <w:pPr>
              <w:jc w:val="right"/>
              <w:ind w:right="615"/>
              <w:spacing w:after="0"/>
              <w:rPr>
                <w:sz w:val="20"/>
                <w:szCs w:val="20"/>
                <w:color w:val="auto"/>
              </w:rPr>
            </w:pPr>
            <w:r>
              <w:rPr>
                <w:rFonts w:ascii="Arial" w:cs="Arial" w:eastAsia="Arial" w:hAnsi="Arial"/>
                <w:sz w:val="16"/>
                <w:szCs w:val="16"/>
                <w:b w:val="1"/>
                <w:bCs w:val="1"/>
                <w:color w:val="auto"/>
              </w:rPr>
              <w:t>Available-for-sale</w:t>
            </w:r>
          </w:p>
        </w:tc>
      </w:tr>
      <w:tr>
        <w:trPr>
          <w:trHeight w:val="214"/>
        </w:trPr>
        <w:tc>
          <w:tcPr>
            <w:tcW w:w="5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w w:val="98"/>
              </w:rPr>
              <w:t>Fair value</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8"/>
              </w:rPr>
              <w:t>Fair value</w:t>
            </w:r>
          </w:p>
        </w:tc>
      </w:tr>
      <w:tr>
        <w:trPr>
          <w:trHeight w:val="183"/>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Due within one year</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179,774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175,116</w:t>
            </w:r>
          </w:p>
        </w:tc>
      </w:tr>
      <w:tr>
        <w:trPr>
          <w:trHeight w:val="247"/>
        </w:trPr>
        <w:tc>
          <w:tcPr>
            <w:tcW w:w="5980" w:type="dxa"/>
            <w:vAlign w:val="bottom"/>
            <w:gridSpan w:val="2"/>
          </w:tcPr>
          <w:p>
            <w:pPr>
              <w:ind w:left="20"/>
              <w:spacing w:after="0"/>
              <w:rPr>
                <w:sz w:val="20"/>
                <w:szCs w:val="20"/>
                <w:color w:val="auto"/>
              </w:rPr>
            </w:pPr>
            <w:r>
              <w:rPr>
                <w:rFonts w:ascii="Arial" w:cs="Arial" w:eastAsia="Arial" w:hAnsi="Arial"/>
                <w:sz w:val="17"/>
                <w:szCs w:val="17"/>
                <w:color w:val="auto"/>
              </w:rPr>
              <w:t>Due after one year through five years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70,237</w:t>
            </w:r>
          </w:p>
        </w:tc>
      </w:tr>
      <w:tr>
        <w:trPr>
          <w:trHeight w:val="22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Due after five years through ten years</w:t>
            </w:r>
          </w:p>
        </w:tc>
        <w:tc>
          <w:tcPr>
            <w:tcW w:w="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980" w:type="dxa"/>
            <w:vAlign w:val="bottom"/>
            <w:gridSpan w:val="2"/>
          </w:tcPr>
          <w:p>
            <w:pPr>
              <w:ind w:left="20"/>
              <w:spacing w:after="0"/>
              <w:rPr>
                <w:sz w:val="20"/>
                <w:szCs w:val="20"/>
                <w:color w:val="auto"/>
              </w:rPr>
            </w:pPr>
            <w:r>
              <w:rPr>
                <w:rFonts w:ascii="Arial" w:cs="Arial" w:eastAsia="Arial" w:hAnsi="Arial"/>
                <w:sz w:val="17"/>
                <w:szCs w:val="17"/>
                <w:color w:val="auto"/>
              </w:rPr>
              <w:t>Due after ten years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9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5"/>
        </w:trPr>
        <w:tc>
          <w:tcPr>
            <w:tcW w:w="59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700</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596</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256,113</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245,353</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the three and nine months ended September 30, 2022 and 2021, respectively, net investment income, which is included within other income in the Condensed Consolidated Statements of Operations and Comprehensive Loss, was derived from the following sources: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820" w:type="dxa"/>
            <w:vAlign w:val="bottom"/>
            <w:gridSpan w:val="4"/>
          </w:tcPr>
          <w:p>
            <w:pPr>
              <w:jc w:val="right"/>
              <w:ind w:right="293"/>
              <w:spacing w:after="0"/>
              <w:rPr>
                <w:sz w:val="20"/>
                <w:szCs w:val="20"/>
                <w:color w:val="auto"/>
              </w:rPr>
            </w:pPr>
            <w:r>
              <w:rPr>
                <w:rFonts w:ascii="Arial" w:cs="Arial" w:eastAsia="Arial" w:hAnsi="Arial"/>
                <w:sz w:val="17"/>
                <w:szCs w:val="17"/>
                <w:b w:val="1"/>
                <w:bCs w:val="1"/>
                <w:color w:val="auto"/>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0" w:type="dxa"/>
            <w:vAlign w:val="bottom"/>
            <w:gridSpan w:val="4"/>
          </w:tcPr>
          <w:p>
            <w:pPr>
              <w:jc w:val="right"/>
              <w:ind w:right="833"/>
              <w:spacing w:after="0"/>
              <w:rPr>
                <w:sz w:val="20"/>
                <w:szCs w:val="20"/>
                <w:color w:val="auto"/>
              </w:rPr>
            </w:pPr>
            <w:r>
              <w:rPr>
                <w:rFonts w:ascii="Arial" w:cs="Arial" w:eastAsia="Arial" w:hAnsi="Arial"/>
                <w:sz w:val="17"/>
                <w:szCs w:val="17"/>
                <w:b w:val="1"/>
                <w:bCs w:val="1"/>
                <w:color w:val="auto"/>
              </w:rPr>
              <w:t>Nine Months Ended</w:t>
            </w:r>
          </w:p>
        </w:tc>
      </w:tr>
      <w:tr>
        <w:trPr>
          <w:trHeight w:val="230"/>
        </w:trPr>
        <w:tc>
          <w:tcPr>
            <w:tcW w:w="45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7"/>
                <w:szCs w:val="17"/>
                <w:b w:val="1"/>
                <w:bCs w:val="1"/>
                <w:color w:val="auto"/>
                <w:w w:val="96"/>
              </w:rPr>
              <w:t>September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553"/>
              <w:spacing w:after="0"/>
              <w:rPr>
                <w:sz w:val="20"/>
                <w:szCs w:val="20"/>
                <w:color w:val="auto"/>
              </w:rPr>
            </w:pPr>
            <w:r>
              <w:rPr>
                <w:rFonts w:ascii="Arial" w:cs="Arial" w:eastAsia="Arial" w:hAnsi="Arial"/>
                <w:sz w:val="17"/>
                <w:szCs w:val="17"/>
                <w:b w:val="1"/>
                <w:bCs w:val="1"/>
                <w:color w:val="auto"/>
              </w:rPr>
              <w:t>2021</w:t>
            </w:r>
          </w:p>
        </w:tc>
      </w:tr>
      <w:tr>
        <w:trPr>
          <w:trHeight w:val="20"/>
        </w:trPr>
        <w:tc>
          <w:tcPr>
            <w:tcW w:w="4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6"/>
        </w:trPr>
        <w:tc>
          <w:tcPr>
            <w:tcW w:w="4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97"/>
              </w:rPr>
              <w:t>(in thousands)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7"/>
        </w:trPr>
        <w:tc>
          <w:tcPr>
            <w:tcW w:w="45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4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40"/>
        </w:trPr>
        <w:tc>
          <w:tcPr>
            <w:tcW w:w="4500" w:type="dxa"/>
            <w:vAlign w:val="bottom"/>
          </w:tcPr>
          <w:p>
            <w:pPr>
              <w:ind w:left="260"/>
              <w:spacing w:after="0"/>
              <w:rPr>
                <w:sz w:val="20"/>
                <w:szCs w:val="20"/>
                <w:color w:val="auto"/>
              </w:rPr>
            </w:pPr>
            <w:r>
              <w:rPr>
                <w:rFonts w:ascii="Arial" w:cs="Arial" w:eastAsia="Arial" w:hAnsi="Arial"/>
                <w:sz w:val="17"/>
                <w:szCs w:val="17"/>
                <w:color w:val="auto"/>
              </w:rPr>
              <w:t>Investment income, net</w:t>
            </w: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2,850</w:t>
            </w:r>
          </w:p>
        </w:tc>
        <w:tc>
          <w:tcPr>
            <w:tcW w:w="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3,625</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0"/>
        </w:trPr>
        <w:tc>
          <w:tcPr>
            <w:tcW w:w="4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Gross unrealized losses and fair values aggregated by investment category and length of time that individual securities have been in a continuous unrealized loss position were as follows at September 30, 2022, and December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8"/>
                <w:szCs w:val="18"/>
                <w:color w:val="auto"/>
              </w:rPr>
            </w:pPr>
          </w:p>
        </w:tc>
        <w:tc>
          <w:tcPr>
            <w:tcW w:w="2460" w:type="dxa"/>
            <w:vAlign w:val="bottom"/>
            <w:gridSpan w:val="5"/>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580" w:type="dxa"/>
            <w:vAlign w:val="bottom"/>
            <w:gridSpan w:val="5"/>
          </w:tcPr>
          <w:p>
            <w:pPr>
              <w:ind w:left="380"/>
              <w:spacing w:after="0"/>
              <w:rPr>
                <w:sz w:val="20"/>
                <w:szCs w:val="20"/>
                <w:color w:val="auto"/>
              </w:rPr>
            </w:pPr>
            <w:r>
              <w:rPr>
                <w:rFonts w:ascii="Arial" w:cs="Arial" w:eastAsia="Arial" w:hAnsi="Arial"/>
                <w:sz w:val="16"/>
                <w:szCs w:val="16"/>
                <w:b w:val="1"/>
                <w:bCs w:val="1"/>
                <w:color w:val="auto"/>
              </w:rPr>
              <w:t>Greater than 12 months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jc w:val="right"/>
              <w:ind w:right="105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w w:val="86"/>
              </w:rPr>
              <w:t>Unrealized loss</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8"/>
              </w:rPr>
              <w:t>Unrealized loss</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3"/>
              </w:rPr>
              <w:t>Fair value</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0"/>
              </w:rPr>
              <w:t>Unrealized loss</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Arial" w:cs="Arial" w:eastAsia="Arial" w:hAnsi="Arial"/>
                <w:sz w:val="12"/>
                <w:szCs w:val="12"/>
                <w:b w:val="1"/>
                <w:bCs w:val="1"/>
                <w:color w:val="auto"/>
                <w:w w:val="97"/>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U.S. government and government agencies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141,377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65,926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207,303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(10,643)</w:t>
            </w:r>
          </w:p>
        </w:tc>
        <w:tc>
          <w:tcPr>
            <w:tcW w:w="0" w:type="dxa"/>
            <w:vAlign w:val="bottom"/>
          </w:tcPr>
          <w:p>
            <w:pPr>
              <w:spacing w:after="0"/>
              <w:rPr>
                <w:sz w:val="1"/>
                <w:szCs w:val="1"/>
                <w:color w:val="auto"/>
              </w:rPr>
            </w:pPr>
          </w:p>
        </w:tc>
      </w:tr>
      <w:tr>
        <w:trPr>
          <w:trHeight w:val="247"/>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39"/>
        </w:trPr>
        <w:tc>
          <w:tcPr>
            <w:tcW w:w="3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161,001</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65,926</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214,300</w:t>
            </w: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Arial" w:cs="Arial" w:eastAsia="Arial" w:hAnsi="Arial"/>
                <w:sz w:val="17"/>
                <w:szCs w:val="17"/>
                <w:color w:val="auto"/>
              </w:rPr>
              <w:t>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551"/>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Pr>
          <w:p>
            <w:pPr>
              <w:spacing w:after="0"/>
              <w:rPr>
                <w:sz w:val="24"/>
                <w:szCs w:val="24"/>
                <w:color w:val="auto"/>
              </w:rPr>
            </w:pPr>
          </w:p>
        </w:tc>
        <w:tc>
          <w:tcPr>
            <w:tcW w:w="2460" w:type="dxa"/>
            <w:vAlign w:val="bottom"/>
            <w:gridSpan w:val="5"/>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24"/>
                <w:szCs w:val="24"/>
                <w:color w:val="auto"/>
              </w:rPr>
            </w:pPr>
          </w:p>
        </w:tc>
        <w:tc>
          <w:tcPr>
            <w:tcW w:w="2580" w:type="dxa"/>
            <w:vAlign w:val="bottom"/>
            <w:gridSpan w:val="5"/>
          </w:tcPr>
          <w:p>
            <w:pPr>
              <w:ind w:left="380"/>
              <w:spacing w:after="0"/>
              <w:rPr>
                <w:sz w:val="20"/>
                <w:szCs w:val="20"/>
                <w:color w:val="auto"/>
              </w:rPr>
            </w:pPr>
            <w:r>
              <w:rPr>
                <w:rFonts w:ascii="Arial" w:cs="Arial" w:eastAsia="Arial" w:hAnsi="Arial"/>
                <w:sz w:val="16"/>
                <w:szCs w:val="16"/>
                <w:b w:val="1"/>
                <w:bCs w:val="1"/>
                <w:color w:val="auto"/>
              </w:rPr>
              <w:t>Greater than 12 months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105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w w:val="86"/>
              </w:rPr>
              <w:t>Unrealized loss</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8"/>
              </w:rPr>
              <w:t>Unrealized loss</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3"/>
              </w:rPr>
              <w:t>Fair value</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0"/>
              </w:rPr>
              <w:t>Unrealized loss</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Arial" w:cs="Arial" w:eastAsia="Arial" w:hAnsi="Arial"/>
                <w:sz w:val="12"/>
                <w:szCs w:val="12"/>
                <w:b w:val="1"/>
                <w:bCs w:val="1"/>
                <w:color w:val="auto"/>
                <w:w w:val="97"/>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w w:val="98"/>
              </w:rPr>
              <w:t>U.S. government and government agencies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and authorities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187,251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7,902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(398)</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195,153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(1,953)</w:t>
            </w:r>
          </w:p>
        </w:tc>
        <w:tc>
          <w:tcPr>
            <w:tcW w:w="0" w:type="dxa"/>
            <w:vAlign w:val="bottom"/>
          </w:tcPr>
          <w:p>
            <w:pPr>
              <w:spacing w:after="0"/>
              <w:rPr>
                <w:sz w:val="1"/>
                <w:szCs w:val="1"/>
                <w:color w:val="auto"/>
              </w:rPr>
            </w:pPr>
          </w:p>
        </w:tc>
      </w:tr>
      <w:tr>
        <w:trPr>
          <w:trHeight w:val="214"/>
        </w:trPr>
        <w:tc>
          <w:tcPr>
            <w:tcW w:w="328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187,251</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7,902</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195,153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(1,953)</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Number of positions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6"/>
        </w:trPr>
        <w:tc>
          <w:tcPr>
            <w:tcW w:w="3200" w:type="dxa"/>
            <w:vAlign w:val="bottom"/>
            <w:shd w:val="clear" w:color="auto" w:fill="CFF0FC"/>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The Company did not record any credit allowances for debt securities that were in an unrealized loss position as of September 30, 2022, and December 31, 2021.</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September 30, 2022,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as of September 30, 2022, were assessed, based on, among other things:</w:t>
      </w:r>
    </w:p>
    <w:p>
      <w:pPr>
        <w:spacing w:after="0" w:line="89" w:lineRule="exact"/>
        <w:rPr>
          <w:sz w:val="20"/>
          <w:szCs w:val="20"/>
          <w:color w:val="auto"/>
        </w:rPr>
      </w:pPr>
    </w:p>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relative magnitude to which fair values of these securities have been below their amortized cost was not indicative of an impairment loss;</w:t>
      </w:r>
    </w:p>
    <w:p>
      <w:pPr>
        <w:spacing w:after="0" w:line="130" w:lineRule="exact"/>
        <w:rPr>
          <w:rFonts w:ascii="Arial" w:cs="Arial" w:eastAsia="Arial" w:hAnsi="Arial"/>
          <w:sz w:val="21"/>
          <w:szCs w:val="21"/>
          <w:color w:val="auto"/>
        </w:rPr>
      </w:pPr>
    </w:p>
    <w:p>
      <w:pPr>
        <w:ind w:left="620" w:hanging="305"/>
        <w:spacing w:after="0" w:line="234" w:lineRule="auto"/>
        <w:tabs>
          <w:tab w:leader="none" w:pos="615"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absence of compelling evidence that would cause the Company to call into question the financial condition or near-term prospects of the issuer of the applicable security; and</w:t>
      </w:r>
    </w:p>
    <w:p>
      <w:pPr>
        <w:spacing w:after="0" w:line="110" w:lineRule="exact"/>
        <w:rPr>
          <w:rFonts w:ascii="Arial" w:cs="Arial" w:eastAsia="Arial" w:hAnsi="Arial"/>
          <w:sz w:val="21"/>
          <w:szCs w:val="21"/>
          <w:color w:val="auto"/>
        </w:rPr>
      </w:pPr>
    </w:p>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7"/>
          <w:szCs w:val="17"/>
          <w:color w:val="auto"/>
        </w:rPr>
        <w:t>Proceeds from sales and maturities of investment securities, inclusive of short-term investments, and related gross realized gains (losses) which are included within other income in the Condensed Consolidated Statements of Operations and Comprehensive Loss, were as follows for the three and nine months ended September 30,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600" w:type="dxa"/>
            <w:vAlign w:val="bottom"/>
            <w:gridSpan w:val="4"/>
          </w:tcPr>
          <w:p>
            <w:pPr>
              <w:jc w:val="right"/>
              <w:ind w:right="153"/>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80" w:type="dxa"/>
            <w:vAlign w:val="bottom"/>
            <w:gridSpan w:val="4"/>
          </w:tcPr>
          <w:p>
            <w:pPr>
              <w:jc w:val="right"/>
              <w:ind w:right="753"/>
              <w:spacing w:after="0"/>
              <w:rPr>
                <w:sz w:val="20"/>
                <w:szCs w:val="20"/>
                <w:color w:val="auto"/>
              </w:rPr>
            </w:pPr>
            <w:r>
              <w:rPr>
                <w:rFonts w:ascii="Arial" w:cs="Arial" w:eastAsia="Arial" w:hAnsi="Arial"/>
                <w:sz w:val="17"/>
                <w:szCs w:val="17"/>
                <w:b w:val="1"/>
                <w:bCs w:val="1"/>
                <w:color w:val="auto"/>
              </w:rPr>
              <w:t>Nine Months Ended</w:t>
            </w:r>
          </w:p>
        </w:tc>
      </w:tr>
      <w:tr>
        <w:trPr>
          <w:trHeight w:val="226"/>
        </w:trPr>
        <w:tc>
          <w:tcPr>
            <w:tcW w:w="4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gridSpan w:val="3"/>
          </w:tcPr>
          <w:p>
            <w:pPr>
              <w:jc w:val="right"/>
              <w:ind w:right="393"/>
              <w:spacing w:after="0"/>
              <w:rPr>
                <w:sz w:val="20"/>
                <w:szCs w:val="20"/>
                <w:color w:val="auto"/>
              </w:rPr>
            </w:pPr>
            <w:r>
              <w:rPr>
                <w:rFonts w:ascii="Arial" w:cs="Arial" w:eastAsia="Arial" w:hAnsi="Arial"/>
                <w:sz w:val="17"/>
                <w:szCs w:val="17"/>
                <w:b w:val="1"/>
                <w:bCs w:val="1"/>
                <w:color w:val="auto"/>
                <w:w w:val="98"/>
              </w:rPr>
              <w:t>September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Pr>
          <w:p>
            <w:pPr>
              <w:spacing w:after="0"/>
              <w:rPr>
                <w:sz w:val="19"/>
                <w:szCs w:val="19"/>
                <w:color w:val="auto"/>
              </w:rPr>
            </w:pPr>
          </w:p>
        </w:tc>
      </w:tr>
      <w:tr>
        <w:trPr>
          <w:trHeight w:val="26"/>
        </w:trPr>
        <w:tc>
          <w:tcPr>
            <w:tcW w:w="4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9"/>
        </w:trPr>
        <w:tc>
          <w:tcPr>
            <w:tcW w:w="4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4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
        </w:trPr>
        <w:tc>
          <w:tcPr>
            <w:tcW w:w="4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sales of investment securities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3,829</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89,997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9,710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126,862</w:t>
            </w:r>
          </w:p>
        </w:tc>
      </w:tr>
      <w:tr>
        <w:trPr>
          <w:trHeight w:val="247"/>
        </w:trPr>
        <w:tc>
          <w:tcPr>
            <w:tcW w:w="4800" w:type="dxa"/>
            <w:vAlign w:val="bottom"/>
          </w:tcPr>
          <w:p>
            <w:pPr>
              <w:ind w:left="20"/>
              <w:spacing w:after="0"/>
              <w:rPr>
                <w:sz w:val="20"/>
                <w:szCs w:val="20"/>
                <w:color w:val="auto"/>
              </w:rPr>
            </w:pPr>
            <w:r>
              <w:rPr>
                <w:rFonts w:ascii="Arial" w:cs="Arial" w:eastAsia="Arial" w:hAnsi="Arial"/>
                <w:sz w:val="17"/>
                <w:szCs w:val="17"/>
                <w:color w:val="auto"/>
              </w:rPr>
              <w:t>Proceeds from maturities of investment securities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60,000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50,000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350,455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250,265</w:t>
            </w:r>
          </w:p>
        </w:tc>
      </w:tr>
      <w:tr>
        <w:trPr>
          <w:trHeight w:val="247"/>
        </w:trPr>
        <w:tc>
          <w:tcPr>
            <w:tcW w:w="48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1"/>
        </w:trPr>
        <w:tc>
          <w:tcPr>
            <w:tcW w:w="4800" w:type="dxa"/>
            <w:vAlign w:val="bottom"/>
          </w:tcPr>
          <w:p>
            <w:pPr>
              <w:ind w:left="20"/>
              <w:spacing w:after="0"/>
              <w:rPr>
                <w:sz w:val="20"/>
                <w:szCs w:val="20"/>
                <w:color w:val="auto"/>
              </w:rPr>
            </w:pPr>
            <w:r>
              <w:rPr>
                <w:rFonts w:ascii="Arial" w:cs="Arial" w:eastAsia="Arial" w:hAnsi="Arial"/>
                <w:sz w:val="17"/>
                <w:szCs w:val="17"/>
                <w:color w:val="auto"/>
              </w:rPr>
              <w:t>Gross realized gains</w:t>
            </w:r>
          </w:p>
        </w:tc>
        <w:tc>
          <w:tcPr>
            <w:tcW w:w="9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6"/>
        </w:trPr>
        <w:tc>
          <w:tcPr>
            <w:tcW w:w="4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realized losses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4"/>
        </w:trPr>
        <w:tc>
          <w:tcPr>
            <w:tcW w:w="4800" w:type="dxa"/>
            <w:vAlign w:val="bottom"/>
          </w:tcPr>
          <w:p>
            <w:pPr>
              <w:ind w:left="180"/>
              <w:spacing w:after="0"/>
              <w:rPr>
                <w:sz w:val="20"/>
                <w:szCs w:val="20"/>
                <w:color w:val="auto"/>
              </w:rPr>
            </w:pPr>
            <w:r>
              <w:rPr>
                <w:rFonts w:ascii="Arial" w:cs="Arial" w:eastAsia="Arial" w:hAnsi="Arial"/>
                <w:sz w:val="17"/>
                <w:szCs w:val="17"/>
                <w:color w:val="auto"/>
              </w:rPr>
              <w:t>Net realized losses</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September 30, 2022, and December 31, 2021, the Company had $14.2 million and $11.1 million, respectively, in deposits with various states and regulatory bodies that are included as part of the Company's investment balances.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summary of fair value measurements for financial instruments as of September 30, 2022, and December 31, 2021, respectively: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93"/>
              <w:spacing w:after="0"/>
              <w:rPr>
                <w:sz w:val="20"/>
                <w:szCs w:val="20"/>
                <w:color w:val="auto"/>
              </w:rPr>
            </w:pPr>
            <w:r>
              <w:rPr>
                <w:rFonts w:ascii="Arial" w:cs="Arial" w:eastAsia="Arial" w:hAnsi="Arial"/>
                <w:sz w:val="17"/>
                <w:szCs w:val="17"/>
                <w:b w:val="1"/>
                <w:bCs w:val="1"/>
                <w:color w:val="auto"/>
              </w:rPr>
              <w:t>Total fair</w:t>
            </w:r>
          </w:p>
        </w:tc>
      </w:tr>
      <w:tr>
        <w:trPr>
          <w:trHeight w:val="226"/>
        </w:trPr>
        <w:tc>
          <w:tcPr>
            <w:tcW w:w="5980" w:type="dxa"/>
            <w:vAlign w:val="bottom"/>
            <w:gridSpan w:val="2"/>
          </w:tcPr>
          <w:p>
            <w:pPr>
              <w:ind w:left="20"/>
              <w:spacing w:after="0"/>
              <w:rPr>
                <w:sz w:val="20"/>
                <w:szCs w:val="20"/>
                <w:color w:val="auto"/>
              </w:rPr>
            </w:pPr>
            <w:r>
              <w:rPr>
                <w:rFonts w:ascii="Arial" w:cs="Arial" w:eastAsia="Arial" w:hAnsi="Arial"/>
                <w:sz w:val="17"/>
                <w:szCs w:val="17"/>
                <w:b w:val="1"/>
                <w:bCs w:val="1"/>
                <w:color w:val="auto"/>
              </w:rPr>
              <w:t>September 30, 2022</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Arial" w:cs="Arial" w:eastAsia="Arial" w:hAnsi="Arial"/>
                <w:sz w:val="17"/>
                <w:szCs w:val="17"/>
                <w:b w:val="1"/>
                <w:bCs w:val="1"/>
                <w:color w:val="auto"/>
              </w:rPr>
              <w:t>value</w:t>
            </w:r>
          </w:p>
        </w:tc>
      </w:tr>
      <w:tr>
        <w:trPr>
          <w:trHeight w:val="26"/>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U.S. government and government agencies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221,668</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221,668</w:t>
            </w:r>
          </w:p>
        </w:tc>
      </w:tr>
      <w:tr>
        <w:trPr>
          <w:trHeight w:val="247"/>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23,685</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23,685</w:t>
            </w:r>
          </w:p>
        </w:tc>
      </w:tr>
      <w:tr>
        <w:trPr>
          <w:trHeight w:val="234"/>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assets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245,353</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245,353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93"/>
              <w:spacing w:after="0"/>
              <w:rPr>
                <w:sz w:val="20"/>
                <w:szCs w:val="20"/>
                <w:color w:val="auto"/>
              </w:rPr>
            </w:pPr>
            <w:r>
              <w:rPr>
                <w:rFonts w:ascii="Arial" w:cs="Arial" w:eastAsia="Arial" w:hAnsi="Arial"/>
                <w:sz w:val="17"/>
                <w:szCs w:val="17"/>
                <w:b w:val="1"/>
                <w:bCs w:val="1"/>
                <w:color w:val="auto"/>
              </w:rPr>
              <w:t>Total fair</w:t>
            </w:r>
          </w:p>
        </w:tc>
      </w:tr>
      <w:tr>
        <w:trPr>
          <w:trHeight w:val="226"/>
        </w:trPr>
        <w:tc>
          <w:tcPr>
            <w:tcW w:w="598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Arial" w:cs="Arial" w:eastAsia="Arial" w:hAnsi="Arial"/>
                <w:sz w:val="17"/>
                <w:szCs w:val="17"/>
                <w:b w:val="1"/>
                <w:bCs w:val="1"/>
                <w:color w:val="auto"/>
              </w:rPr>
              <w:t>value</w:t>
            </w:r>
          </w:p>
        </w:tc>
      </w:tr>
      <w:tr>
        <w:trPr>
          <w:trHeight w:val="26"/>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U.S. government and government agencies</w:t>
            </w:r>
          </w:p>
        </w:tc>
        <w:tc>
          <w:tcPr>
            <w:tcW w:w="960" w:type="dxa"/>
            <w:vAlign w:val="bottom"/>
            <w:tcBorders>
              <w:bottom w:val="single" w:sz="8" w:color="CFF0FC"/>
            </w:tcBorders>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196,735</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53"/>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196,735</w:t>
            </w:r>
          </w:p>
        </w:tc>
      </w:tr>
      <w:tr>
        <w:trPr>
          <w:trHeight w:val="214"/>
        </w:trPr>
        <w:tc>
          <w:tcPr>
            <w:tcW w:w="5980" w:type="dxa"/>
            <w:vAlign w:val="bottom"/>
            <w:gridSpan w:val="2"/>
          </w:tcPr>
          <w:p>
            <w:pPr>
              <w:ind w:left="180"/>
              <w:spacing w:after="0"/>
              <w:rPr>
                <w:sz w:val="20"/>
                <w:szCs w:val="20"/>
                <w:color w:val="auto"/>
              </w:rPr>
            </w:pPr>
            <w:r>
              <w:rPr>
                <w:rFonts w:ascii="Arial" w:cs="Arial" w:eastAsia="Arial" w:hAnsi="Arial"/>
                <w:sz w:val="17"/>
                <w:szCs w:val="17"/>
                <w:color w:val="auto"/>
              </w:rPr>
              <w:t>Total assets at fair value</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196,735</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196,735</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The fair value of Legacy Clover's convertible securities was based on Level 3 inputs, which were unobservable and reflected management's best estimate of what market participants would use when pricing the asset or liability, including assumptions about risk. There was no fair value associated with convertible securities at September 30, 2022, due to the conversion of the securities to shares of the Company's common stock upon the completion of the Business Combination.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There were no changes in balances of Legacy Clover's Level 3 financial liabilities during the nine months ended September 30, 2022. The changes in balances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Legacy Clover's Level 3 financial liabilities during the nine months ended September 30, 2021,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Convertible</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Derivative</w:t>
            </w: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Warrants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6"/>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securities</w:t>
            </w:r>
          </w:p>
        </w:tc>
        <w:tc>
          <w:tcPr>
            <w:tcW w:w="2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liabilities</w:t>
            </w:r>
          </w:p>
        </w:tc>
        <w:tc>
          <w:tcPr>
            <w:tcW w:w="22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payable</w:t>
            </w:r>
          </w:p>
        </w:tc>
        <w:tc>
          <w:tcPr>
            <w:tcW w:w="300" w:type="dxa"/>
            <w:vAlign w:val="bottom"/>
          </w:tcPr>
          <w:p>
            <w:pPr>
              <w:spacing w:after="0"/>
              <w:rPr>
                <w:sz w:val="19"/>
                <w:szCs w:val="19"/>
                <w:color w:val="auto"/>
              </w:rPr>
            </w:pPr>
          </w:p>
        </w:tc>
        <w:tc>
          <w:tcPr>
            <w:tcW w:w="1060" w:type="dxa"/>
            <w:vAlign w:val="bottom"/>
          </w:tcPr>
          <w:p>
            <w:pPr>
              <w:jc w:val="right"/>
              <w:ind w:right="393"/>
              <w:spacing w:after="0"/>
              <w:rPr>
                <w:sz w:val="20"/>
                <w:szCs w:val="20"/>
                <w:color w:val="auto"/>
              </w:rPr>
            </w:pPr>
            <w:r>
              <w:rPr>
                <w:rFonts w:ascii="Arial" w:cs="Arial" w:eastAsia="Arial" w:hAnsi="Arial"/>
                <w:sz w:val="17"/>
                <w:szCs w:val="17"/>
                <w:b w:val="1"/>
                <w:bCs w:val="1"/>
                <w:color w:val="auto"/>
              </w:rPr>
              <w:t>Total</w:t>
            </w:r>
          </w:p>
        </w:tc>
      </w:tr>
      <w:tr>
        <w:trPr>
          <w:trHeight w:val="26"/>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949,553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97,782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1,092,145</w:t>
            </w:r>
          </w:p>
        </w:tc>
      </w:tr>
      <w:tr>
        <w:trPr>
          <w:trHeight w:val="221"/>
        </w:trPr>
        <w:tc>
          <w:tcPr>
            <w:tcW w:w="5520" w:type="dxa"/>
            <w:vAlign w:val="bottom"/>
          </w:tcPr>
          <w:p>
            <w:pPr>
              <w:ind w:left="120"/>
              <w:spacing w:after="0"/>
              <w:rPr>
                <w:sz w:val="20"/>
                <w:szCs w:val="20"/>
                <w:color w:val="auto"/>
              </w:rPr>
            </w:pPr>
            <w:r>
              <w:rPr>
                <w:rFonts w:ascii="Arial" w:cs="Arial" w:eastAsia="Arial" w:hAnsi="Arial"/>
                <w:sz w:val="17"/>
                <w:szCs w:val="17"/>
                <w:color w:val="auto"/>
              </w:rPr>
              <w:t>Issuances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Settlements</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(949,553)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(97,782)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(1,092,145)</w:t>
            </w:r>
          </w:p>
        </w:tc>
      </w:tr>
      <w:tr>
        <w:trPr>
          <w:trHeight w:val="221"/>
        </w:trPr>
        <w:tc>
          <w:tcPr>
            <w:tcW w:w="5520" w:type="dxa"/>
            <w:vAlign w:val="bottom"/>
          </w:tcPr>
          <w:p>
            <w:pPr>
              <w:ind w:left="120"/>
              <w:spacing w:after="0"/>
              <w:rPr>
                <w:sz w:val="20"/>
                <w:szCs w:val="20"/>
                <w:color w:val="auto"/>
              </w:rPr>
            </w:pPr>
            <w:r>
              <w:rPr>
                <w:rFonts w:ascii="Arial" w:cs="Arial" w:eastAsia="Arial" w:hAnsi="Arial"/>
                <w:sz w:val="17"/>
                <w:szCs w:val="17"/>
                <w:color w:val="auto"/>
              </w:rPr>
              <w:t>Transfers in</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Transfers out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520" w:type="dxa"/>
            <w:vAlign w:val="bottom"/>
          </w:tcPr>
          <w:p>
            <w:pPr>
              <w:ind w:left="120"/>
              <w:spacing w:after="0"/>
              <w:rPr>
                <w:sz w:val="20"/>
                <w:szCs w:val="20"/>
                <w:color w:val="auto"/>
              </w:rPr>
            </w:pPr>
            <w:r>
              <w:rPr>
                <w:rFonts w:ascii="Arial" w:cs="Arial" w:eastAsia="Arial" w:hAnsi="Arial"/>
                <w:sz w:val="17"/>
                <w:szCs w:val="17"/>
                <w:color w:val="auto"/>
              </w:rPr>
              <w:t>Total realized losses (gains)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5"/>
        </w:trPr>
        <w:tc>
          <w:tcPr>
            <w:tcW w:w="5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Balance, September 30,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to the Level 3 financial liabilities in the table above, on September 25, 2020, Seek Insurance Services, Inc. ("Seek"), a field marketing organization and an indirect wholly-owned subsidiary of the Company, entered into a note purchase agreement with a third-party investor and issued a note (the "Seek Convertible Note") in the principal amount of $20.0 million, for which the carrying value is approximately the same as the fair value. For additional information, see Note 8 (Notes and Securities Payable). As of September 30, 2022, and December 31, 2021, both the carrying value, which includes accrued interest, and the fair value of the Seek Convertible Note were $23.2 million and $22.0 million, respectively, and these were considered Level 3 financial liabilities. Seek is currently in the process of winding down its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in or out of Level 3 financial assets or liabilities for the nine months ended September 30, 2022 or 2021.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Warrants were accounted for as liabilities in accordance with ASC 815-40 and are presented within warrants payable on the Condensed Consolidated Balance Sheet. The warrant liabilities were measured at fair value at inception and measured on a recurring basis, with changes in fair value presented within change in fair value of warrants payable in the Condensed Consolidated Statement of Operations and Comprehensive Loss. The Company determined that the public warrants assumed in connection with the Business Combination were classified within Level 1 of the fair value hierarchy as the fair value was equal to the publicly traded price of the public warrants, and the private placement warrants, also assumed in connection with the Business Combination, were classified within Level 2 of the fair value hierarchy as the fair value was estimated using the price of the public warrants. On July 22, 2021, the Company issued a press release stating that it would redeem all of its public and private placement warrants. In connection with the redemption, effective August 24, 2021, the public warrants were delisted and classified within Level 2 of the fair value hierarchy as the fair value of the public warrants was based on proportional changes in the price of the Company's common stock. The end of the redemption period was September 9, 2021, at which time the Company redeemed all unexercised public and private placement warrants at a price of $0.10 per warrant. Following the redemption, no public or private placement warrants were outstanding. For additional information, see Note 5 (Fair Value Measurements) and Note 13 (Warrants Payable) in the 2021 Form 10-K.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Healthcare Receivables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Healthcare receivables include pharmaceutical rebates which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$58.9 million and $48.0 million of healthcare receivables at September 30, 2022, and December 31, 2021,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Related Party Transactions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agreements</w:t>
      </w:r>
    </w:p>
    <w:p>
      <w:pPr>
        <w:spacing w:after="0" w:line="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Chief Executive Officer and a significant stockholder of the Company. In May 2022, Mr. Garipalli and his family completed a donation of their interest in CarePoint Health to a non-profit organization called CarePoint Health Systems, Inc.</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7"/>
          <w:szCs w:val="17"/>
          <w:color w:val="auto"/>
        </w:rPr>
        <w:t>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which provides healthcare services to CarePoint Health. Expenses and fees incurred related to Clover's contracts with CarePoint Health, recorded in net medical claims incurred, were $3.2 million and $1.7 million for the three months ended September 30, 2022 and 2021, respectively, and $8.9 million and $9.2 million for the nine months ended September 30, 2022 and 2021, respectively. Additionally, $1.7 million and $2.3 million were payable to CarePoint Health as of September 30, 2022, and December 31, 2021, respectively.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contracted with Rogue Trading, LLC ("Rogue"), a marketing services provider. The Company's President, Andrew Toy, is related to the Chief Executive Officer of Rogue. There were no expenses and fees related to these contracts for the three and nine months ended September 30, 2022. Expenses and fees incurred related to these contracts were $0.3 million for the three and nine months ended September 30, 2021.</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a contract with Medical Records Exchange, LLC (d/b/a ChartFast) pursuant to which the Company receives administrative services related to medical records via ChartFast's electronic applications and web portal platform. ChartFast is ultimately owned and controlled by Mr. Garipalli. Expenses and fees incurred related to this agreement were $0.1 million for the three months ended September 30, 2022 and 2021, and $0.2 million and $0.1 million for the nine months ended September 30, 2022 and 2021, respectively.</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July 2, 2021, the Company entered into a contract with Thyme Care, Inc. ("Thyme Care"), an oncology benefit management company, through which Thyme Care was engaged to provide concierge cancer coordination services to the Company's Insurance members in New Jersey and develop a provider network to help ensure member access to high-value oncology care. Mr. Garipalli is a member of the board of directors of Thyme Care and holds an equity interest of less than five percent (5%) of that entity. Expenses and fees incurred related to this agreement were $0.5 million and $1.3 million for the three and nine months ended September 30, 2022, respectively. Additionally, $0.3 million and $0.1 million were payable to Thyme Care as of September 30, 2022, and December 31, 2021, respectively.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Unpaid Claims</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Activity in the liability for unpaid claims, including claims adjustment expenses, for the nine months ended September 30, 2022 and 2021,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20" w:type="dxa"/>
            <w:vAlign w:val="bottom"/>
            <w:gridSpan w:val="2"/>
          </w:tcPr>
          <w:p>
            <w:pPr>
              <w:ind w:left="20"/>
              <w:spacing w:after="0"/>
              <w:rPr>
                <w:sz w:val="20"/>
                <w:szCs w:val="20"/>
                <w:color w:val="auto"/>
              </w:rPr>
            </w:pPr>
            <w:r>
              <w:rPr>
                <w:rFonts w:ascii="Arial" w:cs="Arial" w:eastAsia="Arial" w:hAnsi="Arial"/>
                <w:sz w:val="17"/>
                <w:szCs w:val="17"/>
                <w:b w:val="1"/>
                <w:bCs w:val="1"/>
                <w:color w:val="auto"/>
              </w:rPr>
              <w:t>Nine Months Ended September 30,</w:t>
            </w:r>
          </w:p>
        </w:tc>
        <w:tc>
          <w:tcPr>
            <w:tcW w:w="320" w:type="dxa"/>
            <w:vAlign w:val="bottom"/>
          </w:tcPr>
          <w:p>
            <w:pPr>
              <w:spacing w:after="0"/>
              <w:rPr>
                <w:sz w:val="19"/>
                <w:szCs w:val="19"/>
                <w:color w:val="auto"/>
              </w:rPr>
            </w:pPr>
          </w:p>
        </w:tc>
        <w:tc>
          <w:tcPr>
            <w:tcW w:w="1060" w:type="dxa"/>
            <w:vAlign w:val="bottom"/>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13"/>
              <w:spacing w:after="0"/>
              <w:rPr>
                <w:sz w:val="20"/>
                <w:szCs w:val="20"/>
                <w:color w:val="auto"/>
              </w:rPr>
            </w:pPr>
            <w:r>
              <w:rPr>
                <w:rFonts w:ascii="Arial" w:cs="Arial" w:eastAsia="Arial" w:hAnsi="Arial"/>
                <w:sz w:val="17"/>
                <w:szCs w:val="17"/>
                <w:b w:val="1"/>
                <w:bCs w:val="1"/>
                <w:color w:val="auto"/>
              </w:rPr>
              <w:t>2021</w:t>
            </w:r>
          </w:p>
        </w:tc>
      </w:tr>
      <w:tr>
        <w:trPr>
          <w:trHeight w:val="180"/>
        </w:trPr>
        <w:tc>
          <w:tcPr>
            <w:tcW w:w="8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5"/>
                <w:szCs w:val="15"/>
                <w:color w:val="auto"/>
              </w:rPr>
            </w:pPr>
          </w:p>
        </w:tc>
      </w:tr>
      <w:tr>
        <w:trPr>
          <w:trHeight w:val="228"/>
        </w:trPr>
        <w:tc>
          <w:tcPr>
            <w:tcW w:w="84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7"/>
                <w:szCs w:val="17"/>
                <w:color w:val="auto"/>
              </w:rPr>
              <w:t xml:space="preserve">Gross and net balance, beginning of period </w:t>
            </w:r>
            <w:r>
              <w:rPr>
                <w:rFonts w:ascii="Arial" w:cs="Arial" w:eastAsia="Arial" w:hAnsi="Arial"/>
                <w:sz w:val="22"/>
                <w:szCs w:val="22"/>
                <w:color w:val="auto"/>
                <w:vertAlign w:val="superscript"/>
              </w:rPr>
              <w:t>(1)</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103,976</w:t>
            </w:r>
          </w:p>
        </w:tc>
      </w:tr>
      <w:tr>
        <w:trPr>
          <w:trHeight w:val="221"/>
        </w:trPr>
        <w:tc>
          <w:tcPr>
            <w:tcW w:w="8420" w:type="dxa"/>
            <w:vAlign w:val="bottom"/>
            <w:gridSpan w:val="2"/>
          </w:tcPr>
          <w:p>
            <w:pPr>
              <w:ind w:left="20"/>
              <w:spacing w:after="0"/>
              <w:rPr>
                <w:sz w:val="20"/>
                <w:szCs w:val="20"/>
                <w:color w:val="auto"/>
              </w:rPr>
            </w:pPr>
            <w:r>
              <w:rPr>
                <w:rFonts w:ascii="Arial" w:cs="Arial" w:eastAsia="Arial" w:hAnsi="Arial"/>
                <w:sz w:val="17"/>
                <w:szCs w:val="17"/>
                <w:color w:val="auto"/>
              </w:rPr>
              <w:t>Incurred related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773,530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617,035</w:t>
            </w:r>
          </w:p>
        </w:tc>
      </w:tr>
      <w:tr>
        <w:trPr>
          <w:trHeight w:val="221"/>
        </w:trPr>
        <w:tc>
          <w:tcPr>
            <w:tcW w:w="8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17,095</w:t>
            </w:r>
          </w:p>
        </w:tc>
      </w:tr>
      <w:tr>
        <w:trPr>
          <w:trHeight w:val="214"/>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incurred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737,381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634,130</w:t>
            </w:r>
          </w:p>
        </w:tc>
      </w:tr>
      <w:tr>
        <w:trPr>
          <w:trHeight w:val="221"/>
        </w:trPr>
        <w:tc>
          <w:tcPr>
            <w:tcW w:w="8420" w:type="dxa"/>
            <w:vAlign w:val="bottom"/>
            <w:gridSpan w:val="2"/>
          </w:tcPr>
          <w:p>
            <w:pPr>
              <w:ind w:left="20"/>
              <w:spacing w:after="0"/>
              <w:rPr>
                <w:sz w:val="20"/>
                <w:szCs w:val="20"/>
                <w:color w:val="auto"/>
              </w:rPr>
            </w:pPr>
            <w:r>
              <w:rPr>
                <w:rFonts w:ascii="Arial" w:cs="Arial" w:eastAsia="Arial" w:hAnsi="Arial"/>
                <w:sz w:val="17"/>
                <w:szCs w:val="17"/>
                <w:color w:val="auto"/>
              </w:rPr>
              <w:t>Paid related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649,223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494,045</w:t>
            </w:r>
          </w:p>
        </w:tc>
      </w:tr>
      <w:tr>
        <w:trPr>
          <w:trHeight w:val="221"/>
        </w:trPr>
        <w:tc>
          <w:tcPr>
            <w:tcW w:w="8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89,055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109,362</w:t>
            </w:r>
          </w:p>
        </w:tc>
      </w:tr>
      <w:tr>
        <w:trPr>
          <w:trHeight w:val="214"/>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738,278</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603,407</w:t>
            </w:r>
          </w:p>
        </w:tc>
      </w:tr>
      <w:tr>
        <w:trPr>
          <w:trHeight w:val="214"/>
        </w:trPr>
        <w:tc>
          <w:tcPr>
            <w:tcW w:w="8420" w:type="dxa"/>
            <w:vAlign w:val="bottom"/>
            <w:gridSpan w:val="2"/>
          </w:tcPr>
          <w:p>
            <w:pPr>
              <w:ind w:left="20"/>
              <w:spacing w:after="0" w:line="213" w:lineRule="exact"/>
              <w:rPr>
                <w:sz w:val="20"/>
                <w:szCs w:val="20"/>
                <w:color w:val="auto"/>
              </w:rPr>
            </w:pPr>
            <w:r>
              <w:rPr>
                <w:rFonts w:ascii="Arial" w:cs="Arial" w:eastAsia="Arial" w:hAnsi="Arial"/>
                <w:sz w:val="17"/>
                <w:szCs w:val="17"/>
                <w:color w:val="auto"/>
              </w:rPr>
              <w:t xml:space="preserve">Gross and net balance, end of period </w:t>
            </w:r>
            <w:r>
              <w:rPr>
                <w:rFonts w:ascii="Arial" w:cs="Arial" w:eastAsia="Arial" w:hAnsi="Arial"/>
                <w:sz w:val="22"/>
                <w:szCs w:val="22"/>
                <w:color w:val="auto"/>
                <w:vertAlign w:val="superscript"/>
              </w:rPr>
              <w:t>(1)(2)</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135,420</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134,699</w:t>
            </w:r>
          </w:p>
        </w:tc>
      </w:tr>
      <w:tr>
        <w:trPr>
          <w:trHeight w:val="20"/>
        </w:trPr>
        <w:tc>
          <w:tcPr>
            <w:tcW w:w="8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6216650</wp:posOffset>
            </wp:positionH>
            <wp:positionV relativeFrom="paragraph">
              <wp:posOffset>-328930</wp:posOffset>
            </wp:positionV>
            <wp:extent cx="577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-897890</wp:posOffset>
            </wp:positionV>
            <wp:extent cx="577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-1457960</wp:posOffset>
            </wp:positionV>
            <wp:extent cx="577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1" w:lineRule="exact"/>
        <w:rPr>
          <w:sz w:val="20"/>
          <w:szCs w:val="20"/>
          <w:color w:val="auto"/>
        </w:rPr>
      </w:pPr>
    </w:p>
    <w:p>
      <w:pPr>
        <w:ind w:left="200" w:hanging="196"/>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amounts due to related parties.</w:t>
      </w:r>
    </w:p>
    <w:p>
      <w:pPr>
        <w:spacing w:after="0" w:line="44" w:lineRule="exact"/>
        <w:rPr>
          <w:rFonts w:ascii="Arial" w:cs="Arial" w:eastAsia="Arial" w:hAnsi="Arial"/>
          <w:sz w:val="18"/>
          <w:szCs w:val="18"/>
          <w:color w:val="auto"/>
          <w:vertAlign w:val="superscript"/>
        </w:rPr>
      </w:pPr>
    </w:p>
    <w:p>
      <w:pPr>
        <w:ind w:left="160" w:right="560" w:hanging="156"/>
        <w:spacing w:after="0" w:line="254" w:lineRule="auto"/>
        <w:tabs>
          <w:tab w:leader="none" w:pos="199" w:val="left"/>
        </w:tabs>
        <w:numPr>
          <w:ilvl w:val="0"/>
          <w:numId w:val="7"/>
        </w:numPr>
        <w:rPr>
          <w:rFonts w:ascii="Arial" w:cs="Arial" w:eastAsia="Arial" w:hAnsi="Arial"/>
          <w:sz w:val="9"/>
          <w:szCs w:val="9"/>
          <w:color w:val="auto"/>
        </w:rPr>
      </w:pPr>
      <w:r>
        <w:rPr>
          <w:rFonts w:ascii="Arial" w:cs="Arial" w:eastAsia="Arial" w:hAnsi="Arial"/>
          <w:sz w:val="14"/>
          <w:szCs w:val="14"/>
          <w:color w:val="auto"/>
        </w:rPr>
        <w:t>Differs from the total unpaid claims amount reported on the Condensed Consolidated Balance Sheets due to the fact the figure here excludes unpaid claims for the Company's Non-Insurance operations of $6.5 million and $4.6 million as of September 30, 2022 and December 31,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Unpaid Claims for Insurance Operations</w:t>
      </w:r>
    </w:p>
    <w:p>
      <w:pPr>
        <w:spacing w:after="0" w:line="24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Unpaid claims for Insurance operations were $135.4 million as of September 30, 2022. During the nine months ended September 30, 2022, $89.1 million was paid for incurred claims attributable to insured events of prior years. A favorable development of $36.1 million was recognized during the nine months ended September 30, 2022, resulting from the Company's actual experience with claims developing differently as compared to the Company's estimates as of December 31, 2021. An unfavorable development of $17.1 million was recognized during the nine months ended September 30, 2021, resulting from the Company's actual experience with claims developing differently as compared to the Company's estimates as of December 31, 2020. Original estimates are increased 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9" w:name="page20"/>
    <w:bookmarkEnd w:id="19"/>
    <w:p>
      <w:pPr>
        <w:jc w:val="both"/>
        <w:spacing w:after="0" w:line="265" w:lineRule="auto"/>
        <w:rPr>
          <w:sz w:val="20"/>
          <w:szCs w:val="20"/>
          <w:color w:val="auto"/>
        </w:rPr>
      </w:pPr>
      <w:r>
        <w:rPr>
          <w:rFonts w:ascii="Arial" w:cs="Arial" w:eastAsia="Arial" w:hAnsi="Arial"/>
          <w:sz w:val="17"/>
          <w:szCs w:val="17"/>
          <w:color w:val="auto"/>
        </w:rPr>
        <w:t>decreased, as additional information becomes known regarding individual claims. The ratio of current year medical claims paid as a percentage of current year net medical claims incurred was 83.9% for the nine months ended September 30, 2022, and 80.1% for the nine months ended September 30, 2021. This ratio serves as an indicator of claims processing speed, indicating that claims were processed at a faster rate during the nine months ended September 30, 2022, than during the nine months ended September 30, 2021.</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Notes and Securities Payable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Seek Convertible Note</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September 25, 2020, Seek issued the Seek Convertible Note in the principal amount of $20.0 million. The note bears simple interest at an annual rate of 8.0% and matures on September 25, 2023, unless earlier accelerated, converted, or paid in full. The outstanding principal and any accrued but unpaid interest will become immediately due and payable at the election of the note holder upon the occurrence of any event of default as defined in the note. 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 The Seek Convertible Note is not guaranteed by Clover Health Investments, Corp. or any of its subsidiaries, other than Seek.</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analyzed the embedded features for derivative accounting consideration and determined that the features are clearly and closely related to the debt host and do not require separate accounting as a derivative.</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carrying amount of the note was $20.0 million and $19.9 million at September 30, 2022, and December 31, 2021, respectively. The Company capitalized $0.1 million of issuance costs which are being amortized using the effective interest method over the term of the note. Unamortized debt issuance costs were less than $0.1 million and $0.1 million at September 30, 2022, and December 31, 2021. Amortization of the debt issuance costs and interest expense on the note was $0.4 million and $0.4 million during the three months ended September 30, 2022 and 2021, respectively, and $0.8 million and $1.2 million during the nine months ended September 30, 2022 and 2021, respectively.</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effective interest rate was 8.2% during the three months ended September 30, 2022 and 2021, respectively, and 8.2% during the nine months ended September 30, 2022 and 2021,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summarizes maturities of the Company's securities payable over the next five years as of September 30,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tcPr>
          <w:p>
            <w:pPr>
              <w:jc w:val="right"/>
              <w:ind w:right="616"/>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1"/>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21"/>
        </w:trPr>
        <w:tc>
          <w:tcPr>
            <w:tcW w:w="9000" w:type="dxa"/>
            <w:vAlign w:val="bottom"/>
          </w:tcPr>
          <w:p>
            <w:pPr>
              <w:ind w:left="20"/>
              <w:spacing w:after="0"/>
              <w:rPr>
                <w:sz w:val="20"/>
                <w:szCs w:val="20"/>
                <w:color w:val="auto"/>
              </w:rPr>
            </w:pPr>
            <w:r>
              <w:rPr>
                <w:rFonts w:ascii="Arial" w:cs="Arial" w:eastAsia="Arial" w:hAnsi="Arial"/>
                <w:sz w:val="17"/>
                <w:szCs w:val="17"/>
                <w:color w:val="auto"/>
              </w:rPr>
              <w:t>2024</w:t>
            </w: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000" w:type="dxa"/>
            <w:vAlign w:val="bottom"/>
          </w:tcPr>
          <w:p>
            <w:pPr>
              <w:ind w:left="20"/>
              <w:spacing w:after="0"/>
              <w:rPr>
                <w:sz w:val="20"/>
                <w:szCs w:val="20"/>
                <w:color w:val="auto"/>
              </w:rPr>
            </w:pPr>
            <w:r>
              <w:rPr>
                <w:rFonts w:ascii="Arial" w:cs="Arial" w:eastAsia="Arial" w:hAnsi="Arial"/>
                <w:sz w:val="17"/>
                <w:szCs w:val="17"/>
                <w:color w:val="auto"/>
              </w:rPr>
              <w:t>2026</w:t>
            </w: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000" w:type="dxa"/>
            <w:vAlign w:val="bottom"/>
          </w:tcPr>
          <w:p>
            <w:pPr>
              <w:ind w:left="2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20,000</w:t>
            </w:r>
          </w:p>
        </w:tc>
      </w:tr>
      <w:tr>
        <w:trPr>
          <w:trHeight w:val="20"/>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Seek is currently in the process of winding down its operations. Upon the dissolution of Seek, the Seek Convertible Note will be deemed waived and all outstanding amounts thereunder will be cancelled and forgiven and all other rights, covenants and obligations shall terminate.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Letter of Credit</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April 19, 2018, the Company entered into a secured letter of credit agreement (the "Letter") required for its subsidiary, Clover HMO of New Jersey, Inc., for an aggregate amount of up to $2.5 million with a commercial lender that renews on an annual basis. The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Letter bears interest at a rate of 0.75%. There was an unused balance of $2.5 million at both September 30, 2022, and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Equity and Convertible Preferred Stock</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Equity</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was authorized to issue up to 2,500,000,000 shares of Class A common stock as of September 30, 2022, and December 31, 2021, and up to 500,000,000 shares of Class B common stock as of September 30, 2022, and December 31, 2021. As of September 30, 2022, and December 31, 2021, there were 383,526,634 and 352,645,626 shares of Class A common stock issued and outstanding, respectively. There were 94,394,852 and 118,206,768 shares of Class B common stock issued and outstanding as of September 30, 2022, and December 31, 2021, respectively. Class B common stock has 10 votes per share, and Class A common stock has one vote per share. The Company had 2,041,948 and 14,730 shares held in treasury as of September 30, 2022, and December 31, 2021, respectively. These amounts represent shares withheld to cover taxes upon vesting of employee stock-based awards.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authorized to issue 25,000,000 shares of preferred stock having a par value of $0.0001 per share, and the Company's board of directors (the "Board") has the authority to determine the rights, preferences, privileges, and restrictions, including voting rights, of those shares. As of September 30, 2022, there were no shares of preferred stock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Common Stock</w:t>
      </w:r>
    </w:p>
    <w:p>
      <w:pPr>
        <w:spacing w:after="0" w:line="220"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In November 2021, the Company sold 52,173,913 shares of Class A common stock at a public offering price of $5.75 per share for gross proceeds of approximately $300.0 million, before deducting underwriting discounts and commissions and other expenses payable by the Company, of $16.2 million.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Each share of Legacy Clover's preferred stock was convertible at the option of the holder, at any time and from time to time, and without the payment of additional consideration by the holder thereof, into fully paid and non-assessable shares of common stock.</w:t>
      </w:r>
    </w:p>
    <w:p>
      <w:pPr>
        <w:spacing w:after="0" w:line="159"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Pursuant to the Merger Agreement, all outstanding shares of Legacy Clover's preferred stock automatically converted into 139,444,346 shares of Class B Common Stock upon the closing of the Business Combination. For additional information, see Note 3 (Business Combination) in the 2021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Variable Interest Entity and Equity Method of Accounting</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February 4, 2022, Character Biosciences, Inc. (f/k/a Clover Therapeutics Company) ("Character Biosciences"), a subsidiary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as the primary beneficiary of the VIE because it does not have the power, through voting or similar rights and the license agreements, to direct the activities of Character Biosciences that most significantly impact Character Biosciences' economic performance.</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on the Condensed Consolidated Balance Sheets, and recognized a loss of $1.0 million and gain of $10.2 million, respectively, which is included in loss (gain) on investment on the Condensed Consolidated Statements of Operations and Comprehensive Loss for the three and nine months ended September 30, 2022.</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the Company applies the equity method to account for its common stock interest in Character Biosciences, the initial value of the investment is adjusted periodically to recognize (1) the proportionate share of the investee's net income or losses after the date of investment, (2) additional contributions made and dividends or distributions received, and (3) impairment losses resulting from adjustments to net realizable value. The Company eliminates all intercompany transactions in accounting for equity method investments and records the proportionate share of the investee's net income or loss in equity in loss on investment on the Condensed Consolidated Statements of Operations and Comprehensive Loss.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1" w:name="page22"/>
    <w:bookmarkEnd w:id="21"/>
    <w:p>
      <w:pPr>
        <w:jc w:val="both"/>
        <w:spacing w:after="0" w:line="265" w:lineRule="auto"/>
        <w:rPr>
          <w:sz w:val="20"/>
          <w:szCs w:val="20"/>
          <w:color w:val="auto"/>
        </w:rPr>
      </w:pPr>
      <w:r>
        <w:rPr>
          <w:rFonts w:ascii="Arial" w:cs="Arial" w:eastAsia="Arial" w:hAnsi="Arial"/>
          <w:sz w:val="17"/>
          <w:szCs w:val="17"/>
          <w:color w:val="auto"/>
        </w:rPr>
        <w:t xml:space="preserve">With respect to the Company's preferred stock equity interest in Character Biosciences, the Company elected the measurement alternative to value this equity investment without a readily determinable fair value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The carrying amount of the investment is included in other assets in the Condensed Consolidated Balance Sheets. In accordance with ASC 321, for each reporting period, the Company completes a qualitative assessment considering impairment indicators to evaluate whether the investment is impaired.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Employee Benefit Plans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Savings Plan</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$0.4 million and $0.3 million for the three months ended September 30, 2022 and 2021, respectively, and $1.1 million and $0.9 million for the nine months ended September 30, 2022 and 2021, respectively, and are included in salaries and benefits on the Condensed Consolidated Statements of Operations and Comprehensive Loss. The Company's cash match is invested pursuant to the participant's contribution direction. Employer contributions are immediately 100.0% vested.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Company's 2020 Equity Incentive Plan (the "2020 Plan") provides for grants of restricted stocks units ("RSUs") and options to acquire shares of the Company's common stock, par value $0.0001 per share, to employees, directors, officers, and consultants of the Company, and the Company's 2020 Management Incentive Plan (the "2020 MIP") provides for grants of RSUs to our Chief Executive Officer and President. During the year ended December 31, 2021, the Company approved the 2020 Plan and the 2020 MIP, and the 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 her commencement of employment with the Company, and such grant is an inducement material to his or her entering into employment with the Company.</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maximum number of shares of the Company's common stock reserved for issuance over the term of the Plans, shares outstanding under the Plans, and shares remaining under the Plans as of September 30, 2022, and December 31, 2021,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13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4"/>
              </w:rPr>
              <w:t>Shares</w:t>
            </w:r>
          </w:p>
        </w:tc>
      </w:tr>
      <w:tr>
        <w:trPr>
          <w:trHeight w:val="176"/>
        </w:trPr>
        <w:tc>
          <w:tcPr>
            <w:tcW w:w="7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100"/>
              <w:spacing w:after="0" w:line="176" w:lineRule="exact"/>
              <w:rPr>
                <w:sz w:val="20"/>
                <w:szCs w:val="20"/>
                <w:color w:val="auto"/>
              </w:rPr>
            </w:pPr>
            <w:r>
              <w:rPr>
                <w:rFonts w:ascii="Arial" w:cs="Arial" w:eastAsia="Arial" w:hAnsi="Arial"/>
                <w:sz w:val="17"/>
                <w:szCs w:val="17"/>
                <w:b w:val="1"/>
                <w:bCs w:val="1"/>
                <w:color w:val="auto"/>
                <w:w w:val="94"/>
              </w:rPr>
              <w:t>Authorized</w:t>
            </w:r>
          </w:p>
        </w:tc>
        <w:tc>
          <w:tcPr>
            <w:tcW w:w="1340" w:type="dxa"/>
            <w:vAlign w:val="bottom"/>
            <w:gridSpan w:val="2"/>
          </w:tcPr>
          <w:p>
            <w:pPr>
              <w:jc w:val="center"/>
              <w:ind w:right="100"/>
              <w:spacing w:after="0" w:line="176" w:lineRule="exact"/>
              <w:rPr>
                <w:sz w:val="20"/>
                <w:szCs w:val="20"/>
                <w:color w:val="auto"/>
              </w:rPr>
            </w:pPr>
            <w:r>
              <w:rPr>
                <w:rFonts w:ascii="Arial" w:cs="Arial" w:eastAsia="Arial" w:hAnsi="Arial"/>
                <w:sz w:val="17"/>
                <w:szCs w:val="17"/>
                <w:b w:val="1"/>
                <w:bCs w:val="1"/>
                <w:color w:val="auto"/>
                <w:w w:val="91"/>
              </w:rPr>
              <w:t>Outstanding</w:t>
            </w:r>
          </w:p>
        </w:tc>
        <w:tc>
          <w:tcPr>
            <w:tcW w:w="124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1"/>
              </w:rPr>
              <w:t>Remaining</w:t>
            </w:r>
          </w:p>
        </w:tc>
      </w:tr>
      <w:tr>
        <w:trPr>
          <w:trHeight w:val="226"/>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September 30, 2022</w:t>
            </w:r>
          </w:p>
        </w:tc>
        <w:tc>
          <w:tcPr>
            <w:tcW w:w="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Under Plans</w:t>
            </w:r>
          </w:p>
        </w:tc>
        <w:tc>
          <w:tcPr>
            <w:tcW w:w="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Under Plans</w:t>
            </w: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Under Plans</w:t>
            </w:r>
          </w:p>
        </w:tc>
      </w:tr>
      <w:tr>
        <w:trPr>
          <w:trHeight w:val="214"/>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2014 Plan</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54,402,264</w:t>
            </w: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36,662,098</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2020 Plan</w:t>
            </w:r>
          </w:p>
        </w:tc>
        <w:tc>
          <w:tcPr>
            <w:tcW w:w="1260" w:type="dxa"/>
            <w:vAlign w:val="bottom"/>
          </w:tcPr>
          <w:p>
            <w:pPr>
              <w:jc w:val="right"/>
              <w:spacing w:after="0"/>
              <w:rPr>
                <w:sz w:val="20"/>
                <w:szCs w:val="20"/>
                <w:color w:val="auto"/>
              </w:rPr>
            </w:pPr>
            <w:r>
              <w:rPr>
                <w:rFonts w:ascii="Arial" w:cs="Arial" w:eastAsia="Arial" w:hAnsi="Arial"/>
                <w:sz w:val="17"/>
                <w:szCs w:val="17"/>
                <w:color w:val="auto"/>
              </w:rPr>
              <w:t>31,884,272</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22,576,925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7,608,767</w:t>
            </w:r>
          </w:p>
        </w:tc>
      </w:tr>
      <w:tr>
        <w:trPr>
          <w:trHeight w:val="221"/>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2020 MIP</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33,426,983</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30,084,285</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Inducement Plan</w:t>
            </w:r>
          </w:p>
        </w:tc>
        <w:tc>
          <w:tcPr>
            <w:tcW w:w="1260" w:type="dxa"/>
            <w:vAlign w:val="bottom"/>
          </w:tcPr>
          <w:p>
            <w:pPr>
              <w:jc w:val="right"/>
              <w:spacing w:after="0"/>
              <w:rPr>
                <w:sz w:val="20"/>
                <w:szCs w:val="20"/>
                <w:color w:val="auto"/>
              </w:rPr>
            </w:pPr>
            <w:r>
              <w:rPr>
                <w:rFonts w:ascii="Arial" w:cs="Arial" w:eastAsia="Arial" w:hAnsi="Arial"/>
                <w:sz w:val="17"/>
                <w:szCs w:val="17"/>
                <w:color w:val="auto"/>
              </w:rPr>
              <w:t>11,000,000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11,000,000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13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4"/>
              </w:rPr>
              <w:t>Shares</w:t>
            </w:r>
          </w:p>
        </w:tc>
      </w:tr>
      <w:tr>
        <w:trPr>
          <w:trHeight w:val="169"/>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b w:val="1"/>
                <w:bCs w:val="1"/>
                <w:color w:val="auto"/>
                <w:w w:val="94"/>
              </w:rPr>
              <w:t>Authorized</w:t>
            </w: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b w:val="1"/>
                <w:bCs w:val="1"/>
                <w:color w:val="auto"/>
                <w:w w:val="91"/>
              </w:rPr>
              <w:t>Outstanding</w:t>
            </w:r>
          </w:p>
        </w:tc>
        <w:tc>
          <w:tcPr>
            <w:tcW w:w="124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1"/>
              </w:rPr>
              <w:t>Remaining</w:t>
            </w:r>
          </w:p>
        </w:tc>
      </w:t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December 31, 2021</w:t>
            </w: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Under Plans</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Under Plans</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Under Plans</w:t>
            </w: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2014 Plan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54,402,264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41,905,875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7240" w:type="dxa"/>
            <w:vAlign w:val="bottom"/>
          </w:tcPr>
          <w:p>
            <w:pPr>
              <w:ind w:left="20"/>
              <w:spacing w:after="0"/>
              <w:rPr>
                <w:sz w:val="20"/>
                <w:szCs w:val="20"/>
                <w:color w:val="auto"/>
              </w:rPr>
            </w:pPr>
            <w:r>
              <w:rPr>
                <w:rFonts w:ascii="Arial" w:cs="Arial" w:eastAsia="Arial" w:hAnsi="Arial"/>
                <w:sz w:val="17"/>
                <w:szCs w:val="17"/>
                <w:color w:val="auto"/>
              </w:rPr>
              <w:t>2020 Plan</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30,641,401</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6,690,048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23,442,323</w:t>
            </w:r>
          </w:p>
        </w:tc>
      </w:tr>
      <w:tr>
        <w:trPr>
          <w:trHeight w:val="221"/>
        </w:trPr>
        <w:tc>
          <w:tcPr>
            <w:tcW w:w="724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2020 MIP</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33,426,983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33,426,983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73"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Effective as of the closing of the Business Combination, the 2014 Plan was terminated, at which time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Shares may be issued from authorized but unissued Company stock.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2" w:name="page23"/>
    <w:bookmarkEnd w:id="22"/>
    <w:p>
      <w:pPr>
        <w:jc w:val="both"/>
        <w:spacing w:after="0" w:line="296" w:lineRule="auto"/>
        <w:rPr>
          <w:sz w:val="20"/>
          <w:szCs w:val="20"/>
          <w:color w:val="auto"/>
        </w:rPr>
      </w:pPr>
      <w:r>
        <w:rPr>
          <w:rFonts w:ascii="Arial" w:cs="Arial" w:eastAsia="Arial" w:hAnsi="Arial"/>
          <w:sz w:val="15"/>
          <w:szCs w:val="15"/>
          <w:color w:val="auto"/>
        </w:rPr>
        <w:t>The Plans are administered by the Talent and Compensation Committee of the Board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recorded stock-based compensation expense for options, RSUs, and performance restricted stock units ("PRSUs") granted under the Plans, the Inducement Plan, and discounts offered in connection with the Company's 2020 Employee Stock Purchase Plan ("ESPP") of $42.6 million and $46.8 million during the three months ended September 30, 2022 and 2021, respectively, and $125.2 million and $132.5 million during the nine months ended September 30, 2022 and 2021, respectively, and such expenses are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gridSpan w:val="2"/>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280" w:type="dxa"/>
            <w:vAlign w:val="bottom"/>
          </w:tcPr>
          <w:p>
            <w:pPr>
              <w:spacing w:after="0"/>
              <w:rPr>
                <w:sz w:val="19"/>
                <w:szCs w:val="19"/>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3"/>
              <w:spacing w:after="0"/>
              <w:rPr>
                <w:sz w:val="20"/>
                <w:szCs w:val="20"/>
                <w:color w:val="auto"/>
              </w:rPr>
            </w:pPr>
            <w:r>
              <w:rPr>
                <w:rFonts w:ascii="Arial" w:cs="Arial" w:eastAsia="Arial" w:hAnsi="Arial"/>
                <w:sz w:val="17"/>
                <w:szCs w:val="17"/>
                <w:b w:val="1"/>
                <w:bCs w:val="1"/>
                <w:color w:val="auto"/>
                <w:w w:val="95"/>
              </w:rPr>
              <w:t>2021</w:t>
            </w:r>
          </w:p>
        </w:tc>
      </w:tr>
      <w:tr>
        <w:trPr>
          <w:trHeight w:val="180"/>
        </w:trPr>
        <w:tc>
          <w:tcPr>
            <w:tcW w:w="8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5"/>
                <w:szCs w:val="15"/>
                <w:color w:val="auto"/>
              </w:rPr>
            </w:pPr>
          </w:p>
        </w:tc>
      </w:tr>
      <w:tr>
        <w:trPr>
          <w:trHeight w:val="228"/>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r>
      <w:tr>
        <w:trPr>
          <w:trHeight w:val="221"/>
        </w:trPr>
        <w:tc>
          <w:tcPr>
            <w:tcW w:w="8660" w:type="dxa"/>
            <w:vAlign w:val="bottom"/>
            <w:gridSpan w:val="2"/>
          </w:tcPr>
          <w:p>
            <w:pPr>
              <w:ind w:left="20"/>
              <w:spacing w:after="0"/>
              <w:rPr>
                <w:sz w:val="20"/>
                <w:szCs w:val="20"/>
                <w:color w:val="auto"/>
              </w:rPr>
            </w:pPr>
            <w:r>
              <w:rPr>
                <w:rFonts w:ascii="Arial" w:cs="Arial" w:eastAsia="Arial" w:hAnsi="Arial"/>
                <w:sz w:val="17"/>
                <w:szCs w:val="17"/>
                <w:color w:val="auto"/>
              </w:rPr>
              <w:t>RSUs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17,396</w:t>
            </w:r>
          </w:p>
        </w:tc>
      </w:tr>
      <w:tr>
        <w:trPr>
          <w:trHeight w:val="221"/>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PRSUs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27,675</w:t>
            </w:r>
          </w:p>
        </w:tc>
      </w:tr>
      <w:tr>
        <w:trPr>
          <w:trHeight w:val="221"/>
        </w:trPr>
        <w:tc>
          <w:tcPr>
            <w:tcW w:w="86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ESPP</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39"/>
        </w:trPr>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-24130</wp:posOffset>
            </wp:positionV>
            <wp:extent cx="5778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85" cy="1651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gridSpan w:val="2"/>
          </w:tcPr>
          <w:p>
            <w:pPr>
              <w:ind w:left="20"/>
              <w:spacing w:after="0"/>
              <w:rPr>
                <w:sz w:val="20"/>
                <w:szCs w:val="20"/>
                <w:color w:val="auto"/>
              </w:rPr>
            </w:pPr>
            <w:r>
              <w:rPr>
                <w:rFonts w:ascii="Arial" w:cs="Arial" w:eastAsia="Arial" w:hAnsi="Arial"/>
                <w:sz w:val="17"/>
                <w:szCs w:val="17"/>
                <w:b w:val="1"/>
                <w:bCs w:val="1"/>
                <w:color w:val="auto"/>
              </w:rPr>
              <w:t>Nine Months Ended September 30,</w:t>
            </w:r>
          </w:p>
        </w:tc>
        <w:tc>
          <w:tcPr>
            <w:tcW w:w="280" w:type="dxa"/>
            <w:vAlign w:val="bottom"/>
          </w:tcPr>
          <w:p>
            <w:pPr>
              <w:spacing w:after="0"/>
              <w:rPr>
                <w:sz w:val="19"/>
                <w:szCs w:val="19"/>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3"/>
              <w:spacing w:after="0"/>
              <w:rPr>
                <w:sz w:val="20"/>
                <w:szCs w:val="20"/>
                <w:color w:val="auto"/>
              </w:rPr>
            </w:pPr>
            <w:r>
              <w:rPr>
                <w:rFonts w:ascii="Arial" w:cs="Arial" w:eastAsia="Arial" w:hAnsi="Arial"/>
                <w:sz w:val="17"/>
                <w:szCs w:val="17"/>
                <w:b w:val="1"/>
                <w:bCs w:val="1"/>
                <w:color w:val="auto"/>
                <w:w w:val="95"/>
              </w:rPr>
              <w:t>2021</w:t>
            </w:r>
          </w:p>
        </w:tc>
      </w:tr>
      <w:tr>
        <w:trPr>
          <w:trHeight w:val="180"/>
        </w:trPr>
        <w:tc>
          <w:tcPr>
            <w:tcW w:w="8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5"/>
                <w:szCs w:val="15"/>
                <w:color w:val="auto"/>
              </w:rPr>
            </w:pPr>
          </w:p>
        </w:tc>
      </w:tr>
      <w:tr>
        <w:trPr>
          <w:trHeight w:val="228"/>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6,734</w:t>
            </w:r>
          </w:p>
        </w:tc>
      </w:tr>
      <w:tr>
        <w:trPr>
          <w:trHeight w:val="221"/>
        </w:trPr>
        <w:tc>
          <w:tcPr>
            <w:tcW w:w="8660" w:type="dxa"/>
            <w:vAlign w:val="bottom"/>
            <w:gridSpan w:val="2"/>
          </w:tcPr>
          <w:p>
            <w:pPr>
              <w:ind w:left="20"/>
              <w:spacing w:after="0"/>
              <w:rPr>
                <w:sz w:val="20"/>
                <w:szCs w:val="20"/>
                <w:color w:val="auto"/>
              </w:rPr>
            </w:pPr>
            <w:r>
              <w:rPr>
                <w:rFonts w:ascii="Arial" w:cs="Arial" w:eastAsia="Arial" w:hAnsi="Arial"/>
                <w:sz w:val="17"/>
                <w:szCs w:val="17"/>
                <w:color w:val="auto"/>
              </w:rPr>
              <w:t>RSUs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45,725</w:t>
            </w:r>
          </w:p>
        </w:tc>
      </w:tr>
      <w:tr>
        <w:trPr>
          <w:trHeight w:val="221"/>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PRSUs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80,016</w:t>
            </w:r>
          </w:p>
        </w:tc>
      </w:tr>
      <w:tr>
        <w:trPr>
          <w:trHeight w:val="221"/>
        </w:trPr>
        <w:tc>
          <w:tcPr>
            <w:tcW w:w="86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ESPP</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39"/>
        </w:trPr>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132,542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-24130</wp:posOffset>
            </wp:positionV>
            <wp:extent cx="5778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85" cy="16510"/>
                    </a:xfrm>
                    <a:prstGeom prst="rect">
                      <a:avLst/>
                    </a:prstGeom>
                    <a:noFill/>
                  </pic:spPr>
                </pic:pic>
              </a:graphicData>
            </a:graphic>
          </wp:anchor>
        </w:drawing>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September 30, 2022, there was approximately $381.0 million of unrecognized stock-based compensation expense related to unvested stock options, RSUs, PRSUs, and the ESPP, estimated to be recognized over a period of 3.96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20"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No stock options were granted during the nine months ended September 30, 2022. The assumptions that the Company used in the Black-Scholes option-pricing model to determine the grant-date fair value of stock options granted for the nine months ended September 30, 2021, respectively,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2"/>
          </w:tcPr>
          <w:p>
            <w:pPr>
              <w:ind w:left="40"/>
              <w:spacing w:after="0"/>
              <w:rPr>
                <w:sz w:val="20"/>
                <w:szCs w:val="20"/>
                <w:color w:val="auto"/>
              </w:rPr>
            </w:pPr>
            <w:r>
              <w:rPr>
                <w:rFonts w:ascii="Arial" w:cs="Arial" w:eastAsia="Arial" w:hAnsi="Arial"/>
                <w:sz w:val="17"/>
                <w:szCs w:val="17"/>
                <w:b w:val="1"/>
                <w:bCs w:val="1"/>
                <w:color w:val="auto"/>
                <w:w w:val="93"/>
              </w:rPr>
              <w:t>Nine Months Ended September 30,</w:t>
            </w:r>
          </w:p>
        </w:tc>
      </w:tr>
      <w:tr>
        <w:trPr>
          <w:trHeight w:val="226"/>
        </w:trPr>
        <w:tc>
          <w:tcPr>
            <w:tcW w:w="41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60" w:type="dxa"/>
            <w:vAlign w:val="bottom"/>
            <w:tcBorders>
              <w:bottom w:val="single" w:sz="8" w:color="auto"/>
            </w:tcBorders>
          </w:tcPr>
          <w:p>
            <w:pPr>
              <w:jc w:val="right"/>
              <w:ind w:right="1073"/>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r>
      <w:tr>
        <w:trPr>
          <w:trHeight w:val="214"/>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risk-free interest rate</w:t>
            </w:r>
          </w:p>
        </w:tc>
        <w:tc>
          <w:tcPr>
            <w:tcW w:w="7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1.06 %</w:t>
            </w:r>
          </w:p>
        </w:tc>
        <w:tc>
          <w:tcPr>
            <w:tcW w:w="20" w:type="dxa"/>
            <w:vAlign w:val="bottom"/>
          </w:tcPr>
          <w:p>
            <w:pPr>
              <w:spacing w:after="0"/>
              <w:rPr>
                <w:sz w:val="18"/>
                <w:szCs w:val="18"/>
                <w:color w:val="auto"/>
              </w:rPr>
            </w:pPr>
          </w:p>
        </w:tc>
      </w:tr>
      <w:tr>
        <w:trPr>
          <w:trHeight w:val="221"/>
        </w:trPr>
        <w:tc>
          <w:tcPr>
            <w:tcW w:w="41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7080" w:type="dxa"/>
            <w:vAlign w:val="bottom"/>
            <w:gridSpan w:val="3"/>
          </w:tcPr>
          <w:p>
            <w:pPr>
              <w:jc w:val="right"/>
              <w:ind w:right="133"/>
              <w:spacing w:after="0"/>
              <w:rPr>
                <w:sz w:val="20"/>
                <w:szCs w:val="20"/>
                <w:color w:val="auto"/>
              </w:rPr>
            </w:pPr>
            <w:r>
              <w:rPr>
                <w:rFonts w:ascii="Arial" w:cs="Arial" w:eastAsia="Arial" w:hAnsi="Arial"/>
                <w:sz w:val="17"/>
                <w:szCs w:val="17"/>
                <w:color w:val="auto"/>
              </w:rPr>
              <w:t>6.06</w:t>
            </w:r>
          </w:p>
        </w:tc>
        <w:tc>
          <w:tcPr>
            <w:tcW w:w="20" w:type="dxa"/>
            <w:vAlign w:val="bottom"/>
          </w:tcPr>
          <w:p>
            <w:pPr>
              <w:spacing w:after="0"/>
              <w:rPr>
                <w:sz w:val="19"/>
                <w:szCs w:val="19"/>
                <w:color w:val="auto"/>
              </w:rPr>
            </w:pPr>
          </w:p>
        </w:tc>
      </w:tr>
      <w:tr>
        <w:trPr>
          <w:trHeight w:val="221"/>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7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37.74 %</w:t>
            </w:r>
          </w:p>
        </w:tc>
        <w:tc>
          <w:tcPr>
            <w:tcW w:w="20" w:type="dxa"/>
            <w:vAlign w:val="bottom"/>
          </w:tcPr>
          <w:p>
            <w:pPr>
              <w:spacing w:after="0"/>
              <w:rPr>
                <w:sz w:val="19"/>
                <w:szCs w:val="19"/>
                <w:color w:val="auto"/>
              </w:rPr>
            </w:pPr>
          </w:p>
        </w:tc>
      </w:tr>
      <w:tr>
        <w:trPr>
          <w:trHeight w:val="221"/>
        </w:trPr>
        <w:tc>
          <w:tcPr>
            <w:tcW w:w="41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714"/>
        </w:trPr>
        <w:tc>
          <w:tcPr>
            <w:tcW w:w="4140" w:type="dxa"/>
            <w:vAlign w:val="bottom"/>
          </w:tcPr>
          <w:p>
            <w:pPr>
              <w:spacing w:after="0"/>
              <w:rPr>
                <w:sz w:val="24"/>
                <w:szCs w:val="24"/>
                <w:color w:val="auto"/>
              </w:rPr>
            </w:pPr>
          </w:p>
        </w:tc>
        <w:tc>
          <w:tcPr>
            <w:tcW w:w="4320" w:type="dxa"/>
            <w:vAlign w:val="bottom"/>
          </w:tcPr>
          <w:p>
            <w:pPr>
              <w:jc w:val="right"/>
              <w:ind w:right="2653"/>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14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8400" w:type="dxa"/>
            <w:vAlign w:val="bottom"/>
          </w:tcPr>
          <w:p>
            <w:pPr>
              <w:spacing w:after="0"/>
              <w:rPr>
                <w:sz w:val="20"/>
                <w:szCs w:val="20"/>
                <w:color w:val="auto"/>
              </w:rPr>
            </w:pPr>
            <w:r>
              <w:rPr>
                <w:rFonts w:ascii="Arial" w:cs="Arial" w:eastAsia="Arial" w:hAnsi="Arial"/>
                <w:sz w:val="17"/>
                <w:szCs w:val="17"/>
                <w:color w:val="auto"/>
                <w:w w:val="96"/>
              </w:rPr>
              <w:t>A summary of option activity under the 2020 Plan during the nine months ended September 30, 2022, is as follows: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840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6"/>
              </w:rPr>
              <w:t>Number of</w:t>
            </w:r>
          </w:p>
        </w:tc>
        <w:tc>
          <w:tcPr>
            <w:tcW w:w="138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Weighted-average</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options</w:t>
            </w:r>
          </w:p>
        </w:tc>
        <w:tc>
          <w:tcPr>
            <w:tcW w:w="16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w w:val="89"/>
              </w:rPr>
              <w:t>exercise price</w:t>
            </w:r>
          </w:p>
        </w:tc>
        <w:tc>
          <w:tcPr>
            <w:tcW w:w="0" w:type="dxa"/>
            <w:vAlign w:val="bottom"/>
          </w:tcPr>
          <w:p>
            <w:pPr>
              <w:spacing w:after="0"/>
              <w:rPr>
                <w:sz w:val="1"/>
                <w:szCs w:val="1"/>
                <w:color w:val="auto"/>
              </w:rPr>
            </w:pPr>
          </w:p>
        </w:tc>
      </w:tr>
      <w:tr>
        <w:trPr>
          <w:trHeight w:val="217"/>
        </w:trPr>
        <w:tc>
          <w:tcPr>
            <w:tcW w:w="8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1,753,799</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8.88</w:t>
            </w:r>
          </w:p>
        </w:tc>
        <w:tc>
          <w:tcPr>
            <w:tcW w:w="0" w:type="dxa"/>
            <w:vAlign w:val="bottom"/>
          </w:tcPr>
          <w:p>
            <w:pPr>
              <w:spacing w:after="0"/>
              <w:rPr>
                <w:sz w:val="1"/>
                <w:szCs w:val="1"/>
                <w:color w:val="auto"/>
              </w:rPr>
            </w:pPr>
          </w:p>
        </w:tc>
      </w:tr>
      <w:tr>
        <w:trPr>
          <w:trHeight w:val="221"/>
        </w:trPr>
        <w:tc>
          <w:tcPr>
            <w:tcW w:w="8400" w:type="dxa"/>
            <w:vAlign w:val="bottom"/>
          </w:tcPr>
          <w:p>
            <w:pPr>
              <w:ind w:left="120"/>
              <w:spacing w:after="0"/>
              <w:rPr>
                <w:sz w:val="20"/>
                <w:szCs w:val="20"/>
                <w:color w:val="auto"/>
              </w:rPr>
            </w:pPr>
            <w:r>
              <w:rPr>
                <w:rFonts w:ascii="Arial" w:cs="Arial" w:eastAsia="Arial" w:hAnsi="Arial"/>
                <w:sz w:val="17"/>
                <w:szCs w:val="17"/>
                <w:color w:val="auto"/>
              </w:rPr>
              <w:t>Granted during 2022</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Exercised</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(295,549)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w:t>
            </w:r>
          </w:p>
        </w:tc>
        <w:tc>
          <w:tcPr>
            <w:tcW w:w="0" w:type="dxa"/>
            <w:vAlign w:val="bottom"/>
          </w:tcPr>
          <w:p>
            <w:pPr>
              <w:spacing w:after="0"/>
              <w:rPr>
                <w:sz w:val="1"/>
                <w:szCs w:val="1"/>
                <w:color w:val="auto"/>
              </w:rPr>
            </w:pPr>
          </w:p>
        </w:tc>
      </w:tr>
      <w:tr>
        <w:trPr>
          <w:trHeight w:val="239"/>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September 30,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1,458,250</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8.88</w:t>
            </w: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w w:val="96"/>
              </w:rPr>
              <w:t>A summary of option activity under the 2014 Plan during the nine months ended September 30, 2022, is as follows:</w:t>
            </w: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8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40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6"/>
              </w:rPr>
              <w:t>Number of</w:t>
            </w:r>
          </w:p>
        </w:tc>
        <w:tc>
          <w:tcPr>
            <w:tcW w:w="138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Weighted-average</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options</w:t>
            </w:r>
          </w:p>
        </w:tc>
        <w:tc>
          <w:tcPr>
            <w:tcW w:w="16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7"/>
                <w:szCs w:val="17"/>
                <w:b w:val="1"/>
                <w:bCs w:val="1"/>
                <w:color w:val="auto"/>
                <w:w w:val="89"/>
              </w:rPr>
              <w:t>exercise price</w:t>
            </w:r>
          </w:p>
        </w:tc>
        <w:tc>
          <w:tcPr>
            <w:tcW w:w="0" w:type="dxa"/>
            <w:vAlign w:val="bottom"/>
          </w:tcPr>
          <w:p>
            <w:pPr>
              <w:spacing w:after="0"/>
              <w:rPr>
                <w:sz w:val="1"/>
                <w:szCs w:val="1"/>
                <w:color w:val="auto"/>
              </w:rPr>
            </w:pPr>
          </w:p>
        </w:tc>
      </w:tr>
      <w:tr>
        <w:trPr>
          <w:trHeight w:val="217"/>
        </w:trPr>
        <w:tc>
          <w:tcPr>
            <w:tcW w:w="8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31,155,742</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1"/>
        </w:trPr>
        <w:tc>
          <w:tcPr>
            <w:tcW w:w="8400" w:type="dxa"/>
            <w:vAlign w:val="bottom"/>
          </w:tcPr>
          <w:p>
            <w:pPr>
              <w:ind w:left="120"/>
              <w:spacing w:after="0"/>
              <w:rPr>
                <w:sz w:val="20"/>
                <w:szCs w:val="20"/>
                <w:color w:val="auto"/>
              </w:rPr>
            </w:pPr>
            <w:r>
              <w:rPr>
                <w:rFonts w:ascii="Arial" w:cs="Arial" w:eastAsia="Arial" w:hAnsi="Arial"/>
                <w:sz w:val="17"/>
                <w:szCs w:val="17"/>
                <w:color w:val="auto"/>
              </w:rPr>
              <w:t>Granted during 2022</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(4,358,008)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(882,509)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39"/>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September 30,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25,915,225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6208395</wp:posOffset>
            </wp:positionH>
            <wp:positionV relativeFrom="paragraph">
              <wp:posOffset>-1499235</wp:posOffset>
            </wp:positionV>
            <wp:extent cx="5778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-1656080</wp:posOffset>
            </wp:positionV>
            <wp:extent cx="57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-24130</wp:posOffset>
            </wp:positionV>
            <wp:extent cx="5778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-180975</wp:posOffset>
            </wp:positionV>
            <wp:extent cx="577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 date fair value of stock options granted during the nine months ended September 30, 2021, was $3.36 per share.</w:t>
      </w:r>
    </w:p>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As of September 30, 2022, outstanding stock options, substantially all of which are expected to vest, had an aggregate intrinsic value of $0.8 million, and a weighted-average remaining contractual term of 6.54 years. As of September 30, 2022, there were 21,039,422 options exercisable under the Plan, with an aggregate intrinsic value of $0.8 million, a weighted-average exercise price of $2.86 per share, and a weighted-average remaining contractual term of 6.29 years. The total value of stock options exercised during the nine months ended September 30, 2022 and 2021, was $11.3 million and $36.4 million, respectively. Cash received from stock option exercises during the nine months ended September 30, 2022 and 2021, totaled $1.0 million and $5.5 million, respectively.</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Company must redeem those shares at the original exercise price and remit payment of the forfeited portion of shares back to the 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8340" w:type="dxa"/>
            <w:vAlign w:val="bottom"/>
          </w:tcPr>
          <w:p>
            <w:pPr>
              <w:spacing w:after="0"/>
              <w:rPr>
                <w:sz w:val="20"/>
                <w:szCs w:val="20"/>
                <w:color w:val="auto"/>
              </w:rPr>
            </w:pPr>
            <w:r>
              <w:rPr>
                <w:rFonts w:ascii="Arial" w:cs="Arial" w:eastAsia="Arial" w:hAnsi="Arial"/>
                <w:sz w:val="17"/>
                <w:szCs w:val="17"/>
                <w:i w:val="1"/>
                <w:iCs w:val="1"/>
                <w:color w:val="auto"/>
              </w:rPr>
              <w:t>Restricted Stock Units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5"/>
        </w:trPr>
        <w:tc>
          <w:tcPr>
            <w:tcW w:w="8340" w:type="dxa"/>
            <w:vAlign w:val="bottom"/>
          </w:tcPr>
          <w:p>
            <w:pPr>
              <w:spacing w:after="0"/>
              <w:rPr>
                <w:sz w:val="20"/>
                <w:szCs w:val="20"/>
                <w:color w:val="auto"/>
              </w:rPr>
            </w:pPr>
            <w:r>
              <w:rPr>
                <w:rFonts w:ascii="Arial" w:cs="Arial" w:eastAsia="Arial" w:hAnsi="Arial"/>
                <w:sz w:val="17"/>
                <w:szCs w:val="17"/>
                <w:color w:val="auto"/>
              </w:rPr>
              <w:t>A summary of total RSU activity is presented below:</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2"/>
        </w:trPr>
        <w:tc>
          <w:tcPr>
            <w:tcW w:w="8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7"/>
                <w:szCs w:val="17"/>
                <w:b w:val="1"/>
                <w:bCs w:val="1"/>
                <w:color w:val="auto"/>
                <w:w w:val="91"/>
              </w:rPr>
              <w:t>Weighted-average</w:t>
            </w:r>
          </w:p>
        </w:tc>
      </w:tr>
      <w:tr>
        <w:trPr>
          <w:trHeight w:val="176"/>
        </w:trPr>
        <w:tc>
          <w:tcPr>
            <w:tcW w:w="8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73"/>
              <w:spacing w:after="0" w:line="176" w:lineRule="exact"/>
              <w:rPr>
                <w:sz w:val="20"/>
                <w:szCs w:val="20"/>
                <w:color w:val="auto"/>
              </w:rPr>
            </w:pPr>
            <w:r>
              <w:rPr>
                <w:rFonts w:ascii="Arial" w:cs="Arial" w:eastAsia="Arial" w:hAnsi="Arial"/>
                <w:sz w:val="17"/>
                <w:szCs w:val="17"/>
                <w:b w:val="1"/>
                <w:bCs w:val="1"/>
                <w:color w:val="auto"/>
                <w:w w:val="96"/>
              </w:rPr>
              <w:t>grant date fair</w:t>
            </w:r>
          </w:p>
        </w:tc>
      </w:tr>
      <w:tr>
        <w:trPr>
          <w:trHeight w:val="226"/>
        </w:trPr>
        <w:tc>
          <w:tcPr>
            <w:tcW w:w="83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Number of RSUs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9"/>
              </w:rPr>
              <w:t>value per share</w:t>
            </w:r>
          </w:p>
        </w:tc>
      </w:tr>
      <w:tr>
        <w:trPr>
          <w:trHeight w:val="214"/>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January 1, 2021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Granted during 2021</w:t>
            </w:r>
          </w:p>
        </w:tc>
        <w:tc>
          <w:tcPr>
            <w:tcW w:w="1420" w:type="dxa"/>
            <w:vAlign w:val="bottom"/>
          </w:tcPr>
          <w:p>
            <w:pPr>
              <w:jc w:val="right"/>
              <w:spacing w:after="0"/>
              <w:rPr>
                <w:sz w:val="20"/>
                <w:szCs w:val="20"/>
                <w:color w:val="auto"/>
              </w:rPr>
            </w:pPr>
            <w:r>
              <w:rPr>
                <w:rFonts w:ascii="Arial" w:cs="Arial" w:eastAsia="Arial" w:hAnsi="Arial"/>
                <w:sz w:val="17"/>
                <w:szCs w:val="17"/>
                <w:color w:val="auto"/>
              </w:rPr>
              <w:t>21,035,614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14.77</w:t>
            </w: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w:t>
            </w:r>
          </w:p>
        </w:tc>
      </w:tr>
      <w:tr>
        <w:trPr>
          <w:trHeight w:val="24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20,867,913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w:t>
            </w:r>
          </w:p>
        </w:tc>
      </w:tr>
      <w:tr>
        <w:trPr>
          <w:trHeight w:val="123"/>
        </w:trPr>
        <w:tc>
          <w:tcPr>
            <w:tcW w:w="8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21"/>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21,294,841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w:t>
            </w:r>
          </w:p>
        </w:tc>
      </w:tr>
      <w:tr>
        <w:trPr>
          <w:trHeight w:val="221"/>
        </w:trPr>
        <w:tc>
          <w:tcPr>
            <w:tcW w:w="8340" w:type="dxa"/>
            <w:vAlign w:val="bottom"/>
          </w:tcPr>
          <w:p>
            <w:pPr>
              <w:ind w:left="120"/>
              <w:spacing w:after="0"/>
              <w:rPr>
                <w:sz w:val="20"/>
                <w:szCs w:val="20"/>
                <w:color w:val="auto"/>
              </w:rPr>
            </w:pPr>
            <w:r>
              <w:rPr>
                <w:rFonts w:ascii="Arial" w:cs="Arial" w:eastAsia="Arial" w:hAnsi="Arial"/>
                <w:sz w:val="17"/>
                <w:szCs w:val="17"/>
                <w:color w:val="auto"/>
              </w:rPr>
              <w:t>Granted during 2022</w:t>
            </w:r>
          </w:p>
        </w:tc>
        <w:tc>
          <w:tcPr>
            <w:tcW w:w="1420" w:type="dxa"/>
            <w:vAlign w:val="bottom"/>
          </w:tcPr>
          <w:p>
            <w:pPr>
              <w:jc w:val="right"/>
              <w:spacing w:after="0"/>
              <w:rPr>
                <w:sz w:val="20"/>
                <w:szCs w:val="20"/>
                <w:color w:val="auto"/>
              </w:rPr>
            </w:pPr>
            <w:r>
              <w:rPr>
                <w:rFonts w:ascii="Arial" w:cs="Arial" w:eastAsia="Arial" w:hAnsi="Arial"/>
                <w:sz w:val="17"/>
                <w:szCs w:val="17"/>
                <w:color w:val="auto"/>
              </w:rPr>
              <w:t>30,094,480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21"/>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(4,518,984)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r>
      <w:tr>
        <w:trPr>
          <w:trHeight w:val="221"/>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(1,460,459)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w:t>
            </w:r>
          </w:p>
        </w:tc>
      </w:tr>
      <w:tr>
        <w:trPr>
          <w:trHeight w:val="23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45,409,878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Restricted Stock Units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granted certain PRSUs which become eligible to vest if prior to the vesting date the average closing price of one share of the Company's common stock for 90 consecutive days equals or exceeds a specified price (the "Market PRSUs"). Additionally, the Company has granted PRSUs that vest based on pre-established milestones including Company performance. The grant date fair value of the Market PRSUs is recognized as expense over the vesting period under the accelerated attribution method and is not adjusted in future periods for the success or failure to achieve the specified market condition. The Company has also determined the requisite service period for the PRSUs with multiple performance conditions to be the longest of the explicit, implicit, or derived service period for each tranche.</w:t>
      </w:r>
    </w:p>
    <w:p>
      <w:pPr>
        <w:spacing w:after="0" w:line="204"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Nine months ended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 xml:space="preserve">Expected volatility </w:t>
            </w:r>
            <w:r>
              <w:rPr>
                <w:rFonts w:ascii="Arial" w:cs="Arial" w:eastAsia="Arial" w:hAnsi="Arial"/>
                <w:sz w:val="22"/>
                <w:szCs w:val="22"/>
                <w:color w:val="auto"/>
                <w:vertAlign w:val="superscript"/>
              </w:rPr>
              <w:t>(1)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40.7 %</w:t>
            </w:r>
          </w:p>
        </w:tc>
      </w:tr>
      <w:tr>
        <w:trPr>
          <w:trHeight w:val="260"/>
        </w:trPr>
        <w:tc>
          <w:tcPr>
            <w:tcW w:w="9660" w:type="dxa"/>
            <w:vAlign w:val="bottom"/>
          </w:tcPr>
          <w:p>
            <w:pPr>
              <w:ind w:left="20"/>
              <w:spacing w:after="0"/>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2"/>
                <w:szCs w:val="22"/>
                <w:color w:val="auto"/>
                <w:vertAlign w:val="superscript"/>
              </w:rPr>
              <w:t>(2)</w:t>
            </w: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0.5</w:t>
            </w:r>
          </w:p>
        </w:tc>
      </w:tr>
      <w:tr>
        <w:trPr>
          <w:trHeight w:val="260"/>
        </w:trPr>
        <w:tc>
          <w:tcPr>
            <w:tcW w:w="9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 xml:space="preserve">Dividend yield </w:t>
            </w:r>
            <w:r>
              <w:rPr>
                <w:rFonts w:ascii="Arial" w:cs="Arial" w:eastAsia="Arial" w:hAnsi="Arial"/>
                <w:sz w:val="22"/>
                <w:szCs w:val="22"/>
                <w:color w:val="auto"/>
                <w:vertAlign w:val="superscript"/>
              </w:rPr>
              <w:t>(3)</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bl>
    <w:p>
      <w:pPr>
        <w:spacing w:after="0" w:line="59" w:lineRule="exact"/>
        <w:rPr>
          <w:sz w:val="20"/>
          <w:szCs w:val="20"/>
          <w:color w:val="auto"/>
        </w:rPr>
      </w:pPr>
    </w:p>
    <w:p>
      <w:pPr>
        <w:ind w:left="140" w:hanging="136"/>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Expected volatility is based on a blend of peer group company historical data adjusted for the Company's leverage.</w:t>
      </w:r>
    </w:p>
    <w:p>
      <w:pPr>
        <w:spacing w:after="0" w:line="14" w:lineRule="exact"/>
        <w:rPr>
          <w:rFonts w:ascii="Arial" w:cs="Arial" w:eastAsia="Arial" w:hAnsi="Arial"/>
          <w:sz w:val="9"/>
          <w:szCs w:val="9"/>
          <w:color w:val="auto"/>
        </w:rPr>
      </w:pPr>
    </w:p>
    <w:p>
      <w:pPr>
        <w:ind w:left="140" w:hanging="136"/>
        <w:spacing w:after="0" w:line="220"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Risk-free interest rate based on U.S. Treasury yields with a term equal to the remaining Performance Period as of the grant date.</w:t>
      </w:r>
    </w:p>
    <w:p>
      <w:pPr>
        <w:spacing w:after="0" w:line="5" w:lineRule="exact"/>
        <w:rPr>
          <w:rFonts w:ascii="Arial" w:cs="Arial" w:eastAsia="Arial" w:hAnsi="Arial"/>
          <w:sz w:val="16"/>
          <w:szCs w:val="16"/>
          <w:color w:val="auto"/>
          <w:vertAlign w:val="superscript"/>
        </w:rPr>
      </w:pPr>
    </w:p>
    <w:p>
      <w:pPr>
        <w:ind w:left="140" w:hanging="136"/>
        <w:spacing w:after="0" w:line="212"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Dividend yield was assumed to be zero as the Company does not anticipate paying dividends.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8280" w:type="dxa"/>
            <w:vAlign w:val="bottom"/>
            <w:gridSpan w:val="2"/>
          </w:tcPr>
          <w:p>
            <w:pPr>
              <w:spacing w:after="0"/>
              <w:rPr>
                <w:sz w:val="20"/>
                <w:szCs w:val="20"/>
                <w:color w:val="auto"/>
              </w:rPr>
            </w:pPr>
            <w:r>
              <w:rPr>
                <w:rFonts w:ascii="Arial" w:cs="Arial" w:eastAsia="Arial" w:hAnsi="Arial"/>
                <w:sz w:val="17"/>
                <w:szCs w:val="17"/>
                <w:color w:val="auto"/>
              </w:rPr>
              <w:t>A summary of PRSU activity is presented below:</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02"/>
        </w:trPr>
        <w:tc>
          <w:tcPr>
            <w:tcW w:w="8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Weighted-average</w:t>
            </w:r>
          </w:p>
        </w:tc>
      </w:tr>
      <w:tr>
        <w:trPr>
          <w:trHeight w:val="176"/>
        </w:trPr>
        <w:tc>
          <w:tcPr>
            <w:tcW w:w="8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3"/>
              <w:spacing w:after="0" w:line="176" w:lineRule="exact"/>
              <w:rPr>
                <w:sz w:val="20"/>
                <w:szCs w:val="20"/>
                <w:color w:val="auto"/>
              </w:rPr>
            </w:pPr>
            <w:r>
              <w:rPr>
                <w:rFonts w:ascii="Arial" w:cs="Arial" w:eastAsia="Arial" w:hAnsi="Arial"/>
                <w:sz w:val="17"/>
                <w:szCs w:val="17"/>
                <w:b w:val="1"/>
                <w:bCs w:val="1"/>
                <w:color w:val="auto"/>
                <w:w w:val="95"/>
              </w:rPr>
              <w:t>grant date fair</w:t>
            </w:r>
          </w:p>
        </w:tc>
      </w:tr>
      <w:tr>
        <w:trPr>
          <w:trHeight w:val="226"/>
        </w:trPr>
        <w:tc>
          <w:tcPr>
            <w:tcW w:w="8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Number of PRSUs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value per share</w:t>
            </w:r>
          </w:p>
        </w:tc>
      </w:tr>
      <w:tr>
        <w:trPr>
          <w:trHeight w:val="214"/>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January 1, 2021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Granted during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27,699,171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w:t>
            </w:r>
          </w:p>
        </w:tc>
      </w:tr>
      <w:tr>
        <w:trPr>
          <w:trHeight w:val="24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27,699,171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r>
      <w:tr>
        <w:trPr>
          <w:trHeight w:val="123"/>
        </w:trPr>
        <w:tc>
          <w:tcPr>
            <w:tcW w:w="8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21"/>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27,818,524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r>
      <w:tr>
        <w:trPr>
          <w:trHeight w:val="221"/>
        </w:trPr>
        <w:tc>
          <w:tcPr>
            <w:tcW w:w="8280" w:type="dxa"/>
            <w:vAlign w:val="bottom"/>
            <w:gridSpan w:val="2"/>
          </w:tcPr>
          <w:p>
            <w:pPr>
              <w:ind w:left="120"/>
              <w:spacing w:after="0"/>
              <w:rPr>
                <w:sz w:val="20"/>
                <w:szCs w:val="20"/>
                <w:color w:val="auto"/>
              </w:rPr>
            </w:pPr>
            <w:r>
              <w:rPr>
                <w:rFonts w:ascii="Arial" w:cs="Arial" w:eastAsia="Arial" w:hAnsi="Arial"/>
                <w:sz w:val="17"/>
                <w:szCs w:val="17"/>
                <w:color w:val="auto"/>
              </w:rPr>
              <w:t>Granted during 2022</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r>
      <w:tr>
        <w:trPr>
          <w:trHeight w:val="221"/>
        </w:trPr>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(265,306)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w:t>
            </w:r>
          </w:p>
        </w:tc>
      </w:tr>
      <w:tr>
        <w:trPr>
          <w:trHeight w:val="239"/>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Non-vested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27,539,954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September 30, 2022, there was $93.9 million of unrecognized share-based compensation expense related to PRSUs, which is expected to be recognized over a period of 3.96 years.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Employee Stock Purchase Plan</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6,312,038 shares, and the maximum number of shares that may be purchased on any single purchase date by any one participant is 5,000 shares. As of September 30, 2022, 6,097,241 shares of Class A common stock were available for issuance under the ESPP.</w:t>
      </w:r>
    </w:p>
    <w:p>
      <w:pPr>
        <w:spacing w:after="0" w:line="20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On the first day of each fiscal year, beginning with the 2022 fiscal year and ending on (and including) the first day of the 2030 fiscal year, the calculation of the maximum number of ESPP shares shall include automatic increases in an amount equal to the lesser of (i) 1.0% of the total number of shares of Class A common stock outstanding on the last day of the calendar month prior to the date of such automatic increase, and (ii) such number of shares of Class A common stock as determined by the administrator of the ESPP;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7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initial offering period for the ESPP was five months, commencing on September 1, 2021, and ending on January 31, 2022. The second offering period began on March 14, 2022, and will end on November 22, 2022, and the third offering period will begin on November 23, 2022, and end on May 21, 2023.</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report, 214,797 shares of the Company's Class A common stock have been purchased or distributed pursuant to the ESPP.</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assumptions that the Company used in the Black-Scholes option-pricing model to determine the fair value of the purchase rights under the ESPP for the nine months ended September 30, 2022, were as follows: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Nine months ended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risk-free interest rate</w:t>
            </w:r>
          </w:p>
        </w:tc>
        <w:tc>
          <w:tcPr>
            <w:tcW w:w="4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102.0 %</w:t>
            </w:r>
          </w:p>
        </w:tc>
      </w:tr>
      <w:tr>
        <w:trPr>
          <w:trHeight w:val="221"/>
        </w:trPr>
        <w:tc>
          <w:tcPr>
            <w:tcW w:w="670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4540" w:type="dxa"/>
            <w:vAlign w:val="bottom"/>
          </w:tcPr>
          <w:p>
            <w:pPr>
              <w:jc w:val="right"/>
              <w:spacing w:after="0"/>
              <w:rPr>
                <w:sz w:val="20"/>
                <w:szCs w:val="20"/>
                <w:color w:val="auto"/>
              </w:rPr>
            </w:pPr>
            <w:r>
              <w:rPr>
                <w:rFonts w:ascii="Arial" w:cs="Arial" w:eastAsia="Arial" w:hAnsi="Arial"/>
                <w:sz w:val="17"/>
                <w:szCs w:val="17"/>
                <w:color w:val="auto"/>
              </w:rPr>
              <w:t>0.69</w:t>
            </w:r>
          </w:p>
        </w:tc>
      </w:tr>
      <w:tr>
        <w:trPr>
          <w:trHeight w:val="22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4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85.6 %</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warrants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2016 and December 2017, the Company issued warrants to purchase 139,629 shares of the Company's common stock at an exercise price of $2.61 per share, and 122,052 shares of the Company's common stock at an exercise price of $3.45 per share, respectively, as part of payment to certain providers for services provided to the Company. These warrants were automatically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6" w:name="page27"/>
    <w:bookmarkEnd w:id="26"/>
    <w:p>
      <w:pPr>
        <w:jc w:val="both"/>
        <w:spacing w:after="0" w:line="285" w:lineRule="auto"/>
        <w:rPr>
          <w:sz w:val="20"/>
          <w:szCs w:val="20"/>
          <w:color w:val="auto"/>
        </w:rPr>
      </w:pPr>
      <w:r>
        <w:rPr>
          <w:rFonts w:ascii="Arial" w:cs="Arial" w:eastAsia="Arial" w:hAnsi="Arial"/>
          <w:sz w:val="17"/>
          <w:szCs w:val="17"/>
          <w:color w:val="auto"/>
        </w:rPr>
        <w:t>exercised in connection with the Business Combination. For additional information, see Note 1 (Organization and Operations), Note 3 (Business Combination), and Note 18 (Employee Benefit Plans) to the financial statements in the 2021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consolidated effective tax rate of the Company for the three months ended September 30, 2022 and 2021, was (0.0%) and (0.0%), respectively. The consolidated effective tax rate of the Company for the nine months ended September 30, 2022 and 2021, was (0.0%) and (0.0%), respectively. The Company continues to be in a net operating loss and net deferred tax asset position. As a result, and in accordance with accounting standards, the Company recorded a valuation allowance to reduce the value of the net deferred tax assets to zero. The Company believes that as of September 30, 2022, it had no material uncertain tax positions. Interest and penalties related to unrecognized tax expense (benefits) are recognized in income tax expense, when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material liabilities for interest and penalties accrued as of September 30, 2022, and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Net Loss per Share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Basic and diluted net loss per share attributable to Class A common stockholders and Class B common stockholders (collectively, "Common Stockholders") was calculated as follows:</w:t>
      </w:r>
    </w:p>
    <w:p>
      <w:pPr>
        <w:spacing w:after="0" w:line="185" w:lineRule="exact"/>
        <w:rPr>
          <w:sz w:val="20"/>
          <w:szCs w:val="20"/>
          <w:color w:val="auto"/>
        </w:rPr>
      </w:pPr>
    </w:p>
    <w:p>
      <w:pPr>
        <w:jc w:val="center"/>
        <w:ind w:left="8780"/>
        <w:spacing w:after="0"/>
        <w:rPr>
          <w:sz w:val="20"/>
          <w:szCs w:val="20"/>
          <w:color w:val="auto"/>
        </w:rPr>
      </w:pPr>
      <w:r>
        <w:rPr>
          <w:rFonts w:ascii="Arial" w:cs="Arial" w:eastAsia="Arial" w:hAnsi="Arial"/>
          <w:sz w:val="17"/>
          <w:szCs w:val="17"/>
          <w:b w:val="1"/>
          <w:bCs w:val="1"/>
          <w:color w:val="auto"/>
        </w:rPr>
        <w:t>Three Months Ended</w:t>
      </w:r>
    </w:p>
    <w:p>
      <w:pPr>
        <w:jc w:val="center"/>
        <w:ind w:left="8780"/>
        <w:spacing w:after="0"/>
        <w:rPr>
          <w:sz w:val="20"/>
          <w:szCs w:val="20"/>
          <w:color w:val="auto"/>
        </w:rPr>
      </w:pPr>
      <w:r>
        <w:rPr>
          <w:rFonts w:ascii="Arial" w:cs="Arial" w:eastAsia="Arial" w:hAnsi="Arial"/>
          <w:sz w:val="17"/>
          <w:szCs w:val="17"/>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8"/>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2021</w:t>
            </w:r>
          </w:p>
        </w:tc>
      </w:tr>
      <w:tr>
        <w:trPr>
          <w:trHeight w:val="139"/>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jc w:val="right"/>
              <w:ind w:right="713"/>
              <w:spacing w:after="0" w:line="139" w:lineRule="exact"/>
              <w:rPr>
                <w:sz w:val="20"/>
                <w:szCs w:val="20"/>
                <w:color w:val="auto"/>
              </w:rPr>
            </w:pPr>
            <w:r>
              <w:rPr>
                <w:rFonts w:ascii="Arial" w:cs="Arial" w:eastAsia="Arial" w:hAnsi="Arial"/>
                <w:sz w:val="14"/>
                <w:szCs w:val="14"/>
                <w:b w:val="1"/>
                <w:bCs w:val="1"/>
                <w:color w:val="auto"/>
              </w:rPr>
              <w:t>(in thousands,</w:t>
            </w:r>
          </w:p>
        </w:tc>
      </w:tr>
      <w:tr>
        <w:trPr>
          <w:trHeight w:val="179"/>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87"/>
              </w:rPr>
              <w:t>except per share and share amounts)</w:t>
            </w:r>
          </w:p>
        </w:tc>
      </w:tr>
      <w:tr>
        <w:trPr>
          <w:trHeight w:val="25"/>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1"/>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(34,527)</w:t>
            </w:r>
          </w:p>
        </w:tc>
      </w:tr>
      <w:tr>
        <w:trPr>
          <w:trHeight w:val="221"/>
        </w:trPr>
        <w:tc>
          <w:tcPr>
            <w:tcW w:w="880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(75,308)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(34,527)</w:t>
            </w:r>
          </w:p>
        </w:tc>
      </w:tr>
      <w:tr>
        <w:trPr>
          <w:trHeight w:val="221"/>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weighted average number of common shares and common share equivalents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477,690,204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414,572,706</w:t>
            </w:r>
          </w:p>
        </w:tc>
      </w:tr>
      <w:tr>
        <w:trPr>
          <w:trHeight w:val="214"/>
        </w:trPr>
        <w:tc>
          <w:tcPr>
            <w:tcW w:w="880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left="8780"/>
        <w:spacing w:after="0"/>
        <w:rPr>
          <w:sz w:val="20"/>
          <w:szCs w:val="20"/>
          <w:color w:val="auto"/>
        </w:rPr>
      </w:pPr>
      <w:r>
        <w:rPr>
          <w:rFonts w:ascii="Arial" w:cs="Arial" w:eastAsia="Arial" w:hAnsi="Arial"/>
          <w:sz w:val="17"/>
          <w:szCs w:val="17"/>
          <w:b w:val="1"/>
          <w:bCs w:val="1"/>
          <w:color w:val="auto"/>
        </w:rPr>
        <w:t>Nine Months Ended</w:t>
      </w:r>
    </w:p>
    <w:p>
      <w:pPr>
        <w:jc w:val="center"/>
        <w:ind w:left="8780"/>
        <w:spacing w:after="0"/>
        <w:rPr>
          <w:sz w:val="20"/>
          <w:szCs w:val="20"/>
          <w:color w:val="auto"/>
        </w:rPr>
      </w:pPr>
      <w:r>
        <w:rPr>
          <w:rFonts w:ascii="Arial" w:cs="Arial" w:eastAsia="Arial" w:hAnsi="Arial"/>
          <w:sz w:val="17"/>
          <w:szCs w:val="17"/>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8"/>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2021</w:t>
            </w:r>
          </w:p>
        </w:tc>
      </w:tr>
      <w:tr>
        <w:trPr>
          <w:trHeight w:val="126"/>
        </w:trPr>
        <w:tc>
          <w:tcPr>
            <w:tcW w:w="8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4"/>
          </w:tcPr>
          <w:p>
            <w:pPr>
              <w:jc w:val="right"/>
              <w:ind w:right="713"/>
              <w:spacing w:after="0" w:line="127" w:lineRule="exact"/>
              <w:rPr>
                <w:sz w:val="20"/>
                <w:szCs w:val="20"/>
                <w:color w:val="auto"/>
              </w:rPr>
            </w:pPr>
            <w:r>
              <w:rPr>
                <w:rFonts w:ascii="Arial" w:cs="Arial" w:eastAsia="Arial" w:hAnsi="Arial"/>
                <w:sz w:val="14"/>
                <w:szCs w:val="14"/>
                <w:b w:val="1"/>
                <w:bCs w:val="1"/>
                <w:color w:val="auto"/>
              </w:rPr>
              <w:t>(in thousands,</w:t>
            </w:r>
          </w:p>
        </w:tc>
      </w:tr>
      <w:tr>
        <w:trPr>
          <w:trHeight w:val="179"/>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87"/>
              </w:rPr>
              <w:t>except per share and share amounts)</w:t>
            </w:r>
          </w:p>
        </w:tc>
      </w:tr>
      <w:tr>
        <w:trPr>
          <w:trHeight w:val="38"/>
        </w:trPr>
        <w:tc>
          <w:tcPr>
            <w:tcW w:w="8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1"/>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(400,555)</w:t>
            </w:r>
          </w:p>
        </w:tc>
      </w:tr>
      <w:tr>
        <w:trPr>
          <w:trHeight w:val="221"/>
        </w:trPr>
        <w:tc>
          <w:tcPr>
            <w:tcW w:w="880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(254,798)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(400,555)</w:t>
            </w:r>
          </w:p>
        </w:tc>
      </w:tr>
      <w:tr>
        <w:trPr>
          <w:trHeight w:val="221"/>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weighted average number of common shares and common share equivalents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475,609,571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410,417,493</w:t>
            </w:r>
          </w:p>
        </w:tc>
      </w:tr>
      <w:tr>
        <w:trPr>
          <w:trHeight w:val="214"/>
        </w:trPr>
        <w:tc>
          <w:tcPr>
            <w:tcW w:w="880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(0.98)</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the Company had a net loss during the three and nine months ended September 30, 2022 and 2021,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7" w:name="page28"/>
    <w:bookmarkEnd w:id="27"/>
    <w:p>
      <w:pPr>
        <w:jc w:val="center"/>
        <w:ind w:left="8640"/>
        <w:spacing w:after="0"/>
        <w:rPr>
          <w:sz w:val="20"/>
          <w:szCs w:val="20"/>
          <w:color w:val="auto"/>
        </w:rPr>
      </w:pPr>
      <w:r>
        <w:rPr>
          <w:rFonts w:ascii="Arial" w:cs="Arial" w:eastAsia="Arial" w:hAnsi="Arial"/>
          <w:sz w:val="17"/>
          <w:szCs w:val="17"/>
          <w:b w:val="1"/>
          <w:bCs w:val="1"/>
          <w:color w:val="auto"/>
        </w:rPr>
        <w:t>Three Months Ended</w:t>
      </w:r>
    </w:p>
    <w:p>
      <w:pPr>
        <w:jc w:val="center"/>
        <w:ind w:left="8640"/>
        <w:spacing w:after="0"/>
        <w:rPr>
          <w:sz w:val="20"/>
          <w:szCs w:val="20"/>
          <w:color w:val="auto"/>
        </w:rPr>
      </w:pPr>
      <w:r>
        <w:rPr>
          <w:rFonts w:ascii="Arial" w:cs="Arial" w:eastAsia="Arial" w:hAnsi="Arial"/>
          <w:sz w:val="17"/>
          <w:szCs w:val="17"/>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r>
      <w:tr>
        <w:trPr>
          <w:trHeight w:val="214"/>
        </w:trPr>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27,373,475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33,477,833</w:t>
            </w:r>
          </w:p>
        </w:tc>
      </w:tr>
      <w:tr>
        <w:trPr>
          <w:trHeight w:val="221"/>
        </w:trPr>
        <w:tc>
          <w:tcPr>
            <w:tcW w:w="8660" w:type="dxa"/>
            <w:vAlign w:val="bottom"/>
          </w:tcPr>
          <w:p>
            <w:pPr>
              <w:ind w:left="20"/>
              <w:spacing w:after="0"/>
              <w:rPr>
                <w:sz w:val="20"/>
                <w:szCs w:val="20"/>
                <w:color w:val="auto"/>
              </w:rPr>
            </w:pPr>
            <w:r>
              <w:rPr>
                <w:rFonts w:ascii="Arial" w:cs="Arial" w:eastAsia="Arial" w:hAnsi="Arial"/>
                <w:sz w:val="17"/>
                <w:szCs w:val="17"/>
                <w:color w:val="auto"/>
              </w:rPr>
              <w:t>RSUs</w:t>
            </w:r>
          </w:p>
        </w:tc>
        <w:tc>
          <w:tcPr>
            <w:tcW w:w="1240" w:type="dxa"/>
            <w:vAlign w:val="bottom"/>
          </w:tcPr>
          <w:p>
            <w:pPr>
              <w:jc w:val="right"/>
              <w:spacing w:after="0"/>
              <w:rPr>
                <w:sz w:val="20"/>
                <w:szCs w:val="20"/>
                <w:color w:val="auto"/>
              </w:rPr>
            </w:pPr>
            <w:r>
              <w:rPr>
                <w:rFonts w:ascii="Arial" w:cs="Arial" w:eastAsia="Arial" w:hAnsi="Arial"/>
                <w:sz w:val="17"/>
                <w:szCs w:val="17"/>
                <w:color w:val="auto"/>
              </w:rPr>
              <w:t>45,409,878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21,106,720</w:t>
            </w:r>
          </w:p>
        </w:tc>
      </w:tr>
      <w:tr>
        <w:trPr>
          <w:trHeight w:val="221"/>
        </w:trPr>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PRSUs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27,539,954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8660" w:type="dxa"/>
            <w:vAlign w:val="bottom"/>
          </w:tcPr>
          <w:p>
            <w:pPr>
              <w:ind w:left="120"/>
              <w:spacing w:after="0"/>
              <w:rPr>
                <w:sz w:val="20"/>
                <w:szCs w:val="20"/>
                <w:color w:val="auto"/>
              </w:rPr>
            </w:pPr>
            <w:r>
              <w:rPr>
                <w:rFonts w:ascii="Arial" w:cs="Arial" w:eastAsia="Arial" w:hAnsi="Arial"/>
                <w:sz w:val="17"/>
                <w:szCs w:val="17"/>
                <w:color w:val="auto"/>
              </w:rPr>
              <w:t>Total anti-dilutive shares excluded from computation of net loss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100,323,307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54,584,553</w:t>
            </w: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-608965</wp:posOffset>
            </wp:positionV>
            <wp:extent cx="57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92" w:lineRule="exact"/>
        <w:rPr>
          <w:sz w:val="20"/>
          <w:szCs w:val="20"/>
          <w:color w:val="auto"/>
        </w:rPr>
      </w:pPr>
    </w:p>
    <w:p>
      <w:pPr>
        <w:jc w:val="center"/>
        <w:ind w:left="8640"/>
        <w:spacing w:after="0"/>
        <w:rPr>
          <w:sz w:val="20"/>
          <w:szCs w:val="20"/>
          <w:color w:val="auto"/>
        </w:rPr>
      </w:pPr>
      <w:r>
        <w:rPr>
          <w:rFonts w:ascii="Arial" w:cs="Arial" w:eastAsia="Arial" w:hAnsi="Arial"/>
          <w:sz w:val="17"/>
          <w:szCs w:val="17"/>
          <w:b w:val="1"/>
          <w:bCs w:val="1"/>
          <w:color w:val="auto"/>
        </w:rPr>
        <w:t>Nine Months Ended</w:t>
      </w:r>
    </w:p>
    <w:p>
      <w:pPr>
        <w:jc w:val="center"/>
        <w:ind w:left="8640"/>
        <w:spacing w:after="0"/>
        <w:rPr>
          <w:sz w:val="20"/>
          <w:szCs w:val="20"/>
          <w:color w:val="auto"/>
        </w:rPr>
      </w:pPr>
      <w:r>
        <w:rPr>
          <w:rFonts w:ascii="Arial" w:cs="Arial" w:eastAsia="Arial" w:hAnsi="Arial"/>
          <w:sz w:val="17"/>
          <w:szCs w:val="17"/>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r>
      <w:tr>
        <w:trPr>
          <w:trHeight w:val="240"/>
        </w:trPr>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27,373,475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33,477,833</w:t>
            </w:r>
          </w:p>
        </w:tc>
      </w:tr>
      <w:tr>
        <w:trPr>
          <w:trHeight w:val="221"/>
        </w:trPr>
        <w:tc>
          <w:tcPr>
            <w:tcW w:w="8660" w:type="dxa"/>
            <w:vAlign w:val="bottom"/>
          </w:tcPr>
          <w:p>
            <w:pPr>
              <w:ind w:left="20"/>
              <w:spacing w:after="0"/>
              <w:rPr>
                <w:sz w:val="20"/>
                <w:szCs w:val="20"/>
                <w:color w:val="auto"/>
              </w:rPr>
            </w:pPr>
            <w:r>
              <w:rPr>
                <w:rFonts w:ascii="Arial" w:cs="Arial" w:eastAsia="Arial" w:hAnsi="Arial"/>
                <w:sz w:val="17"/>
                <w:szCs w:val="17"/>
                <w:color w:val="auto"/>
              </w:rPr>
              <w:t>RSUs</w:t>
            </w:r>
          </w:p>
        </w:tc>
        <w:tc>
          <w:tcPr>
            <w:tcW w:w="1240" w:type="dxa"/>
            <w:vAlign w:val="bottom"/>
          </w:tcPr>
          <w:p>
            <w:pPr>
              <w:jc w:val="right"/>
              <w:spacing w:after="0"/>
              <w:rPr>
                <w:sz w:val="20"/>
                <w:szCs w:val="20"/>
                <w:color w:val="auto"/>
              </w:rPr>
            </w:pPr>
            <w:r>
              <w:rPr>
                <w:rFonts w:ascii="Arial" w:cs="Arial" w:eastAsia="Arial" w:hAnsi="Arial"/>
                <w:sz w:val="17"/>
                <w:szCs w:val="17"/>
                <w:color w:val="auto"/>
              </w:rPr>
              <w:t>45,409,878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21,106,720</w:t>
            </w:r>
          </w:p>
        </w:tc>
      </w:tr>
      <w:tr>
        <w:trPr>
          <w:trHeight w:val="221"/>
        </w:trPr>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PRSUs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27,539,954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8660" w:type="dxa"/>
            <w:vAlign w:val="bottom"/>
          </w:tcPr>
          <w:p>
            <w:pPr>
              <w:ind w:left="120"/>
              <w:spacing w:after="0"/>
              <w:rPr>
                <w:sz w:val="20"/>
                <w:szCs w:val="20"/>
                <w:color w:val="auto"/>
              </w:rPr>
            </w:pPr>
            <w:r>
              <w:rPr>
                <w:rFonts w:ascii="Arial" w:cs="Arial" w:eastAsia="Arial" w:hAnsi="Arial"/>
                <w:sz w:val="17"/>
                <w:szCs w:val="17"/>
                <w:color w:val="auto"/>
              </w:rPr>
              <w:t>Total anti-dilutive shares excluded from computation of net loss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100,323,307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54,584,553</w:t>
            </w: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-625475</wp:posOffset>
            </wp:positionV>
            <wp:extent cx="577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Actions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September 30, 2022, and December 31, 2021, respectively, there were no material known contingent liabilities arising outside the normal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Actions and Derivative Litigation</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an article issued on February 4, 2021, by Hindenburg Research LLC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fourth action was filed in the United States District of Delaware and is captioned Wiegand v. Garipalli, et al., Case No. 1:21-cv-01053 (D. Del.). The initial complaint asserted violations of sections 14(a) and 20(a) of the Exchange Act, breach of fiduciary duty,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7"/>
          <w:szCs w:val="17"/>
          <w:color w:val="auto"/>
        </w:rPr>
        <w:t>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of these cases remain in the preliminary stages. Given the inherent uncertainty of litigation and the legal standards that must be met, including class certification and success on the merits, the Company has determined that it is not probable or estimable that an unfavorable outcome or potential loss will occur. Clover intends to vigorously defend itself against the claims asserted against 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Guaranty Assessments</w:t>
      </w:r>
    </w:p>
    <w:p>
      <w:pPr>
        <w:spacing w:after="0" w:line="220"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Non-Insurance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April 2021, the Company began participating in the DC Model, which utilizes a structured model intended to reduce expenditures and preserve or enhance quality of care for beneficiaries in Medicare fee-for-service ("FFS"). As a participating entity in the DC Model with a global risk arrangement, the Company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 The Company's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operations in connection with the DC Model are included in the Non-Insurance operating segment. See Note 17 (Operating Segments) for additional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Guarantees</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see Note 2 (Summary of Significant Accounting Policies) and Note 22 (Direct Contracting) in the 2021 Form 10-K.</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60" w:type="dxa"/>
            <w:vAlign w:val="bottom"/>
          </w:tcPr>
          <w:p>
            <w:pPr>
              <w:spacing w:after="0"/>
              <w:rPr>
                <w:sz w:val="20"/>
                <w:szCs w:val="20"/>
                <w:color w:val="auto"/>
              </w:rPr>
            </w:pPr>
            <w:r>
              <w:rPr>
                <w:rFonts w:ascii="Arial" w:cs="Arial" w:eastAsia="Arial" w:hAnsi="Arial"/>
                <w:sz w:val="17"/>
                <w:szCs w:val="17"/>
                <w:color w:val="auto"/>
              </w:rPr>
              <w:t>The tables below include the financial statement impacts of the performance guarantee:</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80"/>
        </w:trPr>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8"/>
              <w:spacing w:after="0"/>
              <w:rPr>
                <w:sz w:val="20"/>
                <w:szCs w:val="20"/>
                <w:color w:val="auto"/>
              </w:rPr>
            </w:pPr>
            <w:r>
              <w:rPr>
                <w:rFonts w:ascii="Arial" w:cs="Arial" w:eastAsia="Arial" w:hAnsi="Arial"/>
                <w:sz w:val="17"/>
                <w:szCs w:val="17"/>
                <w:b w:val="1"/>
                <w:bCs w:val="1"/>
                <w:color w:val="auto"/>
                <w:w w:val="98"/>
              </w:rPr>
              <w:t>September 30, 2022</w:t>
            </w:r>
          </w:p>
        </w:tc>
        <w:tc>
          <w:tcPr>
            <w:tcW w:w="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0"/>
              </w:rPr>
              <w:t>September 30, 2021</w:t>
            </w:r>
          </w:p>
        </w:tc>
      </w:tr>
      <w:tr>
        <w:trPr>
          <w:trHeight w:val="180"/>
        </w:trPr>
        <w:tc>
          <w:tcPr>
            <w:tcW w:w="6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5"/>
                <w:szCs w:val="15"/>
                <w:color w:val="auto"/>
              </w:rPr>
            </w:pP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Non-Insurance performance year receivable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585,901</w:t>
            </w:r>
          </w:p>
        </w:tc>
        <w:tc>
          <w:tcPr>
            <w:tcW w:w="4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220,738</w:t>
            </w:r>
          </w:p>
        </w:tc>
      </w:tr>
      <w:tr>
        <w:trPr>
          <w:trHeight w:val="218"/>
        </w:trPr>
        <w:tc>
          <w:tcPr>
            <w:tcW w:w="66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Non-Insurance performance year obligation </w:t>
            </w:r>
            <w:r>
              <w:rPr>
                <w:rFonts w:ascii="Arial" w:cs="Arial" w:eastAsia="Arial" w:hAnsi="Arial"/>
                <w:sz w:val="22"/>
                <w:szCs w:val="22"/>
                <w:color w:val="auto"/>
                <w:vertAlign w:val="superscript"/>
              </w:rPr>
              <w:t>(1)</w:t>
            </w:r>
          </w:p>
        </w:tc>
        <w:tc>
          <w:tcPr>
            <w:tcW w:w="2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655,849</w:t>
            </w:r>
          </w:p>
        </w:tc>
        <w:tc>
          <w:tcPr>
            <w:tcW w:w="4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244,599</w:t>
            </w:r>
          </w:p>
        </w:tc>
      </w:tr>
    </w:tbl>
    <w:p>
      <w:pPr>
        <w:ind w:left="160" w:hanging="139"/>
        <w:spacing w:after="0" w:line="211" w:lineRule="auto"/>
        <w:tabs>
          <w:tab w:leader="none" w:pos="16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This obligation represents the consideration due to providers, net of the shared savings or loss for the period and amortization of the liability.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56"/>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7"/>
                <w:szCs w:val="17"/>
                <w:b w:val="1"/>
                <w:bCs w:val="1"/>
                <w:color w:val="auto"/>
              </w:rPr>
              <w:t>Nine Months Ended</w:t>
            </w:r>
          </w:p>
        </w:tc>
      </w:tr>
      <w:tr>
        <w:trPr>
          <w:trHeight w:val="230"/>
        </w:trPr>
        <w:tc>
          <w:tcPr>
            <w:tcW w:w="6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b w:val="1"/>
                <w:bCs w:val="1"/>
                <w:color w:val="auto"/>
                <w:w w:val="90"/>
              </w:rPr>
              <w:t>September 30, 2022</w:t>
            </w:r>
          </w:p>
        </w:tc>
        <w:tc>
          <w:tcPr>
            <w:tcW w:w="4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September 30, 2022</w:t>
            </w:r>
          </w:p>
        </w:tc>
      </w:tr>
      <w:tr>
        <w:trPr>
          <w:trHeight w:val="184"/>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5"/>
                <w:szCs w:val="15"/>
                <w:color w:val="auto"/>
              </w:rPr>
            </w:pP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the Non-Insurance performance year receivable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center"/>
              <w:ind w:left="1176"/>
              <w:spacing w:after="0"/>
              <w:rPr>
                <w:sz w:val="20"/>
                <w:szCs w:val="20"/>
                <w:color w:val="auto"/>
              </w:rPr>
            </w:pPr>
            <w:r>
              <w:rPr>
                <w:rFonts w:ascii="Arial" w:cs="Arial" w:eastAsia="Arial" w:hAnsi="Arial"/>
                <w:sz w:val="17"/>
                <w:szCs w:val="17"/>
                <w:color w:val="auto"/>
                <w:w w:val="93"/>
              </w:rPr>
              <w:t>(593,020)</w:t>
            </w:r>
          </w:p>
        </w:tc>
        <w:tc>
          <w:tcPr>
            <w:tcW w:w="4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center"/>
              <w:ind w:left="933"/>
              <w:spacing w:after="0"/>
              <w:rPr>
                <w:sz w:val="20"/>
                <w:szCs w:val="20"/>
                <w:color w:val="auto"/>
              </w:rPr>
            </w:pPr>
            <w:r>
              <w:rPr>
                <w:rFonts w:ascii="Arial" w:cs="Arial" w:eastAsia="Arial" w:hAnsi="Arial"/>
                <w:sz w:val="17"/>
                <w:szCs w:val="17"/>
                <w:color w:val="auto"/>
                <w:w w:val="91"/>
              </w:rPr>
              <w:t>(1,757,702)</w:t>
            </w:r>
          </w:p>
        </w:tc>
      </w:tr>
      <w:tr>
        <w:trPr>
          <w:trHeight w:val="221"/>
        </w:trPr>
        <w:tc>
          <w:tcPr>
            <w:tcW w:w="6660" w:type="dxa"/>
            <w:vAlign w:val="bottom"/>
          </w:tcPr>
          <w:p>
            <w:pPr>
              <w:ind w:left="20"/>
              <w:spacing w:after="0"/>
              <w:rPr>
                <w:sz w:val="20"/>
                <w:szCs w:val="20"/>
                <w:color w:val="auto"/>
              </w:rPr>
            </w:pPr>
            <w:r>
              <w:rPr>
                <w:rFonts w:ascii="Arial" w:cs="Arial" w:eastAsia="Arial" w:hAnsi="Arial"/>
                <w:sz w:val="17"/>
                <w:szCs w:val="17"/>
                <w:color w:val="auto"/>
              </w:rPr>
              <w:t>Amortization of the Non-Insurance performance year obligation</w:t>
            </w:r>
          </w:p>
        </w:tc>
        <w:tc>
          <w:tcPr>
            <w:tcW w:w="220" w:type="dxa"/>
            <w:vAlign w:val="bottom"/>
          </w:tcPr>
          <w:p>
            <w:pPr>
              <w:spacing w:after="0"/>
              <w:rPr>
                <w:sz w:val="19"/>
                <w:szCs w:val="19"/>
                <w:color w:val="auto"/>
              </w:rPr>
            </w:pPr>
          </w:p>
        </w:tc>
        <w:tc>
          <w:tcPr>
            <w:tcW w:w="2060" w:type="dxa"/>
            <w:vAlign w:val="bottom"/>
          </w:tcPr>
          <w:p>
            <w:pPr>
              <w:jc w:val="center"/>
              <w:ind w:left="1216"/>
              <w:spacing w:after="0"/>
              <w:rPr>
                <w:sz w:val="20"/>
                <w:szCs w:val="20"/>
                <w:color w:val="auto"/>
              </w:rPr>
            </w:pPr>
            <w:r>
              <w:rPr>
                <w:rFonts w:ascii="Arial" w:cs="Arial" w:eastAsia="Arial" w:hAnsi="Arial"/>
                <w:sz w:val="17"/>
                <w:szCs w:val="17"/>
                <w:color w:val="auto"/>
                <w:w w:val="91"/>
              </w:rPr>
              <w:t>593,020</w:t>
            </w:r>
          </w:p>
        </w:tc>
        <w:tc>
          <w:tcPr>
            <w:tcW w:w="440" w:type="dxa"/>
            <w:vAlign w:val="bottom"/>
          </w:tcPr>
          <w:p>
            <w:pPr>
              <w:spacing w:after="0"/>
              <w:rPr>
                <w:sz w:val="19"/>
                <w:szCs w:val="19"/>
                <w:color w:val="auto"/>
              </w:rPr>
            </w:pPr>
          </w:p>
        </w:tc>
        <w:tc>
          <w:tcPr>
            <w:tcW w:w="1860" w:type="dxa"/>
            <w:vAlign w:val="bottom"/>
          </w:tcPr>
          <w:p>
            <w:pPr>
              <w:jc w:val="center"/>
              <w:ind w:left="953"/>
              <w:spacing w:after="0"/>
              <w:rPr>
                <w:sz w:val="20"/>
                <w:szCs w:val="20"/>
                <w:color w:val="auto"/>
              </w:rPr>
            </w:pPr>
            <w:r>
              <w:rPr>
                <w:rFonts w:ascii="Arial" w:cs="Arial" w:eastAsia="Arial" w:hAnsi="Arial"/>
                <w:sz w:val="17"/>
                <w:szCs w:val="17"/>
                <w:color w:val="auto"/>
                <w:w w:val="92"/>
              </w:rPr>
              <w:t>1,757,702</w:t>
            </w:r>
          </w:p>
        </w:tc>
      </w:tr>
      <w:tr>
        <w:trPr>
          <w:trHeight w:val="247"/>
        </w:trPr>
        <w:tc>
          <w:tcPr>
            <w:tcW w:w="6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21"/>
        </w:trPr>
        <w:tc>
          <w:tcPr>
            <w:tcW w:w="6660" w:type="dxa"/>
            <w:vAlign w:val="bottom"/>
          </w:tcPr>
          <w:p>
            <w:pPr>
              <w:ind w:left="20"/>
              <w:spacing w:after="0"/>
              <w:rPr>
                <w:sz w:val="20"/>
                <w:szCs w:val="20"/>
                <w:color w:val="auto"/>
              </w:rPr>
            </w:pPr>
            <w:r>
              <w:rPr>
                <w:rFonts w:ascii="Arial" w:cs="Arial" w:eastAsia="Arial" w:hAnsi="Arial"/>
                <w:sz w:val="17"/>
                <w:szCs w:val="17"/>
                <w:color w:val="auto"/>
              </w:rPr>
              <w:t>Non-Insurance revenue</w:t>
            </w:r>
          </w:p>
        </w:tc>
        <w:tc>
          <w:tcPr>
            <w:tcW w:w="220" w:type="dxa"/>
            <w:vAlign w:val="bottom"/>
          </w:tcPr>
          <w:p>
            <w:pPr>
              <w:spacing w:after="0"/>
              <w:rPr>
                <w:sz w:val="19"/>
                <w:szCs w:val="19"/>
                <w:color w:val="auto"/>
              </w:rPr>
            </w:pPr>
          </w:p>
        </w:tc>
        <w:tc>
          <w:tcPr>
            <w:tcW w:w="2060" w:type="dxa"/>
            <w:vAlign w:val="bottom"/>
          </w:tcPr>
          <w:p>
            <w:pPr>
              <w:jc w:val="center"/>
              <w:ind w:left="1216"/>
              <w:spacing w:after="0"/>
              <w:rPr>
                <w:sz w:val="20"/>
                <w:szCs w:val="20"/>
                <w:color w:val="auto"/>
              </w:rPr>
            </w:pPr>
            <w:r>
              <w:rPr>
                <w:rFonts w:ascii="Arial" w:cs="Arial" w:eastAsia="Arial" w:hAnsi="Arial"/>
                <w:sz w:val="17"/>
                <w:szCs w:val="17"/>
                <w:color w:val="auto"/>
                <w:w w:val="91"/>
              </w:rPr>
              <w:t>585,311</w:t>
            </w:r>
          </w:p>
        </w:tc>
        <w:tc>
          <w:tcPr>
            <w:tcW w:w="440" w:type="dxa"/>
            <w:vAlign w:val="bottom"/>
          </w:tcPr>
          <w:p>
            <w:pPr>
              <w:spacing w:after="0"/>
              <w:rPr>
                <w:sz w:val="19"/>
                <w:szCs w:val="19"/>
                <w:color w:val="auto"/>
              </w:rPr>
            </w:pPr>
          </w:p>
        </w:tc>
        <w:tc>
          <w:tcPr>
            <w:tcW w:w="1860" w:type="dxa"/>
            <w:vAlign w:val="bottom"/>
          </w:tcPr>
          <w:p>
            <w:pPr>
              <w:jc w:val="center"/>
              <w:ind w:left="953"/>
              <w:spacing w:after="0"/>
              <w:rPr>
                <w:sz w:val="20"/>
                <w:szCs w:val="20"/>
                <w:color w:val="auto"/>
              </w:rPr>
            </w:pPr>
            <w:r>
              <w:rPr>
                <w:rFonts w:ascii="Arial" w:cs="Arial" w:eastAsia="Arial" w:hAnsi="Arial"/>
                <w:sz w:val="17"/>
                <w:szCs w:val="17"/>
                <w:color w:val="auto"/>
                <w:w w:val="92"/>
              </w:rPr>
              <w:t>1,757,579</w:t>
            </w: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center"/>
              <w:ind w:right="156"/>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7"/>
                <w:szCs w:val="17"/>
                <w:b w:val="1"/>
                <w:bCs w:val="1"/>
                <w:color w:val="auto"/>
              </w:rPr>
              <w:t>Nine Months Ended</w:t>
            </w:r>
          </w:p>
        </w:tc>
      </w:tr>
      <w:tr>
        <w:trPr>
          <w:trHeight w:val="226"/>
        </w:trPr>
        <w:tc>
          <w:tcPr>
            <w:tcW w:w="5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b w:val="1"/>
                <w:bCs w:val="1"/>
                <w:color w:val="auto"/>
                <w:w w:val="90"/>
              </w:rPr>
              <w:t>September 30, 2021</w:t>
            </w:r>
          </w:p>
        </w:tc>
        <w:tc>
          <w:tcPr>
            <w:tcW w:w="4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September 30, 2021</w:t>
            </w:r>
          </w:p>
        </w:tc>
      </w:tr>
      <w:tr>
        <w:trPr>
          <w:trHeight w:val="180"/>
        </w:trPr>
        <w:tc>
          <w:tcPr>
            <w:tcW w:w="5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5"/>
                <w:szCs w:val="15"/>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the Non-Insurance performance year receivable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center"/>
              <w:ind w:left="1176"/>
              <w:spacing w:after="0"/>
              <w:rPr>
                <w:sz w:val="20"/>
                <w:szCs w:val="20"/>
                <w:color w:val="auto"/>
              </w:rPr>
            </w:pPr>
            <w:r>
              <w:rPr>
                <w:rFonts w:ascii="Arial" w:cs="Arial" w:eastAsia="Arial" w:hAnsi="Arial"/>
                <w:sz w:val="17"/>
                <w:szCs w:val="17"/>
                <w:color w:val="auto"/>
                <w:w w:val="93"/>
              </w:rPr>
              <w:t>(223,309)</w:t>
            </w:r>
          </w:p>
        </w:tc>
        <w:tc>
          <w:tcPr>
            <w:tcW w:w="4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center"/>
              <w:ind w:left="1053"/>
              <w:spacing w:after="0"/>
              <w:rPr>
                <w:sz w:val="20"/>
                <w:szCs w:val="20"/>
                <w:color w:val="auto"/>
              </w:rPr>
            </w:pPr>
            <w:r>
              <w:rPr>
                <w:rFonts w:ascii="Arial" w:cs="Arial" w:eastAsia="Arial" w:hAnsi="Arial"/>
                <w:sz w:val="17"/>
                <w:szCs w:val="17"/>
                <w:color w:val="auto"/>
                <w:w w:val="93"/>
              </w:rPr>
              <w:t>(441,476)</w:t>
            </w:r>
          </w:p>
        </w:tc>
      </w:tr>
      <w:tr>
        <w:trPr>
          <w:trHeight w:val="221"/>
        </w:trPr>
        <w:tc>
          <w:tcPr>
            <w:tcW w:w="5000" w:type="dxa"/>
            <w:vAlign w:val="bottom"/>
          </w:tcPr>
          <w:p>
            <w:pPr>
              <w:ind w:left="20"/>
              <w:spacing w:after="0"/>
              <w:rPr>
                <w:sz w:val="20"/>
                <w:szCs w:val="20"/>
                <w:color w:val="auto"/>
              </w:rPr>
            </w:pPr>
            <w:r>
              <w:rPr>
                <w:rFonts w:ascii="Arial" w:cs="Arial" w:eastAsia="Arial" w:hAnsi="Arial"/>
                <w:sz w:val="17"/>
                <w:szCs w:val="17"/>
                <w:color w:val="auto"/>
              </w:rPr>
              <w:t>Amortization of the Non-Insurance performance year obligation</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center"/>
              <w:ind w:left="1216"/>
              <w:spacing w:after="0"/>
              <w:rPr>
                <w:sz w:val="20"/>
                <w:szCs w:val="20"/>
                <w:color w:val="auto"/>
              </w:rPr>
            </w:pPr>
            <w:r>
              <w:rPr>
                <w:rFonts w:ascii="Arial" w:cs="Arial" w:eastAsia="Arial" w:hAnsi="Arial"/>
                <w:sz w:val="17"/>
                <w:szCs w:val="17"/>
                <w:color w:val="auto"/>
                <w:w w:val="91"/>
              </w:rPr>
              <w:t>223,309</w:t>
            </w:r>
          </w:p>
        </w:tc>
        <w:tc>
          <w:tcPr>
            <w:tcW w:w="440" w:type="dxa"/>
            <w:vAlign w:val="bottom"/>
          </w:tcPr>
          <w:p>
            <w:pPr>
              <w:spacing w:after="0"/>
              <w:rPr>
                <w:sz w:val="19"/>
                <w:szCs w:val="19"/>
                <w:color w:val="auto"/>
              </w:rPr>
            </w:pPr>
          </w:p>
        </w:tc>
        <w:tc>
          <w:tcPr>
            <w:tcW w:w="1860" w:type="dxa"/>
            <w:vAlign w:val="bottom"/>
          </w:tcPr>
          <w:p>
            <w:pPr>
              <w:jc w:val="center"/>
              <w:ind w:left="1093"/>
              <w:spacing w:after="0"/>
              <w:rPr>
                <w:sz w:val="20"/>
                <w:szCs w:val="20"/>
                <w:color w:val="auto"/>
              </w:rPr>
            </w:pPr>
            <w:r>
              <w:rPr>
                <w:rFonts w:ascii="Arial" w:cs="Arial" w:eastAsia="Arial" w:hAnsi="Arial"/>
                <w:sz w:val="17"/>
                <w:szCs w:val="17"/>
                <w:color w:val="auto"/>
                <w:w w:val="91"/>
              </w:rPr>
              <w:t>441,476</w:t>
            </w:r>
          </w:p>
        </w:tc>
      </w:tr>
      <w:tr>
        <w:trPr>
          <w:trHeight w:val="247"/>
        </w:trPr>
        <w:tc>
          <w:tcPr>
            <w:tcW w:w="50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21"/>
        </w:trPr>
        <w:tc>
          <w:tcPr>
            <w:tcW w:w="5000" w:type="dxa"/>
            <w:vAlign w:val="bottom"/>
          </w:tcPr>
          <w:p>
            <w:pPr>
              <w:ind w:left="20"/>
              <w:spacing w:after="0"/>
              <w:rPr>
                <w:sz w:val="20"/>
                <w:szCs w:val="20"/>
                <w:color w:val="auto"/>
              </w:rPr>
            </w:pPr>
            <w:r>
              <w:rPr>
                <w:rFonts w:ascii="Arial" w:cs="Arial" w:eastAsia="Arial" w:hAnsi="Arial"/>
                <w:sz w:val="17"/>
                <w:szCs w:val="17"/>
                <w:color w:val="auto"/>
              </w:rPr>
              <w:t>Non-Insurance revenue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center"/>
              <w:ind w:left="1216"/>
              <w:spacing w:after="0"/>
              <w:rPr>
                <w:sz w:val="20"/>
                <w:szCs w:val="20"/>
                <w:color w:val="auto"/>
              </w:rPr>
            </w:pPr>
            <w:r>
              <w:rPr>
                <w:rFonts w:ascii="Arial" w:cs="Arial" w:eastAsia="Arial" w:hAnsi="Arial"/>
                <w:sz w:val="17"/>
                <w:szCs w:val="17"/>
                <w:color w:val="auto"/>
                <w:w w:val="91"/>
              </w:rPr>
              <w:t>222,647</w:t>
            </w:r>
          </w:p>
        </w:tc>
        <w:tc>
          <w:tcPr>
            <w:tcW w:w="440" w:type="dxa"/>
            <w:vAlign w:val="bottom"/>
          </w:tcPr>
          <w:p>
            <w:pPr>
              <w:spacing w:after="0"/>
              <w:rPr>
                <w:sz w:val="19"/>
                <w:szCs w:val="19"/>
                <w:color w:val="auto"/>
              </w:rPr>
            </w:pPr>
          </w:p>
        </w:tc>
        <w:tc>
          <w:tcPr>
            <w:tcW w:w="1860" w:type="dxa"/>
            <w:vAlign w:val="bottom"/>
          </w:tcPr>
          <w:p>
            <w:pPr>
              <w:jc w:val="center"/>
              <w:ind w:left="1093"/>
              <w:spacing w:after="0"/>
              <w:rPr>
                <w:sz w:val="20"/>
                <w:szCs w:val="20"/>
                <w:color w:val="auto"/>
              </w:rPr>
            </w:pPr>
            <w:r>
              <w:rPr>
                <w:rFonts w:ascii="Arial" w:cs="Arial" w:eastAsia="Arial" w:hAnsi="Arial"/>
                <w:sz w:val="17"/>
                <w:szCs w:val="17"/>
                <w:color w:val="auto"/>
                <w:w w:val="91"/>
              </w:rPr>
              <w:t>439,020</w:t>
            </w:r>
          </w:p>
        </w:tc>
      </w:tr>
      <w:tr>
        <w:trPr>
          <w:trHeight w:val="714"/>
        </w:trPr>
        <w:tc>
          <w:tcPr>
            <w:tcW w:w="5000" w:type="dxa"/>
            <w:vAlign w:val="bottom"/>
          </w:tcPr>
          <w:p>
            <w:pPr>
              <w:spacing w:after="0"/>
              <w:rPr>
                <w:sz w:val="24"/>
                <w:szCs w:val="24"/>
                <w:color w:val="auto"/>
              </w:rPr>
            </w:pPr>
          </w:p>
        </w:tc>
        <w:tc>
          <w:tcPr>
            <w:tcW w:w="1660" w:type="dxa"/>
            <w:vAlign w:val="bottom"/>
          </w:tcPr>
          <w:p>
            <w:pPr>
              <w:jc w:val="right"/>
              <w:ind w:right="853"/>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0"/>
        </w:trPr>
        <w:tc>
          <w:tcPr>
            <w:tcW w:w="50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17. Operating Segments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Direct Contracting program.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first quarter of 2022, the Company updated the names of its Medicare Advantage and Direct Contracting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Company's results by operating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Consolidated</w:t>
            </w:r>
          </w:p>
        </w:tc>
      </w:tr>
      <w:tr>
        <w:trPr>
          <w:trHeight w:val="234"/>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7"/>
                <w:szCs w:val="17"/>
                <w:b w:val="1"/>
                <w:bCs w:val="1"/>
                <w:color w:val="auto"/>
              </w:rPr>
              <w:t>Insurance</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auto"/>
              </w:rPr>
              <w:t>Non-Insurance</w:t>
            </w:r>
          </w:p>
        </w:tc>
        <w:tc>
          <w:tcPr>
            <w:tcW w:w="14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5"/>
              </w:rPr>
              <w:t>Corporate/Other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Eliminations</w:t>
            </w:r>
          </w:p>
        </w:tc>
        <w:tc>
          <w:tcPr>
            <w:tcW w:w="14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Total</w:t>
            </w:r>
          </w:p>
        </w:tc>
      </w:tr>
      <w:tr>
        <w:trPr>
          <w:trHeight w:val="214"/>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Three Months Ended September 30, 2022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Premiums earned, net (Net of ceded premiums of $116)</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267,892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267,892</w:t>
            </w:r>
          </w:p>
        </w:tc>
        <w:tc>
          <w:tcPr>
            <w:tcW w:w="20" w:type="dxa"/>
            <w:vAlign w:val="bottom"/>
          </w:tcPr>
          <w:p>
            <w:pPr>
              <w:spacing w:after="0"/>
              <w:rPr>
                <w:sz w:val="19"/>
                <w:szCs w:val="19"/>
                <w:color w:val="auto"/>
              </w:rPr>
            </w:pP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Non-Insurance revenue</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585,311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585,311</w:t>
            </w:r>
          </w:p>
        </w:tc>
        <w:tc>
          <w:tcPr>
            <w:tcW w:w="20" w:type="dxa"/>
            <w:vAlign w:val="bottom"/>
          </w:tcPr>
          <w:p>
            <w:pPr>
              <w:spacing w:after="0"/>
              <w:rPr>
                <w:sz w:val="19"/>
                <w:szCs w:val="19"/>
                <w:color w:val="auto"/>
              </w:rPr>
            </w:pP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3,614</w:t>
            </w:r>
          </w:p>
        </w:tc>
        <w:tc>
          <w:tcPr>
            <w:tcW w:w="20" w:type="dxa"/>
            <w:vAlign w:val="bottom"/>
          </w:tcPr>
          <w:p>
            <w:pPr>
              <w:spacing w:after="0"/>
              <w:rPr>
                <w:sz w:val="19"/>
                <w:szCs w:val="19"/>
                <w:color w:val="auto"/>
              </w:rPr>
            </w:pP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29,954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medical claims incurred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609,650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839,799</w:t>
            </w:r>
          </w:p>
        </w:tc>
        <w:tc>
          <w:tcPr>
            <w:tcW w:w="20" w:type="dxa"/>
            <w:vAlign w:val="bottom"/>
          </w:tcPr>
          <w:p>
            <w:pPr>
              <w:spacing w:after="0"/>
              <w:rPr>
                <w:sz w:val="19"/>
                <w:szCs w:val="19"/>
                <w:color w:val="auto"/>
              </w:rPr>
            </w:pP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Gross profit (loss)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37,638</w:t>
            </w: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43,468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17,018</w:t>
            </w:r>
          </w:p>
        </w:tc>
        <w:tc>
          <w:tcPr>
            <w:tcW w:w="20" w:type="dxa"/>
            <w:vAlign w:val="bottom"/>
          </w:tcPr>
          <w:p>
            <w:pPr>
              <w:spacing w:after="0"/>
              <w:rPr>
                <w:sz w:val="18"/>
                <w:szCs w:val="18"/>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3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476,025</w:t>
            </w: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715,672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859,637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(493,655)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1,557,679</w:t>
            </w:r>
          </w:p>
        </w:tc>
        <w:tc>
          <w:tcPr>
            <w:tcW w:w="20" w:type="dxa"/>
            <w:vAlign w:val="bottom"/>
          </w:tcPr>
          <w:p>
            <w:pPr>
              <w:spacing w:after="0"/>
              <w:rPr>
                <w:sz w:val="18"/>
                <w:szCs w:val="18"/>
                <w:color w:val="auto"/>
              </w:rPr>
            </w:pPr>
          </w:p>
        </w:tc>
      </w:tr>
      <w:tr>
        <w:trPr>
          <w:trHeight w:val="408"/>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Consolidated</w:t>
            </w:r>
          </w:p>
        </w:tc>
      </w:tr>
      <w:tr>
        <w:trPr>
          <w:trHeight w:val="234"/>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7"/>
                <w:szCs w:val="17"/>
                <w:b w:val="1"/>
                <w:bCs w:val="1"/>
                <w:color w:val="auto"/>
              </w:rPr>
              <w:t>Insurance</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auto"/>
              </w:rPr>
              <w:t>Non-Insurance</w:t>
            </w:r>
          </w:p>
        </w:tc>
        <w:tc>
          <w:tcPr>
            <w:tcW w:w="14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5"/>
              </w:rPr>
              <w:t>Corporate/Other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Eliminations</w:t>
            </w:r>
          </w:p>
        </w:tc>
        <w:tc>
          <w:tcPr>
            <w:tcW w:w="14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Total</w:t>
            </w:r>
          </w:p>
        </w:tc>
      </w:tr>
      <w:tr>
        <w:trPr>
          <w:trHeight w:val="214"/>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Nine Months Ended September 30, 2022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Premiums earned, net (Net of ceded premiums of $354)</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814,566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814,566</w:t>
            </w:r>
          </w:p>
        </w:tc>
        <w:tc>
          <w:tcPr>
            <w:tcW w:w="20" w:type="dxa"/>
            <w:vAlign w:val="bottom"/>
          </w:tcPr>
          <w:p>
            <w:pPr>
              <w:spacing w:after="0"/>
              <w:rPr>
                <w:sz w:val="19"/>
                <w:szCs w:val="19"/>
                <w:color w:val="auto"/>
              </w:rPr>
            </w:pP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Non-Insurance revenue</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1,757,579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1,757,579</w:t>
            </w:r>
          </w:p>
        </w:tc>
        <w:tc>
          <w:tcPr>
            <w:tcW w:w="20" w:type="dxa"/>
            <w:vAlign w:val="bottom"/>
          </w:tcPr>
          <w:p>
            <w:pPr>
              <w:spacing w:after="0"/>
              <w:rPr>
                <w:sz w:val="19"/>
                <w:szCs w:val="19"/>
                <w:color w:val="auto"/>
              </w:rPr>
            </w:pP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5,751</w:t>
            </w:r>
          </w:p>
        </w:tc>
        <w:tc>
          <w:tcPr>
            <w:tcW w:w="20" w:type="dxa"/>
            <w:vAlign w:val="bottom"/>
          </w:tcPr>
          <w:p>
            <w:pPr>
              <w:spacing w:after="0"/>
              <w:rPr>
                <w:sz w:val="19"/>
                <w:szCs w:val="19"/>
                <w:color w:val="auto"/>
              </w:rPr>
            </w:pP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76,119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medical claims incurred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746,612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1,815,771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2,560,307</w:t>
            </w:r>
          </w:p>
        </w:tc>
        <w:tc>
          <w:tcPr>
            <w:tcW w:w="20" w:type="dxa"/>
            <w:vAlign w:val="bottom"/>
          </w:tcPr>
          <w:p>
            <w:pPr>
              <w:spacing w:after="0"/>
              <w:rPr>
                <w:sz w:val="19"/>
                <w:szCs w:val="19"/>
                <w:color w:val="auto"/>
              </w:rPr>
            </w:pP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Gross profit (loss)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69,402</w:t>
            </w: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(57,715)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127,298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17,589</w:t>
            </w:r>
          </w:p>
        </w:tc>
        <w:tc>
          <w:tcPr>
            <w:tcW w:w="20" w:type="dxa"/>
            <w:vAlign w:val="bottom"/>
          </w:tcPr>
          <w:p>
            <w:pPr>
              <w:spacing w:after="0"/>
              <w:rPr>
                <w:sz w:val="18"/>
                <w:szCs w:val="18"/>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3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476,025</w:t>
            </w: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715,672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859,637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(493,655)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1,557,679</w:t>
            </w:r>
          </w:p>
        </w:tc>
        <w:tc>
          <w:tcPr>
            <w:tcW w:w="20" w:type="dxa"/>
            <w:vAlign w:val="bottom"/>
          </w:tcPr>
          <w:p>
            <w:pPr>
              <w:spacing w:after="0"/>
              <w:rPr>
                <w:sz w:val="18"/>
                <w:szCs w:val="18"/>
                <w:color w:val="auto"/>
              </w:rPr>
            </w:pPr>
          </w:p>
        </w:tc>
      </w:tr>
      <w:tr>
        <w:trPr>
          <w:trHeight w:val="992"/>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3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Arial" w:cs="Arial" w:eastAsia="Arial" w:hAnsi="Arial"/>
                <w:sz w:val="17"/>
                <w:szCs w:val="17"/>
                <w:b w:val="1"/>
                <w:bCs w:val="1"/>
                <w:color w:val="auto"/>
                <w:w w:val="89"/>
              </w:rPr>
              <w:t>Consolidated</w:t>
            </w:r>
          </w:p>
        </w:tc>
      </w:tr>
      <w:tr>
        <w:trPr>
          <w:trHeight w:val="234"/>
        </w:trPr>
        <w:tc>
          <w:tcPr>
            <w:tcW w:w="3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Insurance</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Non-Insurance</w:t>
            </w: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5"/>
              </w:rPr>
              <w:t>Corporate/Other</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Eliminations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Total</w:t>
            </w:r>
          </w:p>
        </w:tc>
      </w:tr>
      <w:tr>
        <w:trPr>
          <w:trHeight w:val="214"/>
        </w:trPr>
        <w:tc>
          <w:tcPr>
            <w:tcW w:w="3980" w:type="dxa"/>
            <w:vAlign w:val="bottom"/>
          </w:tcPr>
          <w:p>
            <w:pPr>
              <w:ind w:left="20"/>
              <w:spacing w:after="0"/>
              <w:rPr>
                <w:sz w:val="20"/>
                <w:szCs w:val="20"/>
                <w:color w:val="auto"/>
              </w:rPr>
            </w:pPr>
            <w:r>
              <w:rPr>
                <w:rFonts w:ascii="Arial" w:cs="Arial" w:eastAsia="Arial" w:hAnsi="Arial"/>
                <w:sz w:val="17"/>
                <w:szCs w:val="17"/>
                <w:b w:val="1"/>
                <w:bCs w:val="1"/>
                <w:color w:val="auto"/>
              </w:rPr>
              <w:t>Three Months Ended September 30, 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earned, (Net of ceded premiums of $120)</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203,657</w:t>
            </w: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Non-Insurance Revenue</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222,647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222,647</w:t>
            </w: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medical claims incurred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208,661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436,325</w:t>
            </w: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Gross (loss) profit</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32,186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(9,162)</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6"/>
        </w:trPr>
        <w:tc>
          <w:tcPr>
            <w:tcW w:w="3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347,535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260,142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887,089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(542,288)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952,478</w:t>
            </w:r>
          </w:p>
        </w:tc>
      </w:tr>
      <w:tr>
        <w:trPr>
          <w:trHeight w:val="408"/>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3"/>
              <w:spacing w:after="0"/>
              <w:rPr>
                <w:sz w:val="20"/>
                <w:szCs w:val="20"/>
                <w:color w:val="auto"/>
              </w:rPr>
            </w:pPr>
            <w:r>
              <w:rPr>
                <w:rFonts w:ascii="Arial" w:cs="Arial" w:eastAsia="Arial" w:hAnsi="Arial"/>
                <w:sz w:val="17"/>
                <w:szCs w:val="17"/>
                <w:b w:val="1"/>
                <w:bCs w:val="1"/>
                <w:color w:val="auto"/>
                <w:w w:val="89"/>
              </w:rPr>
              <w:t>Consolidated</w:t>
            </w:r>
          </w:p>
        </w:tc>
      </w:tr>
      <w:tr>
        <w:trPr>
          <w:trHeight w:val="234"/>
        </w:trPr>
        <w:tc>
          <w:tcPr>
            <w:tcW w:w="3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Insurance</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Non-Insurance</w:t>
            </w: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5"/>
              </w:rPr>
              <w:t>Corporate/Other</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Eliminations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Total</w:t>
            </w:r>
          </w:p>
        </w:tc>
      </w:tr>
      <w:tr>
        <w:trPr>
          <w:trHeight w:val="214"/>
        </w:trPr>
        <w:tc>
          <w:tcPr>
            <w:tcW w:w="3980" w:type="dxa"/>
            <w:vAlign w:val="bottom"/>
          </w:tcPr>
          <w:p>
            <w:pPr>
              <w:ind w:left="20"/>
              <w:spacing w:after="0"/>
              <w:rPr>
                <w:sz w:val="20"/>
                <w:szCs w:val="20"/>
                <w:color w:val="auto"/>
              </w:rPr>
            </w:pPr>
            <w:r>
              <w:rPr>
                <w:rFonts w:ascii="Arial" w:cs="Arial" w:eastAsia="Arial" w:hAnsi="Arial"/>
                <w:sz w:val="17"/>
                <w:szCs w:val="17"/>
                <w:b w:val="1"/>
                <w:bCs w:val="1"/>
                <w:color w:val="auto"/>
              </w:rPr>
              <w:t>Nine Months Ended September 30, 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earned, (Net of ceded premiums of $370)</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598,390</w:t>
            </w: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Non-Insurance revenue</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439,020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439,020</w:t>
            </w: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w:t>
            </w:r>
          </w:p>
        </w:tc>
      </w:tr>
      <w:tr>
        <w:trPr>
          <w:trHeight w:val="221"/>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medical claims incurred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640,624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469,972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1,109,248</w:t>
            </w: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Gross (loss) profit</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(42,126)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(30,952)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94,974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(91,184)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(69,288)</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6"/>
        </w:trPr>
        <w:tc>
          <w:tcPr>
            <w:tcW w:w="3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14"/>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347,535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260,142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887,089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(542,288)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952,478</w:t>
            </w:r>
          </w:p>
        </w:tc>
      </w:tr>
    </w:tbl>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 reconciliation of the reportable segments' gross profit to the net loss included in the Condensed Consolidated Statements of Operations and Comprehensive Loss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460" w:type="dxa"/>
            <w:vAlign w:val="bottom"/>
          </w:tcPr>
          <w:p>
            <w:pPr>
              <w:spacing w:after="0"/>
              <w:rPr>
                <w:sz w:val="18"/>
                <w:szCs w:val="18"/>
                <w:color w:val="auto"/>
              </w:rPr>
            </w:pPr>
          </w:p>
        </w:tc>
        <w:tc>
          <w:tcPr>
            <w:tcW w:w="2360" w:type="dxa"/>
            <w:vAlign w:val="bottom"/>
            <w:gridSpan w:val="4"/>
          </w:tcPr>
          <w:p>
            <w:pPr>
              <w:jc w:val="right"/>
              <w:ind w:right="573"/>
              <w:spacing w:after="0"/>
              <w:rPr>
                <w:sz w:val="20"/>
                <w:szCs w:val="20"/>
                <w:color w:val="auto"/>
              </w:rPr>
            </w:pPr>
            <w:r>
              <w:rPr>
                <w:rFonts w:ascii="Arial" w:cs="Arial" w:eastAsia="Arial" w:hAnsi="Arial"/>
                <w:sz w:val="17"/>
                <w:szCs w:val="17"/>
                <w:b w:val="1"/>
                <w:bCs w:val="1"/>
                <w:color w:val="auto"/>
              </w:rPr>
              <w:t>Nine Months Ended</w:t>
            </w:r>
          </w:p>
        </w:tc>
      </w:tr>
      <w:tr>
        <w:trPr>
          <w:trHeight w:val="230"/>
        </w:trPr>
        <w:tc>
          <w:tcPr>
            <w:tcW w:w="5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415"/>
              <w:spacing w:after="0"/>
              <w:rPr>
                <w:sz w:val="20"/>
                <w:szCs w:val="20"/>
                <w:color w:val="auto"/>
              </w:rPr>
            </w:pPr>
            <w:r>
              <w:rPr>
                <w:rFonts w:ascii="Arial" w:cs="Arial" w:eastAsia="Arial" w:hAnsi="Arial"/>
                <w:sz w:val="17"/>
                <w:szCs w:val="17"/>
                <w:b w:val="1"/>
                <w:bCs w:val="1"/>
                <w:color w:val="auto"/>
                <w:w w:val="89"/>
              </w:rPr>
              <w:t>2021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413"/>
              <w:spacing w:after="0"/>
              <w:rPr>
                <w:sz w:val="20"/>
                <w:szCs w:val="20"/>
                <w:color w:val="auto"/>
              </w:rPr>
            </w:pPr>
            <w:r>
              <w:rPr>
                <w:rFonts w:ascii="Arial" w:cs="Arial" w:eastAsia="Arial" w:hAnsi="Arial"/>
                <w:sz w:val="17"/>
                <w:szCs w:val="17"/>
                <w:b w:val="1"/>
                <w:bCs w:val="1"/>
                <w:color w:val="auto"/>
                <w:w w:val="89"/>
              </w:rPr>
              <w:t>2021</w:t>
            </w:r>
          </w:p>
        </w:tc>
      </w:tr>
      <w:tr>
        <w:trPr>
          <w:trHeight w:val="20"/>
        </w:trPr>
        <w:tc>
          <w:tcPr>
            <w:tcW w:w="5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0"/>
        </w:trPr>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8"/>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(69,288)</w:t>
            </w:r>
          </w:p>
        </w:tc>
      </w:tr>
      <w:tr>
        <w:trPr>
          <w:trHeight w:val="247"/>
        </w:trPr>
        <w:tc>
          <w:tcPr>
            <w:tcW w:w="5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201,555</w:t>
            </w:r>
          </w:p>
        </w:tc>
      </w:tr>
      <w:tr>
        <w:trPr>
          <w:trHeight w:val="221"/>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47,832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45,846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152,569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130,110</w:t>
            </w:r>
          </w:p>
        </w:tc>
      </w:tr>
      <w:tr>
        <w:trPr>
          <w:trHeight w:val="22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 deficiency reserve (benefit)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(82,971)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48,661</w:t>
            </w:r>
          </w:p>
        </w:tc>
      </w:tr>
      <w:tr>
        <w:trPr>
          <w:trHeight w:val="221"/>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2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21"/>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Change in fair value of warrants payable</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(115,152)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(66,146)</w:t>
            </w:r>
          </w:p>
        </w:tc>
      </w:tr>
      <w:tr>
        <w:trPr>
          <w:trHeight w:val="22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r>
      <w:tr>
        <w:trPr>
          <w:trHeight w:val="221"/>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Amortization of notes and securities discounts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13,708</w:t>
            </w:r>
          </w:p>
        </w:tc>
      </w:tr>
      <w:tr>
        <w:trPr>
          <w:trHeight w:val="221"/>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(gain) on investment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540" w:type="dxa"/>
            <w:vAlign w:val="bottom"/>
            <w:gridSpan w:val="2"/>
          </w:tcPr>
          <w:p>
            <w:pPr>
              <w:ind w:left="120"/>
              <w:spacing w:after="0"/>
              <w:rPr>
                <w:sz w:val="20"/>
                <w:szCs w:val="20"/>
                <w:color w:val="auto"/>
              </w:rPr>
            </w:pPr>
            <w:r>
              <w:rPr>
                <w:rFonts w:ascii="Arial" w:cs="Arial" w:eastAsia="Arial" w:hAnsi="Arial"/>
                <w:sz w:val="17"/>
                <w:szCs w:val="17"/>
                <w:color w:val="auto"/>
              </w:rPr>
              <w:t>Net loss</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(75,308)</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(34,527)</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(254,798)</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(400,555)</w:t>
            </w:r>
          </w:p>
        </w:tc>
      </w:tr>
      <w:tr>
        <w:trPr>
          <w:trHeight w:val="20"/>
        </w:trPr>
        <w:tc>
          <w:tcPr>
            <w:tcW w:w="5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18. Dividend Restrictions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As of September 30, 2022, and December 31, 2021, neither of the regulated insurance subsidiaries had paid any dividends.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three and nine months ended September 30, 2022, contained in this Quarterly Report on Form 10-Q (the "Form 10-Q") and the consolidated financial statements and notes thereto for the year ended December 31, 2021, contained in the Company's Annual Report on Form 10-K for the year ended December 31, 2021, filed with the Securities and Exchange Commission (the "SEC") on February 28, 2022 (the "2021 Form 10-K"). This discussion contains forward-looking statements and involves numerous risks and uncertainties, including, but not limited to, those described in the "Risk Factors" section of the 2021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By empowering physicians with access to data-driven, personalized insights at the point of care through our software platform, Clover Assistant, we believe we can improve clinical decision making.</w:t>
      </w:r>
    </w:p>
    <w:p>
      <w:pPr>
        <w:spacing w:after="0" w:line="20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operate Preferred Provider Organization ("PPO") and Health Maintenance Organization ("HMO") Medicare Advantage ("MA") plans for Medicare-eligible consumers. We aim to provide great, affordable healthcare for all. We offer most members in our MA plans (the "members") among the lowest average out-of-pocket costs for primary care provider co-pays, specialist co-pays, drug deductibles and drug costs in their markets. We deeply believe in providing our members provider choice, and we consider our PPO plan to be our flagship insurance plan. An important feature of our MA product is wide network access. We believe the use of Clover Assistant and related data insights allows us to improve clinical decision-making through a highly scalable asset-light approach. As of September 30, 2022, we operated our MA plans in nine states and 209 counties, with 88,136 members.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April 1, 2021, our subsidiary, Clover Health Partners, LLC ("Health Partners"), began participating as a Direct Contracting Entity ("DCE") in the Global and Professional Direct Contracting Model ("DC Model") of the Centers for Medicare and Medicaid Services ("CMS"), which will transition to the Accountable Care Organization Realizing Equity, Access, and Community Health Model ("ACO Reach") in 2023. Our DCE assumes full risk (i.e., 100.0% shared savings and shared losses) for the total cost of care of aligned Original Medicare beneficiaries (the "Non-Insurance Beneficiaries" and, collectively with the members, "Lives under Clover Management" or the "beneficiaries"). Through our Direct Contracting operations, we focus on leveraging our technology platform, Clover Assistant, to enhance healthcare delivery, reduce expenditures, and improve care for our Non-Insurance Beneficiaries. As of September 30, 2022, we had approximately 1,555 contracted participating providers who manage primary care for our Non-Insurance Beneficiaries. Additionally, as of September 30, 2022, we had approximately 1,630 preferred providers and preferred facilities in our DCE network. In connection with the 2023 performance year, we plan to strategically reduce the number of ACO REACH participating physicians, which we expect will result in a shift in our beneficiary alignment. Our participation in the DC Model has enabled us to move beyond the MA market and target the Medicare fee-for-service ("FFS") market, which is the largest segment of Medicare. We believe that expanding into the FFS market is not only a strategic milestone for Clover but also demonstrates the scalability of Clover Assistant.</w:t>
      </w:r>
    </w:p>
    <w:p>
      <w:pPr>
        <w:spacing w:after="0" w:line="19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September 30, 2022, we were partnering with providers to care for 254,568 Lives under Clover Management, which included 88,136 Insurance members and 166,432 aligned Non-Insurance Beneficiaries.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Expansion</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July 14, 2022, we announced plans to make our MA plans available in 13 new counties beginning in 2023. The expansion, which is subject to CMS approval, would make our MA plans available in a total of 220 counties across eight states.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societal and economic impact of the Coronavirus Disease 2019 ("COVID-19") pandemic and its variants continues to evolve, and the ultimate impact on our business, results of operations, financial condition, and cash flows is uncertain and difficult to predict. The global pandemic has severely impacted businesses worldwide, including many in the health insurance sector.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4" w:name="page35"/>
    <w:bookmarkEnd w:id="34"/>
    <w:p>
      <w:pPr>
        <w:jc w:val="both"/>
        <w:spacing w:after="0" w:line="274" w:lineRule="auto"/>
        <w:rPr>
          <w:sz w:val="20"/>
          <w:szCs w:val="20"/>
          <w:color w:val="auto"/>
        </w:rPr>
      </w:pPr>
      <w:r>
        <w:rPr>
          <w:rFonts w:ascii="Arial" w:cs="Arial" w:eastAsia="Arial" w:hAnsi="Arial"/>
          <w:sz w:val="16"/>
          <w:szCs w:val="16"/>
          <w:color w:val="auto"/>
        </w:rPr>
        <w:t>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the first three quarters of 2022 and all of 2021, we incurred elevated costs as compared to prior to the outbreak of the pandemic in 2020 to care for those members who have contracted the virus, and indirect costs attributable to the COVID-19 pandemic were elevated as well, as deferral of services and increased costs related to conditions that were exacerbated by a lack of diagnoses and treatment in the earlier periods of the pandemic contributed to increased utilization. Additionally, CMS is currently increasing inpatient hospital fees by 20.0% for any patient diagnosed with COVID-19 regardless of whether that patient was admitted directly for COVID-19 or for a different condition or procedure. We will continue to monitor the pandemic's emerging treatment-related trends as well as the impact on our beneficiaries.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CMS is allowing documentation prepared during video visits with patients to serve as support for CMS risk adjustments. Due to fewer visits in 2020, the providers' ability to document health conditions accurately and formulate treatment plans was adversely impacted due to COVID-19. However, we experienced improvements in documentation in 2021 with increased utilization of health services, impacting our 2022 risk score. We believe that this increase in documentation has supported our provider partners with better diagnosis accuracy and improved care planning and that this will result in increased revenue and a reduced medical care ratio ("MCR").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Measures of Our Operating Segments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Segments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Direct Contracting program, which will transition to the ACO Reach model in 2023. All other clinical services and all corporate overhead not included in the reportable segments are included within Corporate/Other.</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These segment groupings are consistent with the information used by our Chief Executive Officer, our chief operating decision maker, to assess performance and allocate resources.</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segment</w:t>
      </w:r>
    </w:p>
    <w:p>
      <w:pPr>
        <w:spacing w:after="0" w:line="24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Through our Insurance segment, we provide PPO and HMO plans to members in several states. We seek to improve care and lower costs for our Insurance members by empowering providers with data-driven, personalized insights at the point of care through our software platform, Clover Assistant.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Nine Months Ended September 30,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9"/>
              </w:rPr>
              <w:t>2022</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9"/>
              </w:rPr>
              <w:t>2021</w:t>
            </w:r>
          </w:p>
        </w:tc>
        <w:tc>
          <w:tcPr>
            <w:tcW w:w="1080" w:type="dxa"/>
            <w:vAlign w:val="bottom"/>
            <w:tcBorders>
              <w:bottom w:val="single" w:sz="8" w:color="auto"/>
            </w:tcBorders>
          </w:tcPr>
          <w:p>
            <w:pPr>
              <w:spacing w:after="0"/>
              <w:rPr>
                <w:sz w:val="19"/>
                <w:szCs w:val="19"/>
                <w:color w:val="auto"/>
              </w:rPr>
            </w:pPr>
          </w:p>
        </w:tc>
      </w:tr>
      <w:tr>
        <w:trPr>
          <w:trHeight w:val="253"/>
        </w:trPr>
        <w:tc>
          <w:tcPr>
            <w:tcW w:w="5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 xml:space="preserve">PMPM </w:t>
            </w:r>
            <w:r>
              <w:rPr>
                <w:rFonts w:ascii="Arial" w:cs="Arial" w:eastAsia="Arial" w:hAnsi="Arial"/>
                <w:sz w:val="22"/>
                <w:szCs w:val="22"/>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Total</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 xml:space="preserve">PMPM </w:t>
            </w:r>
            <w:r>
              <w:rPr>
                <w:rFonts w:ascii="Arial" w:cs="Arial" w:eastAsia="Arial" w:hAnsi="Arial"/>
                <w:sz w:val="22"/>
                <w:szCs w:val="22"/>
                <w:b w:val="1"/>
                <w:bCs w:val="1"/>
                <w:color w:val="auto"/>
                <w:vertAlign w:val="superscript"/>
              </w:rPr>
              <w:t>(1)</w:t>
            </w:r>
          </w:p>
        </w:tc>
      </w:tr>
      <w:tr>
        <w:trPr>
          <w:trHeight w:val="180"/>
        </w:trPr>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80" w:type="dxa"/>
            <w:vAlign w:val="bottom"/>
            <w:gridSpan w:val="8"/>
          </w:tcPr>
          <w:p>
            <w:pPr>
              <w:jc w:val="right"/>
              <w:ind w:right="673"/>
              <w:spacing w:after="0"/>
              <w:rPr>
                <w:sz w:val="20"/>
                <w:szCs w:val="20"/>
                <w:color w:val="auto"/>
              </w:rPr>
            </w:pPr>
            <w:r>
              <w:rPr>
                <w:rFonts w:ascii="Arial" w:cs="Arial" w:eastAsia="Arial" w:hAnsi="Arial"/>
                <w:sz w:val="14"/>
                <w:szCs w:val="14"/>
                <w:b w:val="1"/>
                <w:bCs w:val="1"/>
                <w:color w:val="auto"/>
                <w:w w:val="97"/>
              </w:rPr>
              <w:t>(Premium and expense amounts in thousands, except PMPM amounts)</w:t>
            </w:r>
          </w:p>
        </w:tc>
      </w:tr>
      <w:tr>
        <w:trPr>
          <w:trHeight w:val="228"/>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Insurance members as of period end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88,136</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67,281</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5540" w:type="dxa"/>
            <w:vAlign w:val="bottom"/>
            <w:gridSpan w:val="2"/>
          </w:tcPr>
          <w:p>
            <w:pPr>
              <w:ind w:left="120"/>
              <w:spacing w:after="0"/>
              <w:rPr>
                <w:sz w:val="20"/>
                <w:szCs w:val="20"/>
                <w:color w:val="auto"/>
              </w:rPr>
            </w:pPr>
            <w:r>
              <w:rPr>
                <w:rFonts w:ascii="Arial" w:cs="Arial" w:eastAsia="Arial" w:hAnsi="Arial"/>
                <w:sz w:val="17"/>
                <w:szCs w:val="17"/>
                <w:color w:val="auto"/>
              </w:rPr>
              <w:t>Premiums earned, gross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814,920</w:t>
            </w: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598,760</w:t>
            </w: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21"/>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Premiums earned,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814,566</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598,390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w:t>
            </w:r>
          </w:p>
        </w:tc>
      </w:tr>
      <w:tr>
        <w:trPr>
          <w:trHeight w:val="221"/>
        </w:trPr>
        <w:tc>
          <w:tcPr>
            <w:tcW w:w="5540" w:type="dxa"/>
            <w:vAlign w:val="bottom"/>
            <w:gridSpan w:val="2"/>
          </w:tcPr>
          <w:p>
            <w:pPr>
              <w:ind w:left="120"/>
              <w:spacing w:after="0"/>
              <w:rPr>
                <w:sz w:val="20"/>
                <w:szCs w:val="20"/>
                <w:color w:val="auto"/>
              </w:rPr>
            </w:pPr>
            <w:r>
              <w:rPr>
                <w:rFonts w:ascii="Arial" w:cs="Arial" w:eastAsia="Arial" w:hAnsi="Arial"/>
                <w:sz w:val="17"/>
                <w:szCs w:val="17"/>
                <w:color w:val="auto"/>
              </w:rPr>
              <w:t>Insurance medical claim expense incurred, gross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747,250</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641,300</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1,071</w:t>
            </w:r>
          </w:p>
        </w:tc>
      </w:tr>
      <w:tr>
        <w:trPr>
          <w:trHeight w:val="221"/>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746,612</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640,624</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r>
      <w:tr>
        <w:trPr>
          <w:trHeight w:val="221"/>
        </w:trPr>
        <w:tc>
          <w:tcPr>
            <w:tcW w:w="5540" w:type="dxa"/>
            <w:vAlign w:val="bottom"/>
            <w:gridSpan w:val="2"/>
          </w:tcPr>
          <w:p>
            <w:pPr>
              <w:ind w:left="120"/>
              <w:spacing w:after="0" w:line="221" w:lineRule="exact"/>
              <w:rPr>
                <w:sz w:val="20"/>
                <w:szCs w:val="20"/>
                <w:color w:val="auto"/>
              </w:rPr>
            </w:pPr>
            <w:r>
              <w:rPr>
                <w:rFonts w:ascii="Arial" w:cs="Arial" w:eastAsia="Arial" w:hAnsi="Arial"/>
                <w:sz w:val="17"/>
                <w:szCs w:val="17"/>
                <w:color w:val="auto"/>
              </w:rPr>
              <w:t xml:space="preserve">Medical care ratio, gross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400" w:type="dxa"/>
            <w:vAlign w:val="bottom"/>
            <w:gridSpan w:val="2"/>
          </w:tcPr>
          <w:p>
            <w:pPr>
              <w:jc w:val="right"/>
              <w:ind w:right="213"/>
              <w:spacing w:after="0"/>
              <w:rPr>
                <w:sz w:val="20"/>
                <w:szCs w:val="20"/>
                <w:color w:val="auto"/>
              </w:rPr>
            </w:pPr>
            <w:r>
              <w:rPr>
                <w:rFonts w:ascii="Arial" w:cs="Arial" w:eastAsia="Arial" w:hAnsi="Arial"/>
                <w:sz w:val="17"/>
                <w:szCs w:val="17"/>
                <w:color w:val="auto"/>
              </w:rPr>
              <w:t>91.7 %</w:t>
            </w:r>
          </w:p>
        </w:tc>
        <w:tc>
          <w:tcPr>
            <w:tcW w:w="1180" w:type="dxa"/>
            <w:vAlign w:val="bottom"/>
            <w:gridSpan w:val="2"/>
          </w:tcPr>
          <w:p>
            <w:pPr>
              <w:ind w:left="780"/>
              <w:spacing w:after="0"/>
              <w:rPr>
                <w:sz w:val="20"/>
                <w:szCs w:val="20"/>
                <w:color w:val="auto"/>
              </w:rPr>
            </w:pPr>
            <w:r>
              <w:rPr>
                <w:rFonts w:ascii="Arial" w:cs="Arial" w:eastAsia="Arial" w:hAnsi="Arial"/>
                <w:sz w:val="17"/>
                <w:szCs w:val="17"/>
                <w:color w:val="auto"/>
              </w:rPr>
              <w:t>N/A</w:t>
            </w:r>
          </w:p>
        </w:tc>
        <w:tc>
          <w:tcPr>
            <w:tcW w:w="320" w:type="dxa"/>
            <w:vAlign w:val="bottom"/>
          </w:tcPr>
          <w:p>
            <w:pPr>
              <w:spacing w:after="0"/>
              <w:rPr>
                <w:sz w:val="19"/>
                <w:szCs w:val="19"/>
                <w:color w:val="auto"/>
              </w:rPr>
            </w:pPr>
          </w:p>
        </w:tc>
        <w:tc>
          <w:tcPr>
            <w:tcW w:w="1400" w:type="dxa"/>
            <w:vAlign w:val="bottom"/>
            <w:gridSpan w:val="2"/>
          </w:tcPr>
          <w:p>
            <w:pPr>
              <w:jc w:val="right"/>
              <w:ind w:right="213"/>
              <w:spacing w:after="0"/>
              <w:rPr>
                <w:sz w:val="20"/>
                <w:szCs w:val="20"/>
                <w:color w:val="auto"/>
              </w:rPr>
            </w:pPr>
            <w:r>
              <w:rPr>
                <w:rFonts w:ascii="Arial" w:cs="Arial" w:eastAsia="Arial" w:hAnsi="Arial"/>
                <w:sz w:val="17"/>
                <w:szCs w:val="17"/>
                <w:color w:val="auto"/>
              </w:rPr>
              <w:t>107.1 %</w:t>
            </w:r>
          </w:p>
        </w:tc>
        <w:tc>
          <w:tcPr>
            <w:tcW w:w="108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Medical care ratio,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6266180</wp:posOffset>
            </wp:positionH>
            <wp:positionV relativeFrom="paragraph">
              <wp:posOffset>-1111885</wp:posOffset>
            </wp:positionV>
            <wp:extent cx="577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56" w:lineRule="exact"/>
        <w:rPr>
          <w:sz w:val="20"/>
          <w:szCs w:val="20"/>
          <w:color w:val="auto"/>
        </w:rPr>
      </w:pPr>
    </w:p>
    <w:p>
      <w:pPr>
        <w:ind w:left="160" w:hanging="156"/>
        <w:spacing w:after="0" w:line="300" w:lineRule="auto"/>
        <w:tabs>
          <w:tab w:leader="none" w:pos="131"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54" w:lineRule="exact"/>
        <w:rPr>
          <w:rFonts w:ascii="Arial" w:cs="Arial" w:eastAsia="Arial" w:hAnsi="Arial"/>
          <w:sz w:val="15"/>
          <w:szCs w:val="15"/>
          <w:color w:val="auto"/>
          <w:vertAlign w:val="superscript"/>
        </w:rPr>
      </w:pPr>
    </w:p>
    <w:p>
      <w:pPr>
        <w:ind w:left="200" w:hanging="196"/>
        <w:spacing w:after="0"/>
        <w:tabs>
          <w:tab w:leader="none" w:pos="200" w:val="left"/>
        </w:tabs>
        <w:numPr>
          <w:ilvl w:val="0"/>
          <w:numId w:val="10"/>
        </w:numPr>
        <w:rPr>
          <w:rFonts w:ascii="Arial" w:cs="Arial" w:eastAsia="Arial" w:hAnsi="Arial"/>
          <w:sz w:val="9"/>
          <w:szCs w:val="9"/>
          <w:color w:val="auto"/>
        </w:rPr>
      </w:pPr>
      <w:r>
        <w:rPr>
          <w:rFonts w:ascii="Arial" w:cs="Arial" w:eastAsia="Arial" w:hAnsi="Arial"/>
          <w:sz w:val="14"/>
          <w:szCs w:val="14"/>
          <w:color w:val="auto"/>
        </w:rPr>
        <w:t>Defined as Insurance gross medical claims incurred divided by premiums earned, gross.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Membership and associated premiums earned and medical claim expenses.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Premiums earned, gross.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generally accepted accounting principles in the United States ("GAAP").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Premiums earned, net.</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color w:val="auto"/>
        </w:rPr>
        <w:t>Insurance gross medical claims incurred.</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Insurance gross medical claims incurred excludes the effects of medical claims and associated costs ceded to reinsurers, and therefore should not be used as a substitute for net claims incurred, total expenses or any other measure presented in accordance with GAAP.</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Insurance net medical claims incurred.</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Insurance net medical claims incurred are our medical expenses and consists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Medical care ratio, gross and net.</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calculate our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Non-Insurance segment</w:t>
      </w:r>
    </w:p>
    <w:p>
      <w:pPr>
        <w:spacing w:after="0" w:line="2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Non-Insurance segment consists of operations in connection with our participation in the Direct Contracting program, which we began in April 2021 and which will transition to the ACO Reach model in 2023. As part of our Non-Insurance operations, we empower providers with Clover Assistant and offer a variety of programs aimed at reducing expenditures and preserving or enhancing the quality of care for our Non-Insurance Beneficiaries.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60" w:type="dxa"/>
            <w:vAlign w:val="bottom"/>
            <w:gridSpan w:val="2"/>
          </w:tcPr>
          <w:p>
            <w:pPr>
              <w:ind w:left="20"/>
              <w:spacing w:after="0"/>
              <w:rPr>
                <w:sz w:val="20"/>
                <w:szCs w:val="20"/>
                <w:color w:val="auto"/>
              </w:rPr>
            </w:pPr>
            <w:r>
              <w:rPr>
                <w:rFonts w:ascii="Arial" w:cs="Arial" w:eastAsia="Arial" w:hAnsi="Arial"/>
                <w:sz w:val="17"/>
                <w:szCs w:val="17"/>
                <w:b w:val="1"/>
                <w:bCs w:val="1"/>
                <w:color w:val="auto"/>
              </w:rPr>
              <w:t>Nine months ended September 30, 2022</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113"/>
              <w:spacing w:after="0"/>
              <w:rPr>
                <w:sz w:val="20"/>
                <w:szCs w:val="20"/>
                <w:color w:val="auto"/>
              </w:rPr>
            </w:pPr>
            <w:r>
              <w:rPr>
                <w:rFonts w:ascii="Arial" w:cs="Arial" w:eastAsia="Arial" w:hAnsi="Arial"/>
                <w:sz w:val="17"/>
                <w:szCs w:val="17"/>
                <w:b w:val="1"/>
                <w:bCs w:val="1"/>
                <w:color w:val="auto"/>
                <w:w w:val="89"/>
              </w:rPr>
              <w:t>2022</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2021</w:t>
            </w:r>
          </w:p>
        </w:tc>
        <w:tc>
          <w:tcPr>
            <w:tcW w:w="1020" w:type="dxa"/>
            <w:vAlign w:val="bottom"/>
          </w:tcPr>
          <w:p>
            <w:pPr>
              <w:spacing w:after="0"/>
              <w:rPr>
                <w:sz w:val="19"/>
                <w:szCs w:val="19"/>
                <w:color w:val="auto"/>
              </w:rPr>
            </w:pPr>
          </w:p>
        </w:tc>
      </w:tr>
      <w:tr>
        <w:trPr>
          <w:trHeight w:val="214"/>
        </w:trPr>
        <w:tc>
          <w:tcPr>
            <w:tcW w:w="5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Total</w:t>
            </w: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rPr>
              <w:t>PBPM</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Total</w:t>
            </w: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PBPM</w:t>
            </w:r>
          </w:p>
        </w:tc>
      </w:tr>
      <w:tr>
        <w:trPr>
          <w:trHeight w:val="180"/>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60" w:type="dxa"/>
            <w:vAlign w:val="bottom"/>
            <w:gridSpan w:val="8"/>
          </w:tcPr>
          <w:p>
            <w:pPr>
              <w:ind w:left="520"/>
              <w:spacing w:after="0"/>
              <w:rPr>
                <w:sz w:val="20"/>
                <w:szCs w:val="20"/>
                <w:color w:val="auto"/>
              </w:rPr>
            </w:pPr>
            <w:r>
              <w:rPr>
                <w:rFonts w:ascii="Arial" w:cs="Arial" w:eastAsia="Arial" w:hAnsi="Arial"/>
                <w:sz w:val="14"/>
                <w:szCs w:val="14"/>
                <w:b w:val="1"/>
                <w:bCs w:val="1"/>
                <w:color w:val="auto"/>
              </w:rPr>
              <w:t>(Revenue and claims amounts in thousands, except PBPM amounts)</w:t>
            </w:r>
          </w:p>
        </w:tc>
      </w:tr>
      <w:tr>
        <w:trPr>
          <w:trHeight w:val="228"/>
        </w:trPr>
        <w:tc>
          <w:tcPr>
            <w:tcW w:w="5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Non-Insurance Beneficiaries as of period end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166,432</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N/A</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61,818</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5560" w:type="dxa"/>
            <w:vAlign w:val="bottom"/>
            <w:gridSpan w:val="2"/>
          </w:tcPr>
          <w:p>
            <w:pPr>
              <w:ind w:left="120"/>
              <w:spacing w:after="0"/>
              <w:rPr>
                <w:sz w:val="20"/>
                <w:szCs w:val="20"/>
                <w:color w:val="auto"/>
              </w:rPr>
            </w:pPr>
            <w:r>
              <w:rPr>
                <w:rFonts w:ascii="Arial" w:cs="Arial" w:eastAsia="Arial" w:hAnsi="Arial"/>
                <w:sz w:val="17"/>
                <w:szCs w:val="17"/>
                <w:color w:val="auto"/>
              </w:rPr>
              <w:t>Non-Insurance revenue</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1,757,579</w:t>
            </w:r>
          </w:p>
        </w:tc>
        <w:tc>
          <w:tcPr>
            <w:tcW w:w="5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439,020</w:t>
            </w:r>
          </w:p>
        </w:tc>
        <w:tc>
          <w:tcPr>
            <w:tcW w:w="5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1,175</w:t>
            </w:r>
          </w:p>
        </w:tc>
      </w:tr>
      <w:tr>
        <w:trPr>
          <w:trHeight w:val="221"/>
        </w:trPr>
        <w:tc>
          <w:tcPr>
            <w:tcW w:w="5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1,815,771</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469,972</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w:t>
            </w:r>
          </w:p>
        </w:tc>
      </w:tr>
      <w:tr>
        <w:trPr>
          <w:trHeight w:val="292"/>
        </w:trPr>
        <w:tc>
          <w:tcPr>
            <w:tcW w:w="5560" w:type="dxa"/>
            <w:vAlign w:val="bottom"/>
            <w:gridSpan w:val="2"/>
          </w:tcPr>
          <w:p>
            <w:pPr>
              <w:ind w:left="120"/>
              <w:spacing w:after="0"/>
              <w:rPr>
                <w:sz w:val="20"/>
                <w:szCs w:val="20"/>
                <w:color w:val="auto"/>
              </w:rPr>
            </w:pPr>
            <w:r>
              <w:rPr>
                <w:rFonts w:ascii="Arial" w:cs="Arial" w:eastAsia="Arial" w:hAnsi="Arial"/>
                <w:sz w:val="17"/>
                <w:szCs w:val="17"/>
                <w:color w:val="auto"/>
              </w:rPr>
              <w:t xml:space="preserve">Non-Insurance MCR </w:t>
            </w:r>
            <w:r>
              <w:rPr>
                <w:rFonts w:ascii="Arial" w:cs="Arial" w:eastAsia="Arial" w:hAnsi="Arial"/>
                <w:sz w:val="22"/>
                <w:szCs w:val="22"/>
                <w:color w:val="auto"/>
                <w:vertAlign w:val="superscript"/>
              </w:rPr>
              <w:t>(1)</w:t>
            </w:r>
          </w:p>
        </w:tc>
        <w:tc>
          <w:tcPr>
            <w:tcW w:w="320" w:type="dxa"/>
            <w:vAlign w:val="bottom"/>
          </w:tcPr>
          <w:p>
            <w:pPr>
              <w:spacing w:after="0"/>
              <w:rPr>
                <w:sz w:val="24"/>
                <w:szCs w:val="24"/>
                <w:color w:val="auto"/>
              </w:rPr>
            </w:pPr>
          </w:p>
        </w:tc>
        <w:tc>
          <w:tcPr>
            <w:tcW w:w="1460" w:type="dxa"/>
            <w:vAlign w:val="bottom"/>
            <w:gridSpan w:val="2"/>
          </w:tcPr>
          <w:p>
            <w:pPr>
              <w:ind w:left="520"/>
              <w:spacing w:after="0"/>
              <w:rPr>
                <w:sz w:val="20"/>
                <w:szCs w:val="20"/>
                <w:color w:val="auto"/>
              </w:rPr>
            </w:pPr>
            <w:r>
              <w:rPr>
                <w:rFonts w:ascii="Arial" w:cs="Arial" w:eastAsia="Arial" w:hAnsi="Arial"/>
                <w:sz w:val="17"/>
                <w:szCs w:val="17"/>
                <w:color w:val="auto"/>
              </w:rPr>
              <w:t>103.3 %</w:t>
            </w:r>
          </w:p>
        </w:tc>
        <w:tc>
          <w:tcPr>
            <w:tcW w:w="1120" w:type="dxa"/>
            <w:vAlign w:val="bottom"/>
            <w:gridSpan w:val="2"/>
          </w:tcPr>
          <w:p>
            <w:pPr>
              <w:ind w:left="70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24"/>
                <w:szCs w:val="24"/>
                <w:color w:val="auto"/>
              </w:rPr>
            </w:pPr>
          </w:p>
        </w:tc>
        <w:tc>
          <w:tcPr>
            <w:tcW w:w="1460" w:type="dxa"/>
            <w:vAlign w:val="bottom"/>
            <w:gridSpan w:val="2"/>
          </w:tcPr>
          <w:p>
            <w:pPr>
              <w:jc w:val="right"/>
              <w:ind w:right="273"/>
              <w:spacing w:after="0"/>
              <w:rPr>
                <w:sz w:val="20"/>
                <w:szCs w:val="20"/>
                <w:color w:val="auto"/>
              </w:rPr>
            </w:pPr>
            <w:r>
              <w:rPr>
                <w:rFonts w:ascii="Arial" w:cs="Arial" w:eastAsia="Arial" w:hAnsi="Arial"/>
                <w:sz w:val="17"/>
                <w:szCs w:val="17"/>
                <w:color w:val="auto"/>
              </w:rPr>
              <w:t>107.1 %</w:t>
            </w:r>
          </w:p>
        </w:tc>
        <w:tc>
          <w:tcPr>
            <w:tcW w:w="102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21" w:lineRule="exact"/>
        <w:rPr>
          <w:sz w:val="20"/>
          <w:szCs w:val="20"/>
          <w:color w:val="auto"/>
        </w:rPr>
      </w:pPr>
    </w:p>
    <w:p>
      <w:pPr>
        <w:ind w:left="200" w:hanging="196"/>
        <w:spacing w:after="0"/>
        <w:tabs>
          <w:tab w:leader="none" w:pos="2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Defined as Non-Insurance net medical claims incurred divided by Non-Insurance revenue.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Non-Insurance Beneficiaries.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Non-Insurance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Non-Insurance revenue.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Non-Insurance revenue represents CMS' total expense incurred for medical services provided on behalf of Non-Insurance Beneficiaries during months in which they were alignment eligible during the performance year. Non-Insurance revenue is calculated by taking the sum of the capitation payments made to us for services within the scope of our capitation arrangement and FFS payments made to providers directly from CMS. Non-Insurance revenue is also known in the DC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DC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Non-Insurance net medical claims incurred.</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Non-Insurance net medical claims incurred consists of the total incurred expense that CMS and we will remit for medical services provided on behalf of Non-Insurance Beneficiaries during the months in which they are alignment eligible and aligned to the DCE. Additionally, Non-Insurance net medical claims incurred is inclusive of fees paid to providers for Clover Assistant usage, care coordination, and any shared savings or shared loss agreements with providers.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Non-Insurance MCR.</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2022 and 2021</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following table summarizes our condensed consolidated results of operations for the three months ended September 30, 2022 and 2021. The period-to-period comparison of results is not necessarily indicative of results for future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3"/>
              </w:rPr>
              <w:t>Three Months Ended</w:t>
            </w:r>
          </w:p>
        </w:tc>
        <w:tc>
          <w:tcPr>
            <w:tcW w:w="300" w:type="dxa"/>
            <w:vAlign w:val="bottom"/>
          </w:tcPr>
          <w:p>
            <w:pPr>
              <w:spacing w:after="0"/>
              <w:rPr>
                <w:sz w:val="16"/>
                <w:szCs w:val="16"/>
                <w:color w:val="auto"/>
              </w:rPr>
            </w:pPr>
          </w:p>
        </w:tc>
        <w:tc>
          <w:tcPr>
            <w:tcW w:w="2400" w:type="dxa"/>
            <w:vAlign w:val="bottom"/>
            <w:gridSpan w:val="3"/>
          </w:tcPr>
          <w:p>
            <w:pPr>
              <w:jc w:val="right"/>
              <w:ind w:right="653"/>
              <w:spacing w:after="0"/>
              <w:rPr>
                <w:sz w:val="20"/>
                <w:szCs w:val="20"/>
                <w:color w:val="auto"/>
              </w:rPr>
            </w:pPr>
            <w:r>
              <w:rPr>
                <w:rFonts w:ascii="Arial" w:cs="Arial" w:eastAsia="Arial" w:hAnsi="Arial"/>
                <w:sz w:val="17"/>
                <w:szCs w:val="17"/>
                <w:b w:val="1"/>
                <w:bCs w:val="1"/>
                <w:color w:val="auto"/>
              </w:rPr>
              <w:t>Change between</w:t>
            </w:r>
          </w:p>
        </w:tc>
      </w:tr>
      <w:tr>
        <w:trPr>
          <w:trHeight w:val="230"/>
        </w:trPr>
        <w:tc>
          <w:tcPr>
            <w:tcW w:w="5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September 30,</w:t>
            </w:r>
          </w:p>
        </w:tc>
        <w:tc>
          <w:tcPr>
            <w:tcW w:w="300" w:type="dxa"/>
            <w:vAlign w:val="bottom"/>
          </w:tcPr>
          <w:p>
            <w:pPr>
              <w:spacing w:after="0"/>
              <w:rPr>
                <w:sz w:val="19"/>
                <w:szCs w:val="19"/>
                <w:color w:val="auto"/>
              </w:rPr>
            </w:pPr>
          </w:p>
        </w:tc>
        <w:tc>
          <w:tcPr>
            <w:tcW w:w="2400" w:type="dxa"/>
            <w:vAlign w:val="bottom"/>
            <w:gridSpan w:val="3"/>
          </w:tcPr>
          <w:p>
            <w:pPr>
              <w:jc w:val="right"/>
              <w:ind w:right="733"/>
              <w:spacing w:after="0"/>
              <w:rPr>
                <w:sz w:val="20"/>
                <w:szCs w:val="20"/>
                <w:color w:val="auto"/>
              </w:rPr>
            </w:pPr>
            <w:r>
              <w:rPr>
                <w:rFonts w:ascii="Arial" w:cs="Arial" w:eastAsia="Arial" w:hAnsi="Arial"/>
                <w:sz w:val="17"/>
                <w:szCs w:val="17"/>
                <w:b w:val="1"/>
                <w:bCs w:val="1"/>
                <w:color w:val="auto"/>
              </w:rPr>
              <w:t>2022 and 2021</w:t>
            </w:r>
          </w:p>
        </w:tc>
      </w:tr>
      <w:tr>
        <w:trPr>
          <w:trHeight w:val="217"/>
        </w:trPr>
        <w:tc>
          <w:tcPr>
            <w:tcW w:w="5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w:t>
            </w:r>
          </w:p>
        </w:tc>
      </w:tr>
      <w:tr>
        <w:trPr>
          <w:trHeight w:val="180"/>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8"/>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69"/>
        </w:trPr>
        <w:tc>
          <w:tcPr>
            <w:tcW w:w="5760" w:type="dxa"/>
            <w:vAlign w:val="bottom"/>
          </w:tcPr>
          <w:p>
            <w:pPr>
              <w:ind w:left="120"/>
              <w:spacing w:after="0" w:line="169" w:lineRule="exact"/>
              <w:rPr>
                <w:sz w:val="20"/>
                <w:szCs w:val="20"/>
                <w:color w:val="auto"/>
              </w:rPr>
            </w:pPr>
            <w:r>
              <w:rPr>
                <w:rFonts w:ascii="Arial" w:cs="Arial" w:eastAsia="Arial" w:hAnsi="Arial"/>
                <w:sz w:val="17"/>
                <w:szCs w:val="17"/>
                <w:color w:val="auto"/>
                <w:w w:val="95"/>
              </w:rPr>
              <w:t>Premiums earned, net (Net of ceded premiums of $116 and $120 for the three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3"/>
        </w:trPr>
        <w:tc>
          <w:tcPr>
            <w:tcW w:w="5760" w:type="dxa"/>
            <w:vAlign w:val="bottom"/>
          </w:tcPr>
          <w:p>
            <w:pPr>
              <w:ind w:left="120"/>
              <w:spacing w:after="0"/>
              <w:rPr>
                <w:sz w:val="20"/>
                <w:szCs w:val="20"/>
                <w:color w:val="auto"/>
              </w:rPr>
            </w:pPr>
            <w:r>
              <w:rPr>
                <w:rFonts w:ascii="Arial" w:cs="Arial" w:eastAsia="Arial" w:hAnsi="Arial"/>
                <w:sz w:val="17"/>
                <w:szCs w:val="17"/>
                <w:color w:val="auto"/>
              </w:rPr>
              <w:t>months ended September 30, 2022 and 2021, respectively)</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267,892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203,657</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64,235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31.5 %</w:t>
            </w:r>
          </w:p>
        </w:tc>
      </w:tr>
      <w:tr>
        <w:trPr>
          <w:trHeight w:val="221"/>
        </w:trPr>
        <w:tc>
          <w:tcPr>
            <w:tcW w:w="5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Non-Insurance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162.9</w:t>
            </w:r>
          </w:p>
        </w:tc>
      </w:tr>
      <w:tr>
        <w:trPr>
          <w:trHeight w:val="260"/>
        </w:trPr>
        <w:tc>
          <w:tcPr>
            <w:tcW w:w="5760" w:type="dxa"/>
            <w:vAlign w:val="bottom"/>
            <w:tcBorders>
              <w:bottom w:val="single" w:sz="8" w:color="CCEEFF"/>
            </w:tcBorders>
          </w:tcPr>
          <w:p>
            <w:pPr>
              <w:jc w:val="center"/>
              <w:ind w:right="4213"/>
              <w:spacing w:after="0"/>
              <w:rPr>
                <w:sz w:val="20"/>
                <w:szCs w:val="20"/>
                <w:color w:val="auto"/>
              </w:rPr>
            </w:pPr>
            <w:r>
              <w:rPr>
                <w:rFonts w:ascii="Arial" w:cs="Arial" w:eastAsia="Arial" w:hAnsi="Arial"/>
                <w:sz w:val="17"/>
                <w:szCs w:val="17"/>
                <w:color w:val="auto"/>
                <w:w w:val="92"/>
              </w:rPr>
              <w:t>Other income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2,755</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320.7</w:t>
            </w:r>
          </w:p>
        </w:tc>
      </w:tr>
      <w:tr>
        <w:trPr>
          <w:trHeight w:val="214"/>
        </w:trPr>
        <w:tc>
          <w:tcPr>
            <w:tcW w:w="5760" w:type="dxa"/>
            <w:vAlign w:val="bottom"/>
            <w:shd w:val="clear" w:color="auto" w:fill="CCEEFF"/>
          </w:tcPr>
          <w:p>
            <w:pPr>
              <w:jc w:val="center"/>
              <w:ind w:right="4213"/>
              <w:spacing w:after="0"/>
              <w:rPr>
                <w:sz w:val="20"/>
                <w:szCs w:val="20"/>
                <w:color w:val="auto"/>
              </w:rPr>
            </w:pPr>
            <w:r>
              <w:rPr>
                <w:rFonts w:ascii="Arial" w:cs="Arial" w:eastAsia="Arial" w:hAnsi="Arial"/>
                <w:sz w:val="17"/>
                <w:szCs w:val="17"/>
                <w:color w:val="auto"/>
                <w:w w:val="90"/>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856,817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427,163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429,654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100.6</w:t>
            </w:r>
          </w:p>
        </w:tc>
      </w:tr>
      <w:tr>
        <w:trPr>
          <w:trHeight w:val="201"/>
        </w:trPr>
        <w:tc>
          <w:tcPr>
            <w:tcW w:w="57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1"/>
        </w:trPr>
        <w:tc>
          <w:tcPr>
            <w:tcW w:w="5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403,474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92.5</w:t>
            </w:r>
          </w:p>
        </w:tc>
      </w:tr>
      <w:tr>
        <w:trPr>
          <w:trHeight w:val="221"/>
        </w:trPr>
        <w:tc>
          <w:tcPr>
            <w:tcW w:w="5760" w:type="dxa"/>
            <w:vAlign w:val="bottom"/>
          </w:tcPr>
          <w:p>
            <w:pPr>
              <w:ind w:left="160"/>
              <w:spacing w:after="0"/>
              <w:rPr>
                <w:sz w:val="20"/>
                <w:szCs w:val="20"/>
                <w:color w:val="auto"/>
              </w:rPr>
            </w:pPr>
            <w:r>
              <w:rPr>
                <w:rFonts w:ascii="Arial" w:cs="Arial" w:eastAsia="Arial" w:hAnsi="Arial"/>
                <w:sz w:val="17"/>
                <w:szCs w:val="17"/>
                <w:color w:val="auto"/>
              </w:rPr>
              <w:t>Salaries and benefits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73,364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9"/>
                <w:szCs w:val="19"/>
                <w:color w:val="auto"/>
              </w:rPr>
            </w:pPr>
          </w:p>
        </w:tc>
        <w:tc>
          <w:tcPr>
            <w:tcW w:w="1380" w:type="dxa"/>
            <w:vAlign w:val="bottom"/>
          </w:tcPr>
          <w:p>
            <w:pPr>
              <w:jc w:val="right"/>
              <w:ind w:right="93"/>
              <w:spacing w:after="0"/>
              <w:rPr>
                <w:sz w:val="20"/>
                <w:szCs w:val="20"/>
                <w:color w:val="auto"/>
              </w:rPr>
            </w:pPr>
            <w:r>
              <w:rPr>
                <w:rFonts w:ascii="Arial" w:cs="Arial" w:eastAsia="Arial" w:hAnsi="Arial"/>
                <w:sz w:val="17"/>
                <w:szCs w:val="17"/>
                <w:color w:val="auto"/>
              </w:rPr>
              <w:t>(4.4)</w:t>
            </w:r>
          </w:p>
        </w:tc>
      </w:tr>
      <w:tr>
        <w:trPr>
          <w:trHeight w:val="221"/>
        </w:trPr>
        <w:tc>
          <w:tcPr>
            <w:tcW w:w="5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4.3</w:t>
            </w:r>
          </w:p>
        </w:tc>
      </w:tr>
      <w:tr>
        <w:trPr>
          <w:trHeight w:val="221"/>
        </w:trPr>
        <w:tc>
          <w:tcPr>
            <w:tcW w:w="5760" w:type="dxa"/>
            <w:vAlign w:val="bottom"/>
          </w:tcPr>
          <w:p>
            <w:pPr>
              <w:ind w:left="160"/>
              <w:spacing w:after="0"/>
              <w:rPr>
                <w:sz w:val="20"/>
                <w:szCs w:val="20"/>
                <w:color w:val="auto"/>
              </w:rPr>
            </w:pPr>
            <w:r>
              <w:rPr>
                <w:rFonts w:ascii="Arial" w:cs="Arial" w:eastAsia="Arial" w:hAnsi="Arial"/>
                <w:sz w:val="17"/>
                <w:szCs w:val="17"/>
                <w:color w:val="auto"/>
              </w:rPr>
              <w:t>Premium deficiency reserve (benefit)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(48,418)</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7"/>
                <w:szCs w:val="17"/>
                <w:color w:val="auto"/>
              </w:rPr>
              <w:t>233.2</w:t>
            </w:r>
          </w:p>
        </w:tc>
      </w:tr>
      <w:tr>
        <w:trPr>
          <w:trHeight w:val="221"/>
        </w:trPr>
        <w:tc>
          <w:tcPr>
            <w:tcW w:w="5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413.3</w:t>
            </w:r>
          </w:p>
        </w:tc>
      </w:tr>
      <w:tr>
        <w:trPr>
          <w:trHeight w:val="214"/>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930,732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576,416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354,316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61.5</w:t>
            </w:r>
          </w:p>
        </w:tc>
      </w:tr>
      <w:tr>
        <w:trPr>
          <w:trHeight w:val="214"/>
        </w:trPr>
        <w:tc>
          <w:tcPr>
            <w:tcW w:w="5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75,338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(50.5)</w:t>
            </w:r>
          </w:p>
        </w:tc>
      </w:tr>
      <w:tr>
        <w:trPr>
          <w:trHeight w:val="247"/>
        </w:trPr>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1"/>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warrants payable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7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1"/>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notes and securities discount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(59.1)</w:t>
            </w:r>
          </w:p>
        </w:tc>
      </w:tr>
      <w:tr>
        <w:trPr>
          <w:trHeight w:val="221"/>
        </w:trPr>
        <w:tc>
          <w:tcPr>
            <w:tcW w:w="5760" w:type="dxa"/>
            <w:vAlign w:val="bottom"/>
          </w:tcPr>
          <w:p>
            <w:pPr>
              <w:ind w:left="20"/>
              <w:spacing w:after="0"/>
              <w:rPr>
                <w:sz w:val="20"/>
                <w:szCs w:val="20"/>
                <w:color w:val="auto"/>
              </w:rPr>
            </w:pPr>
            <w:r>
              <w:rPr>
                <w:rFonts w:ascii="Arial" w:cs="Arial" w:eastAsia="Arial" w:hAnsi="Arial"/>
                <w:sz w:val="17"/>
                <w:szCs w:val="17"/>
                <w:color w:val="auto"/>
              </w:rPr>
              <w:t>Loss on investment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5760" w:type="dxa"/>
            <w:vAlign w:val="bottom"/>
            <w:tcBorders>
              <w:top w:val="single" w:sz="8" w:color="CCEEFF"/>
              <w:bottom w:val="single" w:sz="8" w:color="CCEEFF"/>
            </w:tcBorders>
            <w:shd w:val="clear" w:color="auto" w:fill="CCEEFF"/>
          </w:tcPr>
          <w:p>
            <w:pPr>
              <w:jc w:val="center"/>
              <w:ind w:right="4233"/>
              <w:spacing w:after="0"/>
              <w:rPr>
                <w:sz w:val="20"/>
                <w:szCs w:val="20"/>
                <w:color w:val="auto"/>
              </w:rPr>
            </w:pPr>
            <w:r>
              <w:rPr>
                <w:rFonts w:ascii="Arial" w:cs="Arial" w:eastAsia="Arial" w:hAnsi="Arial"/>
                <w:sz w:val="17"/>
                <w:szCs w:val="17"/>
                <w:color w:val="auto"/>
                <w:w w:val="91"/>
              </w:rPr>
              <w:t>Net loss</w:t>
            </w: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-24130</wp:posOffset>
            </wp:positionV>
            <wp:extent cx="5778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-24130</wp:posOffset>
            </wp:positionV>
            <wp:extent cx="5778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-24130</wp:posOffset>
            </wp:positionV>
            <wp:extent cx="5778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-1045845</wp:posOffset>
            </wp:positionV>
            <wp:extent cx="577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-1045845</wp:posOffset>
            </wp:positionV>
            <wp:extent cx="577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-1045845</wp:posOffset>
            </wp:positionV>
            <wp:extent cx="577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-2183765</wp:posOffset>
            </wp:positionV>
            <wp:extent cx="577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-2183765</wp:posOffset>
            </wp:positionV>
            <wp:extent cx="577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-2183765</wp:posOffset>
            </wp:positionV>
            <wp:extent cx="577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-3016250</wp:posOffset>
            </wp:positionV>
            <wp:extent cx="577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-3016250</wp:posOffset>
            </wp:positionV>
            <wp:extent cx="577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65" w:lineRule="exact"/>
        <w:rPr>
          <w:sz w:val="20"/>
          <w:szCs w:val="20"/>
          <w:color w:val="auto"/>
        </w:rPr>
      </w:pPr>
    </w:p>
    <w:p>
      <w:pPr>
        <w:ind w:firstLine="4"/>
        <w:spacing w:after="0" w:line="256" w:lineRule="auto"/>
        <w:tabs>
          <w:tab w:leader="none" w:pos="123"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 presented because the current or prior period amount is zero or the amount for the line item changed from a gain to a loss (or vice versa) and thus yields a result that is not meaningful.</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Premiums Earned, Net</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Premiums earned, net increased $64.2 million, or 31.5%, to $267.9 million for the three months ended September 30, 2022, compared to the three months ended September 30, 2021. The increase was primarily due to a 31.0% increase in the number of our Insurance members, from 67,281 at September 30, 2021, to 88,136 at September 30, 2022. Risk adjustment revenue of $10.5 million was recognized during the three months ended September 30, 2022.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Non-Insurance Revenue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Non-Insurance revenue was $585.3 million for the three months ended September 30, 2022, up $362.7 million compared to $222.6 million for the three months ended September 30, 2021. This increase was largely driven by the increase in the number of our aligned Non-Insurance Beneficiaries from 61,818 at September 30, 2021, to 166,432 at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Other income increased $2.8 million, or 320.7%, to $3.6 million for the three months ended September 30, 2022, compared to the three months ended September 30, 2021. The increase was largely due to a $2.7 million increase in net investment income.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Medical Claims Incurred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medical claims incurred increased $403.5 million, or 92.5%, to $839.8 million for the three months ended September 30, 2022, compared to the three months ended September 30, 2021. The increase was primarily driven by an increase in net medical claims attributable to our Non-Insurance Beneficiaries from $228.1 million for the three months ended September 30, 2021, to $609.7 million for three months ended September 30, 2022, which was driven by an increase in the number of our aligned Non-Insurance Beneficiaries from 61,818 at September 30, 2021, to 166,432 at September 30, 2022, and an increase of $22.6 million in net medical claims attributable to our Insurance members, which was primarily driven by an increase in Insurance members from 67,281 at September 30, 2021, to 88,136 at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Salaries and Benefits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Salaries and benefits decreased $3.2 million, or 4.4%, to $70.1 million for the three months ended September 30, 2022, compared to the three months ended September 30, 2021. The decrease was primarily driven by a $4.2 million decrease in stock-based compensation expense, partially offset by increased headcount and additional cash awards.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General and administrative expenses increased $2.0 million, or 4.3%, to $47.8 million for the three months ended September 30, 2022, compared to the three months ended September 30, 2021. The increase was driven in part by a $1.3 million increase in public company costs and legal and other professional fees to support our growth, residual commissions, which are attributable to members retained by the Company from the previous plan year, which increased by $1.1 million, and an increase in supplemental administrative costs of $0.7 million. Additionally, for the three months ended September 30, 2022, we recognized $1.9 million of deferred acquisition costs related to the acquisition of new members, compared to $1.1 million for the three months ended September 30, 2021.These increases were partially offset by a $1.9 million decrease in software application costs.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Premium Deficiency Reserve (Benefit) Expense</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$27.7 million premium deficiency reserve benefit was recorded for the three months ended September 30, 2022, which includes amortization associated with a previously recorded reserve. A $20.8 million premium deficiency reserve expense was recorded for the three months ended September 30, 2021, which includes amortization associated with a previously recorded reserve and a reserve deemed necessary for the remainder of 2021.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Warrants Payable</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was no change in fair value of warrants payable to report for the three months ended September 30, 2022, as there were no warrants outstanding. The change in fair value of warrants payable of $115.2 million for the three months ended September 30, 2021 was due to the mark-to-market adjustment of the public warrants (the "Public Warrants") and the private placement warrants (the "Private Placement Warrants") assumed by the Company in connection with its January 2021 business combination with an affiliate of Social Capital Hedosophia Holdings Corp. III (the "Business Combination"). For additional information, see Note 5 (Fair Value Measurements) and Note 13 (Warrants Payable) in our 2021 Form 10-K.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There was no change in interest expense for the three months ended September 30, 2022 as compared to the three months ended September 30, 2021.</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Notes and Securities Discounts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Amortization of notes and securities discounts were less than $0.1 million in both the three months ended September 30, 2022 and the three months ended September 30, 2021 and remained relatively flat.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Loss on Investment</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recorded a loss on investment of $1.0 million for the three months ended September 30, 2022, on our minority equity investment in Character Biosciences, Inc. (f/k/a Clover Therapeutics Company) ("Character Biosciences"), attributable to our proportionate share of the loss on equity of that entity during the period. Prior to the first quarter of 2022, this entity was consolidated on the Company's financial statements, and therefore the Company did not recognize a loss or gain on investment in this entity for the three months ended September 30, 2021.</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2022 and 2021</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following table summarizes our condensed consolidated results of operations for the nine months ended September 30, 2022 and 2021. The period-to-period comparison of results is not necessarily indicative of results for future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60"/>
              <w:spacing w:after="0"/>
              <w:rPr>
                <w:sz w:val="20"/>
                <w:szCs w:val="20"/>
                <w:color w:val="auto"/>
              </w:rPr>
            </w:pPr>
            <w:r>
              <w:rPr>
                <w:rFonts w:ascii="Arial" w:cs="Arial" w:eastAsia="Arial" w:hAnsi="Arial"/>
                <w:sz w:val="17"/>
                <w:szCs w:val="17"/>
                <w:b w:val="1"/>
                <w:bCs w:val="1"/>
                <w:color w:val="auto"/>
              </w:rPr>
              <w:t>Nine Months Ended</w:t>
            </w:r>
          </w:p>
        </w:tc>
        <w:tc>
          <w:tcPr>
            <w:tcW w:w="160" w:type="dxa"/>
            <w:vAlign w:val="bottom"/>
          </w:tcPr>
          <w:p>
            <w:pPr>
              <w:spacing w:after="0"/>
              <w:rPr>
                <w:sz w:val="16"/>
                <w:szCs w:val="16"/>
                <w:color w:val="auto"/>
              </w:rPr>
            </w:pPr>
          </w:p>
        </w:tc>
        <w:tc>
          <w:tcPr>
            <w:tcW w:w="2020" w:type="dxa"/>
            <w:vAlign w:val="bottom"/>
            <w:gridSpan w:val="3"/>
          </w:tcPr>
          <w:p>
            <w:pPr>
              <w:jc w:val="right"/>
              <w:ind w:right="393"/>
              <w:spacing w:after="0"/>
              <w:rPr>
                <w:sz w:val="20"/>
                <w:szCs w:val="20"/>
                <w:color w:val="auto"/>
              </w:rPr>
            </w:pPr>
            <w:r>
              <w:rPr>
                <w:rFonts w:ascii="Arial" w:cs="Arial" w:eastAsia="Arial" w:hAnsi="Arial"/>
                <w:sz w:val="17"/>
                <w:szCs w:val="17"/>
                <w:b w:val="1"/>
                <w:bCs w:val="1"/>
                <w:color w:val="auto"/>
              </w:rPr>
              <w:t>Change between</w:t>
            </w:r>
          </w:p>
        </w:tc>
      </w:tr>
      <w:tr>
        <w:trPr>
          <w:trHeight w:val="230"/>
        </w:trPr>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ind w:left="38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2020" w:type="dxa"/>
            <w:vAlign w:val="bottom"/>
            <w:gridSpan w:val="3"/>
          </w:tcPr>
          <w:p>
            <w:pPr>
              <w:jc w:val="right"/>
              <w:ind w:right="473"/>
              <w:spacing w:after="0"/>
              <w:rPr>
                <w:sz w:val="20"/>
                <w:szCs w:val="20"/>
                <w:color w:val="auto"/>
              </w:rPr>
            </w:pPr>
            <w:r>
              <w:rPr>
                <w:rFonts w:ascii="Arial" w:cs="Arial" w:eastAsia="Arial" w:hAnsi="Arial"/>
                <w:sz w:val="17"/>
                <w:szCs w:val="17"/>
                <w:b w:val="1"/>
                <w:bCs w:val="1"/>
                <w:color w:val="auto"/>
              </w:rPr>
              <w:t>2022 and 2021</w:t>
            </w:r>
          </w:p>
        </w:tc>
      </w:tr>
      <w:tr>
        <w:trPr>
          <w:trHeight w:val="217"/>
        </w:trPr>
        <w:tc>
          <w:tcPr>
            <w:tcW w:w="6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r>
      <w:tr>
        <w:trPr>
          <w:trHeight w:val="180"/>
        </w:trPr>
        <w:tc>
          <w:tcPr>
            <w:tcW w:w="6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69"/>
        </w:trPr>
        <w:tc>
          <w:tcPr>
            <w:tcW w:w="6680" w:type="dxa"/>
            <w:vAlign w:val="bottom"/>
          </w:tcPr>
          <w:p>
            <w:pPr>
              <w:ind w:left="120"/>
              <w:spacing w:after="0" w:line="169" w:lineRule="exact"/>
              <w:rPr>
                <w:sz w:val="20"/>
                <w:szCs w:val="20"/>
                <w:color w:val="auto"/>
              </w:rPr>
            </w:pPr>
            <w:r>
              <w:rPr>
                <w:rFonts w:ascii="Arial" w:cs="Arial" w:eastAsia="Arial" w:hAnsi="Arial"/>
                <w:sz w:val="17"/>
                <w:szCs w:val="17"/>
                <w:color w:val="auto"/>
                <w:w w:val="94"/>
              </w:rPr>
              <w:t>Premiums earned, net (Net of ceded premiums of $354 and $370 for the nine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3"/>
        </w:trPr>
        <w:tc>
          <w:tcPr>
            <w:tcW w:w="6680" w:type="dxa"/>
            <w:vAlign w:val="bottom"/>
          </w:tcPr>
          <w:p>
            <w:pPr>
              <w:ind w:left="120"/>
              <w:spacing w:after="0"/>
              <w:rPr>
                <w:sz w:val="20"/>
                <w:szCs w:val="20"/>
                <w:color w:val="auto"/>
              </w:rPr>
            </w:pPr>
            <w:r>
              <w:rPr>
                <w:rFonts w:ascii="Arial" w:cs="Arial" w:eastAsia="Arial" w:hAnsi="Arial"/>
                <w:sz w:val="17"/>
                <w:szCs w:val="17"/>
                <w:color w:val="auto"/>
              </w:rPr>
              <w:t>September 30, 2022 and 2021, respectively)</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814,566</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598,390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216,176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36.1 %</w:t>
            </w:r>
          </w:p>
        </w:tc>
      </w:tr>
      <w:tr>
        <w:trPr>
          <w:trHeight w:val="221"/>
        </w:trPr>
        <w:tc>
          <w:tcPr>
            <w:tcW w:w="6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Non-Insurance revenue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1,757,579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1,318,559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300.3</w:t>
            </w:r>
          </w:p>
        </w:tc>
      </w:tr>
      <w:tr>
        <w:trPr>
          <w:trHeight w:val="260"/>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5,751</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3,201</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125.5</w:t>
            </w:r>
          </w:p>
        </w:tc>
      </w:tr>
      <w:tr>
        <w:trPr>
          <w:trHeight w:val="214"/>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2,577,896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1,039,960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1,537,936</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147.9</w:t>
            </w:r>
          </w:p>
        </w:tc>
      </w:tr>
      <w:tr>
        <w:trPr>
          <w:trHeight w:val="201"/>
        </w:trPr>
        <w:tc>
          <w:tcPr>
            <w:tcW w:w="66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1"/>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medical claims incurred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1,451,059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130.8</w:t>
            </w:r>
          </w:p>
        </w:tc>
      </w:tr>
      <w:tr>
        <w:trPr>
          <w:trHeight w:val="260"/>
        </w:trPr>
        <w:tc>
          <w:tcPr>
            <w:tcW w:w="6680" w:type="dxa"/>
            <w:vAlign w:val="bottom"/>
          </w:tcPr>
          <w:p>
            <w:pPr>
              <w:ind w:left="160"/>
              <w:spacing w:after="0"/>
              <w:rPr>
                <w:sz w:val="20"/>
                <w:szCs w:val="20"/>
                <w:color w:val="auto"/>
              </w:rPr>
            </w:pPr>
            <w:r>
              <w:rPr>
                <w:rFonts w:ascii="Arial" w:cs="Arial" w:eastAsia="Arial" w:hAnsi="Arial"/>
                <w:sz w:val="17"/>
                <w:szCs w:val="17"/>
                <w:color w:val="auto"/>
              </w:rPr>
              <w:t>Salaries and benefits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209,724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201,555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8,169</w:t>
            </w:r>
          </w:p>
        </w:tc>
        <w:tc>
          <w:tcPr>
            <w:tcW w:w="80" w:type="dxa"/>
            <w:vAlign w:val="bottom"/>
          </w:tcPr>
          <w:p>
            <w:pPr>
              <w:spacing w:after="0"/>
              <w:rPr>
                <w:sz w:val="22"/>
                <w:szCs w:val="22"/>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4.1</w:t>
            </w:r>
          </w:p>
        </w:tc>
      </w:tr>
      <w:tr>
        <w:trPr>
          <w:trHeight w:val="221"/>
        </w:trPr>
        <w:tc>
          <w:tcPr>
            <w:tcW w:w="6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17.3</w:t>
            </w:r>
          </w:p>
        </w:tc>
      </w:tr>
      <w:tr>
        <w:trPr>
          <w:trHeight w:val="221"/>
        </w:trPr>
        <w:tc>
          <w:tcPr>
            <w:tcW w:w="6680" w:type="dxa"/>
            <w:vAlign w:val="bottom"/>
          </w:tcPr>
          <w:p>
            <w:pPr>
              <w:ind w:left="160"/>
              <w:spacing w:after="0"/>
              <w:rPr>
                <w:sz w:val="20"/>
                <w:szCs w:val="20"/>
                <w:color w:val="auto"/>
              </w:rPr>
            </w:pPr>
            <w:r>
              <w:rPr>
                <w:rFonts w:ascii="Arial" w:cs="Arial" w:eastAsia="Arial" w:hAnsi="Arial"/>
                <w:sz w:val="17"/>
                <w:szCs w:val="17"/>
                <w:color w:val="auto"/>
              </w:rPr>
              <w:t>Premium deficiency reserve (benefit)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(82,971)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(131,632)</w:t>
            </w:r>
          </w:p>
        </w:tc>
        <w:tc>
          <w:tcPr>
            <w:tcW w:w="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(270.5)</w:t>
            </w:r>
          </w:p>
        </w:tc>
      </w:tr>
      <w:tr>
        <w:trPr>
          <w:trHeight w:val="221"/>
        </w:trPr>
        <w:tc>
          <w:tcPr>
            <w:tcW w:w="6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409.5</w:t>
            </w:r>
          </w:p>
        </w:tc>
      </w:tr>
      <w:tr>
        <w:trPr>
          <w:trHeight w:val="221"/>
        </w:trPr>
        <w:tc>
          <w:tcPr>
            <w:tcW w:w="6680" w:type="dxa"/>
            <w:vAlign w:val="bottom"/>
          </w:tcPr>
          <w:p>
            <w:pPr>
              <w:ind w:left="160"/>
              <w:spacing w:after="0"/>
              <w:rPr>
                <w:sz w:val="20"/>
                <w:szCs w:val="20"/>
                <w:color w:val="auto"/>
              </w:rPr>
            </w:pPr>
            <w:r>
              <w:rPr>
                <w:rFonts w:ascii="Arial" w:cs="Arial" w:eastAsia="Arial" w:hAnsi="Arial"/>
                <w:sz w:val="17"/>
                <w:szCs w:val="17"/>
                <w:color w:val="auto"/>
              </w:rPr>
              <w:t>Other expense</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66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2,841,657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1,490,163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1,351,494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90.7</w:t>
            </w:r>
          </w:p>
        </w:tc>
      </w:tr>
      <w:tr>
        <w:trPr>
          <w:trHeight w:val="214"/>
        </w:trPr>
        <w:tc>
          <w:tcPr>
            <w:tcW w:w="668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(263,761)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(450,203)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186,442</w:t>
            </w:r>
          </w:p>
        </w:tc>
        <w:tc>
          <w:tcPr>
            <w:tcW w:w="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(41.4)</w:t>
            </w:r>
          </w:p>
        </w:tc>
      </w:tr>
      <w:tr>
        <w:trPr>
          <w:trHeight w:val="260"/>
        </w:trPr>
        <w:tc>
          <w:tcPr>
            <w:tcW w:w="6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1"/>
        </w:trPr>
        <w:tc>
          <w:tcPr>
            <w:tcW w:w="6680" w:type="dxa"/>
            <w:vAlign w:val="bottom"/>
          </w:tcPr>
          <w:p>
            <w:pPr>
              <w:ind w:left="20"/>
              <w:spacing w:after="0"/>
              <w:rPr>
                <w:sz w:val="20"/>
                <w:szCs w:val="20"/>
                <w:color w:val="auto"/>
              </w:rPr>
            </w:pPr>
            <w:r>
              <w:rPr>
                <w:rFonts w:ascii="Arial" w:cs="Arial" w:eastAsia="Arial" w:hAnsi="Arial"/>
                <w:sz w:val="17"/>
                <w:szCs w:val="17"/>
                <w:color w:val="auto"/>
              </w:rPr>
              <w:t>Change in fair value of warrants payable</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66,146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(57.1)</w:t>
            </w:r>
          </w:p>
        </w:tc>
      </w:tr>
      <w:tr>
        <w:trPr>
          <w:trHeight w:val="221"/>
        </w:trPr>
        <w:tc>
          <w:tcPr>
            <w:tcW w:w="6680" w:type="dxa"/>
            <w:vAlign w:val="bottom"/>
          </w:tcPr>
          <w:p>
            <w:pPr>
              <w:ind w:left="20"/>
              <w:spacing w:after="0"/>
              <w:rPr>
                <w:sz w:val="20"/>
                <w:szCs w:val="20"/>
                <w:color w:val="auto"/>
              </w:rPr>
            </w:pPr>
            <w:r>
              <w:rPr>
                <w:rFonts w:ascii="Arial" w:cs="Arial" w:eastAsia="Arial" w:hAnsi="Arial"/>
                <w:sz w:val="17"/>
                <w:szCs w:val="17"/>
                <w:color w:val="auto"/>
              </w:rPr>
              <w:t>Amortization of notes and securities discount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(13,681)</w:t>
            </w:r>
          </w:p>
        </w:tc>
        <w:tc>
          <w:tcPr>
            <w:tcW w:w="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(99.8)</w:t>
            </w:r>
          </w:p>
        </w:tc>
      </w:tr>
      <w:tr>
        <w:trPr>
          <w:trHeight w:val="221"/>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investment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6680" w:type="dxa"/>
            <w:vAlign w:val="bottom"/>
          </w:tcPr>
          <w:p>
            <w:pPr>
              <w:ind w:left="440"/>
              <w:spacing w:after="0"/>
              <w:rPr>
                <w:sz w:val="20"/>
                <w:szCs w:val="20"/>
                <w:color w:val="auto"/>
              </w:rPr>
            </w:pPr>
            <w:r>
              <w:rPr>
                <w:rFonts w:ascii="Arial" w:cs="Arial" w:eastAsia="Arial" w:hAnsi="Arial"/>
                <w:sz w:val="17"/>
                <w:szCs w:val="17"/>
                <w:color w:val="auto"/>
              </w:rPr>
              <w:t>Net loss</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(254,798)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(400,555)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145,757</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(36.4)%</w:t>
            </w: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6373495</wp:posOffset>
            </wp:positionH>
            <wp:positionV relativeFrom="paragraph">
              <wp:posOffset>-1202690</wp:posOffset>
            </wp:positionV>
            <wp:extent cx="577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-1202690</wp:posOffset>
            </wp:positionV>
            <wp:extent cx="577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6373495</wp:posOffset>
            </wp:positionH>
            <wp:positionV relativeFrom="paragraph">
              <wp:posOffset>-2356485</wp:posOffset>
            </wp:positionV>
            <wp:extent cx="577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-2356485</wp:posOffset>
            </wp:positionV>
            <wp:extent cx="577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-3188970</wp:posOffset>
            </wp:positionV>
            <wp:extent cx="577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65" w:lineRule="exact"/>
        <w:rPr>
          <w:sz w:val="20"/>
          <w:szCs w:val="20"/>
          <w:color w:val="auto"/>
        </w:rPr>
      </w:pPr>
    </w:p>
    <w:p>
      <w:pPr>
        <w:ind w:left="160" w:hanging="156"/>
        <w:spacing w:after="0" w:line="256" w:lineRule="auto"/>
        <w:tabs>
          <w:tab w:leader="none" w:pos="2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 presented because the current or prior period amount is zero or the amount for the line item changed from a gain to a loss (or vice versa) and thus yields a result that is not meaningful.</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Premiums Earned, Net</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Premiums earned, net increased $216.2 million, or 36.1%, to $814.6 million for the nine months ended September 30, 2022, compared to the nine months ended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The increase was primarily due to membership growth of 31.0% from 67,281 Insurance members at September 30, 2021, to 88,136</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Insurance members at September 30, 2022. Risk adjustment revenue of $51.7 million was recognized during the nine months ended September 30, 2022.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Non-Insurance Revenue</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Non-Insurance revenue was $1,757.6 million for the nine months ended September 30, 2022, compared to $439.0 million for the nine months ended September 30, 2021. The increase was primarily driven by an increase in the number of our aligned Non-Insurance Beneficiaries from 61,818 at September 30, 2021, to 166,432 at September 30, 2022, and the fact that our DCE did not begin participation in Direct Contracting until the second quarter of 2021.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Other income increased $3.2 million, or 125.5%, to $5.8 million for the nine months ended September 30, 2022, compared to the nine months ended September 30, 2021. The increase was largely due to a $3.4 million increase in net investment income.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Medical Claims Incurred</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Net medical claims incurred increased $1,451.1 million, or 130.8%, to $2,560.3 million for the nine months ended September 30, 2022, compared to the nine months ended September 30, 2021. The increase was primarily driven by an increase in net medical claims attributable to our Non-Insurance Beneficiaries from $470.0 million for the nine months ended September 30, 2021, to $1,815.8 million for the nine months ended September 30, 2022, which was driven by an increase in the number of our aligned Non-Insurance Beneficiaries from 61,818 at September 30, 2021, to 166,432 at September 30, 2022 and the fact that our DCE did not begin participation in Direct Contracting until the second quarter of 2021, and an increase of $106.0 million in net medical claims attributable to our Insurance members, which was primarily driven by an increase in Insurance members from 67,281 Insurance members at September 30, 2021, to 88,136 Insurance members at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Salaries and Benefits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Salaries and benefits increased $8.2 million, or 4.1%, to $209.7 million for the nine months ended September 30, 2022, compared to the nine months ended September 30, 2021. The increase was primarily driven by increased headcount and additional cash awards, partially offset by a $7.3 million decrease in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General and administrative expenses increased $22.5 million, or 17.3%, to $152.6 million for the nine months ended September 30, 2022, compared to the nine months ended September 30, 2021. The increase was driven in part by increases in legal and other professional fees to support our growth and public company costs, including costs associated with obtaining and maintaining directors' and officers' liability insurance. Legal and professional fees increased $9.0 million for the nine months ended September 30, 2022, compared to the nine months ended September 30, 2021. Residual commissions, which are attributable to members retained by the Company from the previous plan year, increased by $7.6 million. For the nine months ended September 30, 2022, we recognized $15.6 million of deferred acquisition costs related to the acquisition of new members, compared to $9.6 million for the nine months ended September 30, 2021.</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Premium Deficiency Reserve (Benefit) Expense</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$83.0 million premium deficiency reserve benefit was recorded for the nine months ended September 30, 2022, which includes amortization associated with a previously recorded reserve. A $48.7 million premium deficiency reserve expense was recorded for the nine months ended September 30, 2021, which includes amortization associated with a previously recorded reserve and a reserve deemed necessary for the remainder of 2021.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Warrants Payable</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There was no change in fair value of warrants payable to report for the nine months ended September 30, 2022, as there were no warrants outstanding. There was a decrease of $66.1 million for the nine months ended September 30, 2021, due to the mark-to-market adjustment of the Public Warrants and Private Placement Warrants recognized for the nine months ended September 30, 2021. For additional information, see Note 5 (Fair Value Measurements) and Note 13 (Warrants Payable) in our 2021 Form 10-K.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6" w:lineRule="exact"/>
        <w:rPr>
          <w:sz w:val="20"/>
          <w:szCs w:val="20"/>
          <w:color w:val="auto"/>
        </w:rPr>
      </w:pPr>
    </w:p>
    <w:p>
      <w:pPr>
        <w:jc w:val="both"/>
        <w:spacing w:after="0" w:line="355" w:lineRule="auto"/>
        <w:rPr>
          <w:sz w:val="20"/>
          <w:szCs w:val="20"/>
          <w:color w:val="auto"/>
        </w:rPr>
      </w:pPr>
      <w:r>
        <w:rPr>
          <w:rFonts w:ascii="Arial" w:cs="Arial" w:eastAsia="Arial" w:hAnsi="Arial"/>
          <w:sz w:val="15"/>
          <w:szCs w:val="15"/>
          <w:color w:val="auto"/>
        </w:rPr>
        <w:t>Interest expense decreased $1.6 million, or 57.1%, to $1.2 million for the nine months ended September 30, 2022, compared to the nine months ended September 30, 2021, primarily related to the voluntary prepayment and termination of the remaining principal and interest associated with our Term Loan Notes.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Notes and Securities Discounts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Amortization of notes and securities discounts decreased by 99.8% primarily due to the completion of the Business Combination on January 7, 2021, whereby the unamortized discount associated with the August 2019 tranche of the Convertible Securities was accelerated, as well as the termination of our Term Loans during the nine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Investment</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2022, Character Biosciences completed a private capital transaction in which it raised $17.9 million from the issuance of 16,210,602 shares of its preferred stock. After evaluating our ownership interest in Character Biosciences, we began applying the equity method of accounting during the nine months ended September 30, 2022, and recorded a gain on investment of $10.2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1" w:name="page42"/>
    <w:bookmarkEnd w:id="41"/>
    <w:p>
      <w:pPr>
        <w:jc w:val="both"/>
        <w:spacing w:after="0" w:line="270" w:lineRule="auto"/>
        <w:rPr>
          <w:sz w:val="20"/>
          <w:szCs w:val="20"/>
          <w:color w:val="auto"/>
        </w:rPr>
      </w:pPr>
      <w:r>
        <w:rPr>
          <w:rFonts w:ascii="Arial" w:cs="Arial" w:eastAsia="Arial" w:hAnsi="Arial"/>
          <w:sz w:val="17"/>
          <w:szCs w:val="17"/>
          <w:color w:val="auto"/>
        </w:rPr>
        <w:t>which is attributable to our proportionate share of the gain on equity of that entity during that period. Prior to the first quarter of 2022, this entity was consolidated on the Company's financial statements, and therefore the Company did not recognize a loss or gain on investment in this entity for the nine months ended September 30, 2021.</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of September 30, 2022, we had cash, cash equivalents, and short-term investments of $536.7 million. Additionally, as of September 30, 2022, we had $246.1 million of available-for-sale and held-to-maturity investment securities, and an outstanding balance of $23.2 million on convertible notes issued by Seek. Our cash equivalents, short-term investments, and investment securities consist primarily of money market funds and U.S. government debt securities.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Historically, we have financed our operations primarily from the proceeds we received through public and private sales of equity securities, funds received in connection with the Business Combination, issuances of convertible notes, premiums earned under our MA plans, borrowings under our term loan facility and, most recently, with our Non-Insurance revenues. We expect that our cash, cash equivalents,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short-term investments at the parent company, Clover Health Investments, Corp., were $169.1 million and $350.9 million as of September 30, 2022, and December 31, 2021, respectively. This decrease at the parent company primarily reflects operating expenses and capital contributions made to our regulated insurance subsidiaries. Additionally, our parent company held $113.9 million and $79.3 million of available-for-sale and held-to-maturity investment securities as of September 30, 2022, and December 31, 2021. Our unregulated subsidiaries held $132.7 million and $52.2 million of cash, cash equivalents, and short-term investments as of September 30, 2022, and December 31, 2021, respectively. Our unregulated subsidiaries held no available-for-sale and held-to-maturity securities as of both September 30, 2022 and December 31, 2021. Our regulated insurance subsidiaries held $234.8 million and $190.7 million of cash, cash equivalents, and short-term investments as of September 30, 2022, and December 31, 2021, respectively. Additionally, our regulated insurance subsidiaries held $132.1 million and $118.0 million of available-for-sale and held-to-maturity investment securities as of September 30, 2022, and December 31, 2021,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a detailed discussion of our regulatory requirements, including aggregate statutory capital and surplus as well as dividends paid from the subsidiaries to the parent, please refer to Notes 24, 25, and 26 in our 2021 Form 10-K.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Cash Flows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condensed consolidated cash flows for the nine months ended September 30,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40" w:type="dxa"/>
            <w:vAlign w:val="bottom"/>
            <w:gridSpan w:val="2"/>
          </w:tcPr>
          <w:p>
            <w:pPr>
              <w:ind w:left="20"/>
              <w:spacing w:after="0"/>
              <w:rPr>
                <w:sz w:val="20"/>
                <w:szCs w:val="20"/>
                <w:color w:val="auto"/>
              </w:rPr>
            </w:pPr>
            <w:r>
              <w:rPr>
                <w:rFonts w:ascii="Arial" w:cs="Arial" w:eastAsia="Arial" w:hAnsi="Arial"/>
                <w:sz w:val="17"/>
                <w:szCs w:val="17"/>
                <w:b w:val="1"/>
                <w:bCs w:val="1"/>
                <w:color w:val="auto"/>
              </w:rPr>
              <w:t>Nine Months Ended September 30,</w:t>
            </w: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180"/>
        </w:trPr>
        <w:tc>
          <w:tcPr>
            <w:tcW w:w="8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5"/>
                <w:szCs w:val="15"/>
                <w:color w:val="auto"/>
              </w:rPr>
            </w:pPr>
          </w:p>
        </w:tc>
      </w:tr>
      <w:tr>
        <w:trPr>
          <w:trHeight w:val="228"/>
        </w:trPr>
        <w:tc>
          <w:tcPr>
            <w:tcW w:w="824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Cash Flows Data:</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1"/>
        </w:trPr>
        <w:tc>
          <w:tcPr>
            <w:tcW w:w="8240" w:type="dxa"/>
            <w:vAlign w:val="bottom"/>
            <w:gridSpan w:val="2"/>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5,442</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980" w:type="dxa"/>
            <w:vAlign w:val="bottom"/>
          </w:tcPr>
          <w:p>
            <w:pPr>
              <w:jc w:val="center"/>
              <w:ind w:left="173"/>
              <w:spacing w:after="0"/>
              <w:rPr>
                <w:sz w:val="20"/>
                <w:szCs w:val="20"/>
                <w:color w:val="auto"/>
              </w:rPr>
            </w:pPr>
            <w:r>
              <w:rPr>
                <w:rFonts w:ascii="Arial" w:cs="Arial" w:eastAsia="Arial" w:hAnsi="Arial"/>
                <w:sz w:val="17"/>
                <w:szCs w:val="17"/>
                <w:color w:val="auto"/>
                <w:w w:val="93"/>
              </w:rPr>
              <w:t>(202,150)</w:t>
            </w:r>
          </w:p>
        </w:tc>
      </w:tr>
      <w:tr>
        <w:trPr>
          <w:trHeight w:val="221"/>
        </w:trPr>
        <w:tc>
          <w:tcPr>
            <w:tcW w:w="824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82,477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left="173"/>
              <w:spacing w:after="0"/>
              <w:rPr>
                <w:sz w:val="20"/>
                <w:szCs w:val="20"/>
                <w:color w:val="auto"/>
              </w:rPr>
            </w:pPr>
            <w:r>
              <w:rPr>
                <w:rFonts w:ascii="Arial" w:cs="Arial" w:eastAsia="Arial" w:hAnsi="Arial"/>
                <w:sz w:val="17"/>
                <w:szCs w:val="17"/>
                <w:color w:val="auto"/>
                <w:w w:val="93"/>
              </w:rPr>
              <w:t>(328,956)</w:t>
            </w:r>
          </w:p>
        </w:tc>
      </w:tr>
      <w:tr>
        <w:trPr>
          <w:trHeight w:val="221"/>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13"/>
              <w:spacing w:after="0"/>
              <w:rPr>
                <w:sz w:val="20"/>
                <w:szCs w:val="20"/>
                <w:color w:val="auto"/>
              </w:rPr>
            </w:pPr>
            <w:r>
              <w:rPr>
                <w:rFonts w:ascii="Arial" w:cs="Arial" w:eastAsia="Arial" w:hAnsi="Arial"/>
                <w:sz w:val="17"/>
                <w:szCs w:val="17"/>
                <w:color w:val="auto"/>
                <w:w w:val="91"/>
              </w:rPr>
              <w:t>641,022</w:t>
            </w:r>
          </w:p>
        </w:tc>
      </w:tr>
      <w:tr>
        <w:trPr>
          <w:trHeight w:val="21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82,901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7"/>
                <w:szCs w:val="17"/>
                <w:color w:val="auto"/>
                <w:w w:val="91"/>
              </w:rPr>
              <w:t>109,916</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Requirements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flows from current operations and cash available for general corporate use.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largest source of operating cash flows is capitated payments from CMS. Our primary uses of cash from operating activities are payments for medical benefits and payments of operating expenses.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nine months ended September 30, 2022, net cash provided by operating activities was $5.4 million, which reflects a net loss of $254.8 million Non-cash activities included a $125.2 million charge to stock-based compensation expense, $83.0 million of amortization of the 2022 premium deficiency reserve, and a $10.2 million gain on investment related to the change in the equity structure of Character Biosciences. Payments due to CMS related to our Non-Insurance operations increased by $109.4 million. A prepayment of $96.4 million was received during the period from CMS for October 2022. Change in our working capital included an increase in unpaid claims of $1.0 million.</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the nine months ended September 30, 2021, net cash used in operating activities was $202.2 million, which reflects a net loss of $400.6 million. Non-cash activities included a $66.1 million gain as a result of the change in fair value of warrants payable and a $132.5 million charge to stock-based compensation expense. Changes to our working capital included a $48.7 million charge to our premium deficiency reserve and an increase of $13.2 million in surety bonds and deposits related to Direct Contracting.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Net cash provided by investing activities for the nine months ended September 30, 2022, of $82.5 million was primarily due to $360.2 million provided from the sale and maturity of investment securities, offset by $276.8 million used to purchase investments.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Net cash used in investing activities for the nine months ended September 30, 2021, of $329.0 million was primarily due to $705.6 million used to purchase investment securities, partially offset by $377.1 million provided from the sale and maturity of investment securities.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additional information regarding our investing activities, please refer to Note 3 (Investment Securities) to our condensed consolidated financial statements included in this Form 10-Q.</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Net cash used in financing activities for the nine months ended September 30, 2022, of $5.0 million was primarily the result of the acquisition of $6.3 million in treasury stock.</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provided by financing activities for the nine months ended September 30, 2021, of $641.0 million was primarily the result of $666.2 million in proceeds from the reverse capitalization in connection with the Business Combination, net of transaction costs, and $5.5 million in proceeds from the issuance of common stock, partially offset by $30.9 million in principal payments on our outstanding Term Loan Notes.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Financing Arrangements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financing arrangements as of September 30, 2022, as compared to those disclosed in our 2021 Form 10-K.</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believe that funds from future operating cash flows, cash, and investments will be sufficient for future operations and commitments, and for capital acquisitions and other strategic transactions, over at least the next 12 months.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Material cash requirements from known contractual obligations and commitments as of September 30, 2022 include: (1) the recognition of a performance guarantee of $655.8 million in connection with the Company's participation in the DC Model, (2) operating lease obligations of $6.3 million, and (3) the outstanding principal balance related to the convertible note entered into by Seek, our indirect wholly-owned subsidiary, on September 25, 2020, for an aggregate principal amount of $20.0 million. These commitments are associated with contracts that were enforceable and legally binding as of September 30, 2022,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For additional information regarding our remaining estimated contractual obligations and commitments, see Note 8 (Notes and Securities Payable), Note 15 (Commitments and Contingencies), and Note 16 (Non-Insurance) to Financial Statements in this report, and Note 16 (Leases) in the 2021 Form 10-K.</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ordinary course of business, we enter into agreements, with various parties (providers, vendors, consultants, etc.), of varying scope and terms pursuant to which we may agree to defend, indemnify, and hold harmless the other parties from any claim, demand, loss, lawsuit, settlement, judgment, fine, or other liability, and all related expenses which may accrue there from (including reasonable attorney's fees), arising from or in connection with third party claims, including, but not limited to, negligence, recklessness, willful misconduct, fraud, or otherwise wrongful act or omission with respect to our obligations under the applicable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believe that the accounting policies and estimates involve a significant degree of judgment and complexity. There have been no significant changes in our critical accounting policies and estimates during the three months ended September 30, 2022, as compared to the critical accounting policies and estimates disclosed in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the 2021 Form 10-K.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are also exposed to credit risk on our investment portfolio. We manage the exposure to credit risk in our portfolio by investing in high quality securities and diversifying our holdings.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fixed maturity securities. As of September 30, 2022, none of our fixed maturity securities portfolio was unrated or rated below investment grade.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September 30, 2022, pursuant to Rule 13a-15(b) under the Securities Exchange Act of 1934, as amended (the "Exchange Act"). Based upon that evaluation, our Certifying Officers concluded that, as of September 30, 2022, our disclosure controls and procedures were effective.</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2"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PART II</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231F20"/>
        </w:rPr>
        <w:t>For example, since February 2021, Clover has received subpoenas from the SEC related to certain disclosures and aspects of our business as well as certain matters described in an article issued on February 4, 2021, by Hindenburg Research LLC (the "Hindenburg article"). We are cooperating with the SEC's investigation. The Hindenburg article, which discussed, among other things, an ongoing inquiry by the U.S. Attorney's Office for the Eastern District of Pennsylvania relating to, among other things, certain of our arrangements with providers participating in our network and programs, and Clover Assistant, was the subject of our Current Report on Form 8-K filed with the SEC on February 5, 2021.</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Information concerning legal proceedings can be found in Note 15 (Commitments and Contingencies) to the condensed consolidated financial statements included in Part I, Item 1 of this Form 10-Q, which information is incorporated by reference into this item.</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There have been no material changes in our risk factors from those disclosed in Part I, Item 1A of the 2021 Form 10-K. In the course of conducting our business operations, we are exposed to a variety of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"Risk Factors" section in the 2021 Form 10-K.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Item 6. Exhibits and Financial Statement Schedules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 list of exhibits to this Form 10-Q is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00" w:type="dxa"/>
            <w:vAlign w:val="bottom"/>
            <w:gridSpan w:val="2"/>
          </w:tcPr>
          <w:p>
            <w:pPr>
              <w:ind w:left="40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0" w:type="dxa"/>
            <w:vAlign w:val="bottom"/>
            <w:gridSpan w:val="6"/>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020" w:type="dxa"/>
            <w:vAlign w:val="bottom"/>
          </w:tcPr>
          <w:p>
            <w:pPr>
              <w:ind w:left="20"/>
              <w:spacing w:after="0" w:line="188" w:lineRule="exact"/>
              <w:rPr>
                <w:sz w:val="20"/>
                <w:szCs w:val="20"/>
                <w:color w:val="auto"/>
              </w:rPr>
            </w:pPr>
            <w:r>
              <w:rPr>
                <w:rFonts w:ascii="Arial" w:cs="Arial" w:eastAsia="Arial" w:hAnsi="Arial"/>
                <w:sz w:val="17"/>
                <w:szCs w:val="17"/>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10"/>
          </w:tcPr>
          <w:p>
            <w:pPr>
              <w:spacing w:after="0" w:line="188" w:lineRule="exact"/>
              <w:rPr>
                <w:sz w:val="20"/>
                <w:szCs w:val="20"/>
                <w:color w:val="auto"/>
              </w:rPr>
            </w:pPr>
            <w:r>
              <w:rPr>
                <w:rFonts w:ascii="Arial" w:cs="Arial" w:eastAsia="Arial" w:hAnsi="Arial"/>
                <w:sz w:val="17"/>
                <w:szCs w:val="17"/>
                <w:color w:val="0000FF"/>
              </w:rPr>
              <w:t>Employment Agreement, dated as of August 8, 2022, between the Registrant and Andrew Toy</w:t>
            </w:r>
          </w:p>
        </w:tc>
        <w:tc>
          <w:tcPr>
            <w:tcW w:w="0" w:type="dxa"/>
            <w:vAlign w:val="bottom"/>
          </w:tcPr>
          <w:p>
            <w:pPr>
              <w:spacing w:after="0"/>
              <w:rPr>
                <w:sz w:val="1"/>
                <w:szCs w:val="1"/>
                <w:color w:val="auto"/>
              </w:rPr>
            </w:pPr>
          </w:p>
        </w:tc>
      </w:tr>
      <w:tr>
        <w:trPr>
          <w:trHeight w:val="240"/>
        </w:trPr>
        <w:tc>
          <w:tcPr>
            <w:tcW w:w="1020" w:type="dxa"/>
            <w:vAlign w:val="bottom"/>
          </w:tcPr>
          <w:p>
            <w:pPr>
              <w:ind w:left="20"/>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2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Non-Employee Director Compensation Policy</w:t>
            </w:r>
          </w:p>
        </w:tc>
        <w:tc>
          <w:tcPr>
            <w:tcW w:w="36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0000FF"/>
                <w:w w:val="94"/>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top w:val="single" w:sz="8" w:color="0000FF"/>
              <w:bottom w:val="single" w:sz="8" w:color="0000FF"/>
            </w:tcBorders>
            <w:gridSpan w:val="4"/>
          </w:tcPr>
          <w:p>
            <w:pPr>
              <w:spacing w:after="0" w:line="188" w:lineRule="exact"/>
              <w:rPr>
                <w:sz w:val="20"/>
                <w:szCs w:val="20"/>
                <w:color w:val="auto"/>
              </w:rPr>
            </w:pPr>
            <w:r>
              <w:rPr>
                <w:rFonts w:ascii="Arial" w:cs="Arial" w:eastAsia="Arial" w:hAnsi="Arial"/>
                <w:sz w:val="17"/>
                <w:szCs w:val="17"/>
                <w:color w:val="0000FF"/>
                <w:w w:val="91"/>
              </w:rPr>
              <w:t>Pursuant to Section 302 of the Sarbanes-Oxley Act of 2002</w:t>
            </w:r>
          </w:p>
        </w:tc>
        <w:tc>
          <w:tcPr>
            <w:tcW w:w="5760" w:type="dxa"/>
            <w:vAlign w:val="bottom"/>
            <w:tcBorders>
              <w:top w:val="single" w:sz="8" w:color="0000FF"/>
            </w:tcBorders>
            <w:gridSpan w:val="3"/>
          </w:tcPr>
          <w:p>
            <w:pPr>
              <w:spacing w:after="0"/>
              <w:rPr>
                <w:sz w:val="16"/>
                <w:szCs w:val="16"/>
                <w:color w:val="auto"/>
              </w:rPr>
            </w:pPr>
          </w:p>
        </w:tc>
        <w:tc>
          <w:tcPr>
            <w:tcW w:w="2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020" w:type="dxa"/>
            <w:vAlign w:val="bottom"/>
          </w:tcPr>
          <w:p>
            <w:pPr>
              <w:ind w:left="2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2"/>
              </w:rPr>
              <w:t>Certification of Principal Financial Officer Pursuant to Rules 13a-14(a) and 15d-14(a) under the Securities Exchange Act of 1934, as Adopted</w:t>
            </w:r>
          </w:p>
        </w:tc>
        <w:tc>
          <w:tcPr>
            <w:tcW w:w="2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bottom w:val="single" w:sz="8" w:color="0000FF"/>
            </w:tcBorders>
            <w:gridSpan w:val="4"/>
          </w:tcPr>
          <w:p>
            <w:pPr>
              <w:spacing w:after="0" w:line="188" w:lineRule="exact"/>
              <w:rPr>
                <w:sz w:val="20"/>
                <w:szCs w:val="20"/>
                <w:color w:val="auto"/>
              </w:rPr>
            </w:pPr>
            <w:r>
              <w:rPr>
                <w:rFonts w:ascii="Arial" w:cs="Arial" w:eastAsia="Arial" w:hAnsi="Arial"/>
                <w:sz w:val="17"/>
                <w:szCs w:val="17"/>
                <w:color w:val="0000FF"/>
                <w:w w:val="91"/>
              </w:rPr>
              <w:t>Pursuant to Section 302 of the Sarbanes-Oxley Act of 2002</w:t>
            </w:r>
          </w:p>
        </w:tc>
        <w:tc>
          <w:tcPr>
            <w:tcW w:w="60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20"/>
                <w:szCs w:val="20"/>
                <w:color w:val="auto"/>
              </w:rPr>
            </w:pPr>
          </w:p>
        </w:tc>
        <w:tc>
          <w:tcPr>
            <w:tcW w:w="996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2"/>
              </w:rPr>
              <w:t>Certification of Principal Executive Officer Pursuant to 18 U.S.C. Section 1350, as Adopted Pursuant to Section 906 of the Sarbanes-Oxley Act</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0000FF"/>
            </w:tcBorders>
            <w:gridSpan w:val="2"/>
          </w:tcPr>
          <w:p>
            <w:pPr>
              <w:spacing w:after="0" w:line="188" w:lineRule="exact"/>
              <w:rPr>
                <w:sz w:val="20"/>
                <w:szCs w:val="20"/>
                <w:color w:val="auto"/>
              </w:rPr>
            </w:pPr>
            <w:r>
              <w:rPr>
                <w:rFonts w:ascii="Arial" w:cs="Arial" w:eastAsia="Arial" w:hAnsi="Arial"/>
                <w:sz w:val="17"/>
                <w:szCs w:val="17"/>
                <w:color w:val="0000FF"/>
                <w:w w:val="91"/>
              </w:rPr>
              <w:t>of 2002</w:t>
            </w:r>
          </w:p>
        </w:tc>
        <w:tc>
          <w:tcPr>
            <w:tcW w:w="95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32.2†</w:t>
            </w:r>
          </w:p>
        </w:tc>
        <w:tc>
          <w:tcPr>
            <w:tcW w:w="20" w:type="dxa"/>
            <w:vAlign w:val="bottom"/>
          </w:tcPr>
          <w:p>
            <w:pPr>
              <w:spacing w:after="0"/>
              <w:rPr>
                <w:sz w:val="20"/>
                <w:szCs w:val="20"/>
                <w:color w:val="auto"/>
              </w:rPr>
            </w:pPr>
          </w:p>
        </w:tc>
        <w:tc>
          <w:tcPr>
            <w:tcW w:w="1010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3"/>
              </w:rPr>
              <w:t>Certification of Principal Financial Officer Pursuant to 18 U.S.C. Section 1350, as Adopted Pursuant to Section 906 of the Sarbanes-Oxley Act of</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0000FF"/>
            </w:tcBorders>
          </w:tcPr>
          <w:p>
            <w:pPr>
              <w:spacing w:after="0" w:line="188" w:lineRule="exact"/>
              <w:rPr>
                <w:sz w:val="20"/>
                <w:szCs w:val="20"/>
                <w:color w:val="auto"/>
              </w:rPr>
            </w:pPr>
            <w:r>
              <w:rPr>
                <w:rFonts w:ascii="Arial" w:cs="Arial" w:eastAsia="Arial" w:hAnsi="Arial"/>
                <w:sz w:val="17"/>
                <w:szCs w:val="17"/>
                <w:color w:val="0000FF"/>
                <w:w w:val="89"/>
              </w:rPr>
              <w:t>2002</w:t>
            </w:r>
          </w:p>
        </w:tc>
        <w:tc>
          <w:tcPr>
            <w:tcW w:w="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w w:val="93"/>
              </w:rPr>
              <w:t>Inline XBRL Instance Document – the instance document does not appear in the Interactive Data File because XBRL tags are embedded within</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34"/>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0"/>
                <w:szCs w:val="20"/>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1"/>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1"/>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1"/>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10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21"/>
        </w:trPr>
        <w:tc>
          <w:tcPr>
            <w:tcW w:w="1020" w:type="dxa"/>
            <w:vAlign w:val="bottom"/>
          </w:tcPr>
          <w:p>
            <w:pPr>
              <w:ind w:left="2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CLOVER HEALTH INVESTMENTS, CORP.</w:t>
      </w:r>
    </w:p>
    <w:p>
      <w:pPr>
        <w:spacing w:after="0" w:line="291" w:lineRule="exact"/>
        <w:rPr>
          <w:sz w:val="20"/>
          <w:szCs w:val="20"/>
          <w:color w:val="auto"/>
        </w:rPr>
      </w:pPr>
    </w:p>
    <w:p>
      <w:pPr>
        <w:ind w:left="20"/>
        <w:spacing w:after="0"/>
        <w:tabs>
          <w:tab w:leader="none" w:pos="5340" w:val="left"/>
          <w:tab w:leader="none" w:pos="7880" w:val="left"/>
        </w:tabs>
        <w:rPr>
          <w:sz w:val="20"/>
          <w:szCs w:val="20"/>
          <w:color w:val="auto"/>
        </w:rPr>
      </w:pPr>
      <w:r>
        <w:rPr>
          <w:rFonts w:ascii="Arial" w:cs="Arial" w:eastAsia="Arial" w:hAnsi="Arial"/>
          <w:sz w:val="17"/>
          <w:szCs w:val="17"/>
          <w:color w:val="auto"/>
        </w:rPr>
        <w:t>Date: November 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15875</wp:posOffset>
            </wp:positionV>
            <wp:extent cx="3395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9598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Vivek Garipalli</w:t>
      </w:r>
    </w:p>
    <w:p>
      <w:pPr>
        <w:spacing w:after="0" w:line="31"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340" w:val="left"/>
          <w:tab w:leader="none" w:pos="7900" w:val="left"/>
        </w:tabs>
        <w:rPr>
          <w:sz w:val="20"/>
          <w:szCs w:val="20"/>
          <w:color w:val="auto"/>
        </w:rPr>
      </w:pPr>
      <w:r>
        <w:rPr>
          <w:rFonts w:ascii="Arial" w:cs="Arial" w:eastAsia="Arial" w:hAnsi="Arial"/>
          <w:sz w:val="17"/>
          <w:szCs w:val="17"/>
          <w:color w:val="auto"/>
        </w:rPr>
        <w:t>Date: November 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15875</wp:posOffset>
            </wp:positionV>
            <wp:extent cx="3395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95980" cy="8255"/>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Arial" w:cs="Arial" w:eastAsia="Arial" w:hAnsi="Arial"/>
          <w:sz w:val="17"/>
          <w:szCs w:val="17"/>
          <w:b w:val="1"/>
          <w:bCs w:val="1"/>
          <w:color w:val="auto"/>
        </w:rPr>
        <w:t>Scott J. Leffler</w:t>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6"/>
          <w:szCs w:val="16"/>
          <w:b w:val="1"/>
          <w:bCs w:val="1"/>
          <w:color w:val="auto"/>
        </w:rPr>
        <w:t>Chief Financial Officer (Principal Financial Officer and Principal</w:t>
      </w:r>
    </w:p>
    <w:p>
      <w:pPr>
        <w:ind w:left="7800"/>
        <w:spacing w:after="0"/>
        <w:rPr>
          <w:sz w:val="20"/>
          <w:szCs w:val="20"/>
          <w:color w:val="auto"/>
        </w:rPr>
      </w:pPr>
      <w:r>
        <w:rPr>
          <w:rFonts w:ascii="Arial" w:cs="Arial" w:eastAsia="Arial" w:hAnsi="Arial"/>
          <w:sz w:val="17"/>
          <w:szCs w:val="17"/>
          <w:b w:val="1"/>
          <w:bCs w:val="1"/>
          <w:color w:val="auto"/>
        </w:rPr>
        <w:t>Accounting Officer)</w:t>
      </w:r>
    </w:p>
    <w:p>
      <w:pPr>
        <w:sectPr>
          <w:pgSz w:w="11900" w:h="16838" w:orient="portrait"/>
          <w:cols w:equalWidth="0" w:num="1">
            <w:col w:w="11240"/>
          </w:cols>
          <w:pgMar w:left="320" w:top="79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CONFIDENTIAL</w:t>
      </w:r>
    </w:p>
    <w:p>
      <w:pPr>
        <w:spacing w:after="0"/>
        <w:rPr>
          <w:sz w:val="20"/>
          <w:szCs w:val="20"/>
          <w:color w:val="auto"/>
        </w:rPr>
      </w:pPr>
      <w:r>
        <w:rPr>
          <w:rFonts w:ascii="Arial" w:cs="Arial" w:eastAsia="Arial" w:hAnsi="Arial"/>
          <w:sz w:val="21"/>
          <w:szCs w:val="21"/>
          <w:color w:val="auto"/>
        </w:rPr>
        <w:t>August 8, 2022</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Clover Health Investments, Corp. 3401 Mallory Lane, Suite 210</w:t>
      </w:r>
    </w:p>
    <w:p>
      <w:pPr>
        <w:spacing w:after="0"/>
        <w:rPr>
          <w:sz w:val="20"/>
          <w:szCs w:val="20"/>
          <w:color w:val="auto"/>
        </w:rPr>
      </w:pPr>
      <w:r>
        <w:rPr>
          <w:rFonts w:ascii="Arial" w:cs="Arial" w:eastAsia="Arial" w:hAnsi="Arial"/>
          <w:sz w:val="21"/>
          <w:szCs w:val="21"/>
          <w:color w:val="auto"/>
        </w:rPr>
        <w:t>Franklin TN 37067</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21"/>
          <w:szCs w:val="21"/>
          <w:b w:val="1"/>
          <w:bCs w:val="1"/>
          <w:color w:val="auto"/>
        </w:rPr>
        <w:t>Re:</w:t>
      </w:r>
      <w:r>
        <w:rPr>
          <w:sz w:val="20"/>
          <w:szCs w:val="20"/>
          <w:color w:val="auto"/>
        </w:rPr>
        <w:tab/>
      </w:r>
      <w:r>
        <w:rPr>
          <w:rFonts w:ascii="Arial" w:cs="Arial" w:eastAsia="Arial" w:hAnsi="Arial"/>
          <w:sz w:val="21"/>
          <w:szCs w:val="21"/>
          <w:b w:val="1"/>
          <w:bCs w:val="1"/>
          <w:u w:val="single" w:color="auto"/>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152400</wp:posOffset>
            </wp:positionV>
            <wp:extent cx="51676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6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Dear Andrew Toy,</w:t>
      </w:r>
    </w:p>
    <w:p>
      <w:pPr>
        <w:spacing w:after="0" w:line="200" w:lineRule="exact"/>
        <w:rPr>
          <w:sz w:val="20"/>
          <w:szCs w:val="20"/>
          <w:color w:val="auto"/>
        </w:rPr>
      </w:pPr>
    </w:p>
    <w:p>
      <w:pPr>
        <w:jc w:val="both"/>
        <w:ind w:right="100"/>
        <w:spacing w:after="0" w:line="226"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between you (referred to hereinafter as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Clover Health, LLC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sets forth the terms and conditions that shall govern Executive’s employment with the Company (referred to hereinafter as “</w:t>
      </w:r>
      <w:r>
        <w:rPr>
          <w:rFonts w:ascii="Arial" w:cs="Arial" w:eastAsia="Arial" w:hAnsi="Arial"/>
          <w:sz w:val="20"/>
          <w:szCs w:val="20"/>
          <w:b w:val="1"/>
          <w:bCs w:val="1"/>
          <w:i w:val="1"/>
          <w:iCs w:val="1"/>
          <w:color w:val="auto"/>
        </w:rPr>
        <w:t>Employment</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Employment Period</w:t>
      </w:r>
      <w:r>
        <w:rPr>
          <w:rFonts w:ascii="Arial" w:cs="Arial" w:eastAsia="Arial" w:hAnsi="Arial"/>
          <w:sz w:val="20"/>
          <w:szCs w:val="20"/>
          <w:color w:val="auto"/>
        </w:rPr>
        <w:t>”) to reflect Executive’s promotion to the role of Co-Founder and Chief Executive Officer of the Company effective as of January 1, 2023 (the “</w:t>
      </w:r>
      <w:r>
        <w:rPr>
          <w:rFonts w:ascii="Arial" w:cs="Arial" w:eastAsia="Arial" w:hAnsi="Arial"/>
          <w:sz w:val="20"/>
          <w:szCs w:val="20"/>
          <w:b w:val="1"/>
          <w:bCs w:val="1"/>
          <w:i w:val="1"/>
          <w:iCs w:val="1"/>
          <w:color w:val="auto"/>
        </w:rPr>
        <w:t>Promotion Effective Date</w:t>
      </w:r>
      <w:r>
        <w:rPr>
          <w:rFonts w:ascii="Arial" w:cs="Arial" w:eastAsia="Arial" w:hAnsi="Arial"/>
          <w:sz w:val="20"/>
          <w:szCs w:val="20"/>
          <w:color w:val="auto"/>
        </w:rPr>
        <w:t>”) and Executive’s continued employment in the role of President of the Company for the period beginning on the date hereof (the “</w:t>
      </w:r>
      <w:r>
        <w:rPr>
          <w:rFonts w:ascii="Arial" w:cs="Arial" w:eastAsia="Arial" w:hAnsi="Arial"/>
          <w:sz w:val="20"/>
          <w:szCs w:val="20"/>
          <w:b w:val="1"/>
          <w:bCs w:val="1"/>
          <w:i w:val="1"/>
          <w:iCs w:val="1"/>
          <w:color w:val="auto"/>
        </w:rPr>
        <w:t>Agreement Effective Date</w:t>
      </w:r>
      <w:r>
        <w:rPr>
          <w:rFonts w:ascii="Arial" w:cs="Arial" w:eastAsia="Arial" w:hAnsi="Arial"/>
          <w:sz w:val="20"/>
          <w:szCs w:val="20"/>
          <w:color w:val="auto"/>
        </w:rPr>
        <w:t>”) and ending on the Promotion Effective Date (the “</w:t>
      </w:r>
      <w:r>
        <w:rPr>
          <w:rFonts w:ascii="Arial" w:cs="Arial" w:eastAsia="Arial" w:hAnsi="Arial"/>
          <w:sz w:val="20"/>
          <w:szCs w:val="20"/>
          <w:b w:val="1"/>
          <w:bCs w:val="1"/>
          <w:i w:val="1"/>
          <w:iCs w:val="1"/>
          <w:color w:val="auto"/>
        </w:rPr>
        <w:t>Pre-Promotion Period</w:t>
      </w:r>
      <w:r>
        <w:rPr>
          <w:rFonts w:ascii="Arial" w:cs="Arial" w:eastAsia="Arial" w:hAnsi="Arial"/>
          <w:sz w:val="20"/>
          <w:szCs w:val="20"/>
          <w:color w:val="auto"/>
        </w:rPr>
        <w:t>”).</w:t>
      </w:r>
    </w:p>
    <w:p>
      <w:pPr>
        <w:spacing w:after="0" w:line="187" w:lineRule="exact"/>
        <w:rPr>
          <w:sz w:val="20"/>
          <w:szCs w:val="20"/>
          <w:color w:val="auto"/>
        </w:rPr>
      </w:pPr>
    </w:p>
    <w:p>
      <w:pPr>
        <w:ind w:left="620" w:hanging="616"/>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Duties and Scope of Employment</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left="1260" w:right="100" w:hanging="633"/>
        <w:spacing w:after="0" w:line="234" w:lineRule="auto"/>
        <w:tabs>
          <w:tab w:leader="none" w:pos="1248"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At-Will Employment; Prior Employment Agreement</w:t>
      </w:r>
      <w:r>
        <w:rPr>
          <w:rFonts w:ascii="Arial" w:cs="Arial" w:eastAsia="Arial" w:hAnsi="Arial"/>
          <w:sz w:val="19"/>
          <w:szCs w:val="19"/>
          <w:color w:val="auto"/>
        </w:rPr>
        <w:t>. Executive’s Employment with the Company is for no</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period and constitutes “at-will”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subject to its obligations in this Agreement. Furthermore, although terms and conditions of Executive’s Employment with the Company may change over time, nothing shall change the at-will nature of Executive’s Employment. During the Pre- Promotion Period, except as expressly set forth in this Agreement in Section 2(c), all terms and conditions of Executive’s employment will be governed by that certain employment agreement by and between Clover Health Investment, Corp. and Executive, dated December 31, 2020 (the “</w:t>
      </w:r>
      <w:r>
        <w:rPr>
          <w:rFonts w:ascii="Arial" w:cs="Arial" w:eastAsia="Arial" w:hAnsi="Arial"/>
          <w:sz w:val="19"/>
          <w:szCs w:val="19"/>
          <w:b w:val="1"/>
          <w:bCs w:val="1"/>
          <w:i w:val="1"/>
          <w:iCs w:val="1"/>
          <w:color w:val="auto"/>
        </w:rPr>
        <w:t>Prior Employment Agreement</w:t>
      </w:r>
      <w:r>
        <w:rPr>
          <w:rFonts w:ascii="Arial" w:cs="Arial" w:eastAsia="Arial" w:hAnsi="Arial"/>
          <w:sz w:val="19"/>
          <w:szCs w:val="19"/>
          <w:color w:val="auto"/>
        </w:rPr>
        <w:t>”). As of the Promotion Effective Date, except as expressly set forth herein, the terms of this Agreement will supersede the terms of the Prior Employment Agreement.</w:t>
      </w:r>
    </w:p>
    <w:p>
      <w:pPr>
        <w:spacing w:after="0" w:line="174" w:lineRule="exact"/>
        <w:rPr>
          <w:rFonts w:ascii="Arial" w:cs="Arial" w:eastAsia="Arial" w:hAnsi="Arial"/>
          <w:sz w:val="19"/>
          <w:szCs w:val="19"/>
          <w:color w:val="auto"/>
        </w:rPr>
      </w:pPr>
    </w:p>
    <w:p>
      <w:pPr>
        <w:jc w:val="both"/>
        <w:ind w:left="1260" w:right="100" w:hanging="632"/>
        <w:spacing w:after="0" w:line="242" w:lineRule="auto"/>
        <w:tabs>
          <w:tab w:leader="none" w:pos="1260"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 and Responsibilities</w:t>
      </w:r>
      <w:r>
        <w:rPr>
          <w:rFonts w:ascii="Arial" w:cs="Arial" w:eastAsia="Arial" w:hAnsi="Arial"/>
          <w:sz w:val="19"/>
          <w:szCs w:val="19"/>
          <w:color w:val="auto"/>
        </w:rPr>
        <w:t>. As of the Promotion Effective Date, the Company agrees to employ Executive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position of Co-Founder and Chief Executive Officer of the Company. Executive will report directly to the board of directors of Clover Health Investments, Corp., a Delaware corporation and the parent entity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 Executive will be working remotely and based out of the San Francisco Bay Area. Executive will perform the duties and have the responsibilities and authority customarily performed and held by an employee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100"/>
          </w:cols>
          <w:pgMar w:left="440" w:top="164"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spacing w:after="0" w:line="225" w:lineRule="auto"/>
        <w:rPr>
          <w:sz w:val="20"/>
          <w:szCs w:val="20"/>
          <w:color w:val="auto"/>
        </w:rPr>
      </w:pPr>
      <w:r>
        <w:rPr>
          <w:rFonts w:ascii="Arial" w:cs="Arial" w:eastAsia="Arial" w:hAnsi="Arial"/>
          <w:sz w:val="21"/>
          <w:szCs w:val="21"/>
          <w:color w:val="auto"/>
        </w:rPr>
        <w:t>Executive’s position or as otherwise may be assigned or delegated to Executive by the Board consistent with Executive’s position and experience. During the Employment Period, the Board shall recommend to the Company’s shareholders that Executive be elected and continue to serve on the Board.</w:t>
      </w:r>
    </w:p>
    <w:p>
      <w:pPr>
        <w:spacing w:after="0" w:line="171" w:lineRule="exact"/>
        <w:rPr>
          <w:sz w:val="20"/>
          <w:szCs w:val="20"/>
          <w:color w:val="auto"/>
        </w:rPr>
      </w:pPr>
    </w:p>
    <w:p>
      <w:pPr>
        <w:jc w:val="both"/>
        <w:ind w:left="1260" w:right="100" w:hanging="632"/>
        <w:spacing w:after="0" w:line="233" w:lineRule="auto"/>
        <w:tabs>
          <w:tab w:leader="none" w:pos="1248" w:val="left"/>
        </w:tabs>
        <w:numPr>
          <w:ilvl w:val="1"/>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Obligations to the Company</w:t>
      </w:r>
      <w:r>
        <w:rPr>
          <w:rFonts w:ascii="Arial" w:cs="Arial" w:eastAsia="Arial" w:hAnsi="Arial"/>
          <w:sz w:val="19"/>
          <w:szCs w:val="19"/>
          <w:color w:val="auto"/>
        </w:rPr>
        <w:t>. During the Employment Period, Executive shall perform Executive’s duties faithfully,</w:t>
      </w:r>
      <w:r>
        <w:rPr>
          <w:rFonts w:ascii="Arial" w:cs="Arial" w:eastAsia="Arial" w:hAnsi="Arial"/>
          <w:sz w:val="19"/>
          <w:szCs w:val="19"/>
          <w:b w:val="1"/>
          <w:bCs w:val="1"/>
          <w:color w:val="auto"/>
        </w:rPr>
        <w:t xml:space="preserve"> </w:t>
      </w:r>
      <w:r>
        <w:rPr>
          <w:rFonts w:ascii="Arial" w:cs="Arial" w:eastAsia="Arial" w:hAnsi="Arial"/>
          <w:sz w:val="19"/>
          <w:szCs w:val="19"/>
          <w:color w:val="auto"/>
        </w:rPr>
        <w:t>and endeavor to perform to the best of Executive’s ability, and shall devote substantially all of Executive’s business efforts and time to the Company. During the Employment Period, without the prior written approval of the Board (which, in the case of joining for-profit boards, shall not be unreasonably withheld), Executive shall not render services in any capacity to any other Person (as defined below) and shall not act as a sole proprietor, advisor or partner of any other Person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the Board; provided that such activities do not individually, or in the aggregate, interfere with the performance of Executive’s duties under this Agreement or create a potential business or fiduciary conflict. Executive shall comply with the Company’s policies and rules, as communicated to Executive in writing, and as they may be in effect from time to time during Executive’s Employment.</w:t>
      </w:r>
    </w:p>
    <w:p>
      <w:pPr>
        <w:spacing w:after="0" w:line="193" w:lineRule="exact"/>
        <w:rPr>
          <w:rFonts w:ascii="Arial" w:cs="Arial" w:eastAsia="Arial" w:hAnsi="Arial"/>
          <w:sz w:val="19"/>
          <w:szCs w:val="19"/>
          <w:color w:val="auto"/>
        </w:rPr>
      </w:pPr>
    </w:p>
    <w:p>
      <w:pPr>
        <w:ind w:left="620" w:hanging="615"/>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Cash and Incentive Compensation</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left="1260" w:right="100" w:hanging="632"/>
        <w:spacing w:after="0" w:line="251"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Beginning on the Promotion Effective Date, the Company shall pay Executive, as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services, a base salary at a gross annual rate of $700,000 (seven hundred thousand dollars), less all required tax withholdings and other applicable deductions, in accordance with the Company’s standard payroll procedures. The annual compensation specified in this subsection (a), together with any increases in such compensation that the Company may make from time to time, is referred to in this Agreement as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Executive’s Base Salary shall be subject to review and increases (but not decreases) that shall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63" w:lineRule="exact"/>
        <w:rPr>
          <w:rFonts w:ascii="Arial" w:cs="Arial" w:eastAsia="Arial" w:hAnsi="Arial"/>
          <w:sz w:val="18"/>
          <w:szCs w:val="18"/>
          <w:color w:val="auto"/>
        </w:rPr>
      </w:pPr>
    </w:p>
    <w:p>
      <w:pPr>
        <w:jc w:val="both"/>
        <w:ind w:left="1260" w:right="100" w:hanging="633"/>
        <w:spacing w:after="0" w:line="215" w:lineRule="auto"/>
        <w:tabs>
          <w:tab w:leader="none" w:pos="1248" w:val="left"/>
        </w:tabs>
        <w:numPr>
          <w:ilvl w:val="1"/>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Cash Incentive Bonus</w:t>
      </w:r>
      <w:r>
        <w:rPr>
          <w:rFonts w:ascii="Arial" w:cs="Arial" w:eastAsia="Arial" w:hAnsi="Arial"/>
          <w:sz w:val="21"/>
          <w:szCs w:val="21"/>
          <w:color w:val="auto"/>
        </w:rPr>
        <w:t>. Executive shall be eligible to be considered for an annual cash incentive bonus (the “</w:t>
      </w:r>
      <w:r>
        <w:rPr>
          <w:rFonts w:ascii="Arial" w:cs="Arial" w:eastAsia="Arial" w:hAnsi="Arial"/>
          <w:sz w:val="21"/>
          <w:szCs w:val="21"/>
          <w:b w:val="1"/>
          <w:bCs w:val="1"/>
          <w:i w:val="1"/>
          <w:iCs w:val="1"/>
          <w:color w:val="auto"/>
        </w:rPr>
        <w:t>Cash</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Bonus</w:t>
      </w:r>
      <w:r>
        <w:rPr>
          <w:rFonts w:ascii="Arial" w:cs="Arial" w:eastAsia="Arial" w:hAnsi="Arial"/>
          <w:sz w:val="21"/>
          <w:szCs w:val="21"/>
          <w:color w:val="auto"/>
        </w:rPr>
        <w:t>”) each calendar year during the Employment Period based upon the achievement of certain objective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subjective criteria (collectively, the “</w:t>
      </w:r>
      <w:r>
        <w:rPr>
          <w:rFonts w:ascii="Arial" w:cs="Arial" w:eastAsia="Arial" w:hAnsi="Arial"/>
          <w:sz w:val="21"/>
          <w:szCs w:val="21"/>
          <w:b w:val="1"/>
          <w:bCs w:val="1"/>
          <w:i w:val="1"/>
          <w:iCs w:val="1"/>
          <w:color w:val="auto"/>
        </w:rPr>
        <w:t>Performance Goals</w:t>
      </w:r>
      <w:r>
        <w:rPr>
          <w:rFonts w:ascii="Arial" w:cs="Arial" w:eastAsia="Arial" w:hAnsi="Arial"/>
          <w:sz w:val="21"/>
          <w:szCs w:val="21"/>
          <w:color w:val="auto"/>
        </w:rPr>
        <w:t>”). In compliance with all relevant legal requirements and based on Executive’s level within the Company, the Performance Goals for Executive’s Cash Bonus for a particular year will be established by, and in the sole discretion of, the Board or any Compensation Committee of the Board (the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as applicable. Beginning as of the Promotion Effective Date, the target amount for any such Cash Bonus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00"/>
          </w:cols>
          <w:pgMar w:left="440" w:top="164"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40" w:right="100"/>
        <w:spacing w:after="0" w:line="223" w:lineRule="auto"/>
        <w:rPr>
          <w:sz w:val="20"/>
          <w:szCs w:val="20"/>
          <w:color w:val="auto"/>
        </w:rPr>
      </w:pPr>
      <w:r>
        <w:rPr>
          <w:rFonts w:ascii="Arial" w:cs="Arial" w:eastAsia="Arial" w:hAnsi="Arial"/>
          <w:sz w:val="20"/>
          <w:szCs w:val="20"/>
          <w:color w:val="auto"/>
        </w:rPr>
        <w:t>100% of Executive’s Base Salary (the “</w:t>
      </w:r>
      <w:r>
        <w:rPr>
          <w:rFonts w:ascii="Arial" w:cs="Arial" w:eastAsia="Arial" w:hAnsi="Arial"/>
          <w:sz w:val="20"/>
          <w:szCs w:val="20"/>
          <w:b w:val="1"/>
          <w:bCs w:val="1"/>
          <w:i w:val="1"/>
          <w:iCs w:val="1"/>
          <w:color w:val="auto"/>
        </w:rPr>
        <w:t>Target Bonus Percentage</w:t>
      </w:r>
      <w:r>
        <w:rPr>
          <w:rFonts w:ascii="Arial" w:cs="Arial" w:eastAsia="Arial" w:hAnsi="Arial"/>
          <w:sz w:val="20"/>
          <w:szCs w:val="20"/>
          <w:color w:val="auto"/>
        </w:rPr>
        <w:t>”), with a maximum payout subject to the Board’s discretion and determined from time to time, which maximum payout level applicable to Executive shall be at least the same maximum payout level as applied to other executive officers of the Company. The determinations of the Board or the Committee, as applicable, with respect to such Cash Bonus shall be final and binding. Executive’s Target Bonus Percentage for any subsequent year may be increased but not decreased, as determined in the sole discretion of the Board or the Committee, as applicable. Except as provided herein, Executive shall not earn a Cash Bonus unless Executive is employed by the Company on the date when such Cash Bonus is actually paid by the Company. Payment of the Cash Bonus amount, if any, is subject to all required tax withholdings and other applicable deductions.</w:t>
      </w:r>
    </w:p>
    <w:p>
      <w:pPr>
        <w:spacing w:after="0" w:line="174" w:lineRule="exact"/>
        <w:rPr>
          <w:sz w:val="20"/>
          <w:szCs w:val="20"/>
          <w:color w:val="auto"/>
        </w:rPr>
      </w:pPr>
    </w:p>
    <w:p>
      <w:pPr>
        <w:jc w:val="both"/>
        <w:ind w:left="640" w:right="100" w:hanging="632"/>
        <w:spacing w:after="0" w:line="212"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Promotional Equity Awards</w:t>
      </w:r>
      <w:r>
        <w:rPr>
          <w:rFonts w:ascii="Arial" w:cs="Arial" w:eastAsia="Arial" w:hAnsi="Arial"/>
          <w:sz w:val="21"/>
          <w:szCs w:val="21"/>
          <w:color w:val="auto"/>
        </w:rPr>
        <w:t>. In recognition of Executive’s new role with the Company as contemplated by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Company shall award to Executive a one-time promotion grant of restricted stock units covering shares of the Company’s Class A common stock with an aggregate grant date fair value (the “</w:t>
      </w:r>
      <w:r>
        <w:rPr>
          <w:rFonts w:ascii="Arial" w:cs="Arial" w:eastAsia="Arial" w:hAnsi="Arial"/>
          <w:sz w:val="21"/>
          <w:szCs w:val="21"/>
          <w:b w:val="1"/>
          <w:bCs w:val="1"/>
          <w:i w:val="1"/>
          <w:iCs w:val="1"/>
          <w:color w:val="auto"/>
        </w:rPr>
        <w:t>Promotional RSU</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Cash Value</w:t>
      </w:r>
      <w:r>
        <w:rPr>
          <w:rFonts w:ascii="Arial" w:cs="Arial" w:eastAsia="Arial" w:hAnsi="Arial"/>
          <w:sz w:val="21"/>
          <w:szCs w:val="21"/>
          <w:color w:val="auto"/>
        </w:rPr>
        <w:t>”) of $18,000,000 (eighteen million dollars), with</w:t>
      </w:r>
    </w:p>
    <w:p>
      <w:pPr>
        <w:spacing w:after="0" w:line="1" w:lineRule="exact"/>
        <w:rPr>
          <w:rFonts w:ascii="Arial" w:cs="Arial" w:eastAsia="Arial" w:hAnsi="Arial"/>
          <w:sz w:val="21"/>
          <w:szCs w:val="21"/>
          <w:color w:val="auto"/>
        </w:rPr>
      </w:pPr>
    </w:p>
    <w:p>
      <w:pPr>
        <w:jc w:val="both"/>
        <w:ind w:left="640" w:right="100"/>
        <w:spacing w:after="0"/>
        <w:rPr>
          <w:rFonts w:ascii="Arial" w:cs="Arial" w:eastAsia="Arial" w:hAnsi="Arial"/>
          <w:sz w:val="21"/>
          <w:szCs w:val="21"/>
          <w:color w:val="auto"/>
        </w:rPr>
      </w:pPr>
      <w:r>
        <w:rPr>
          <w:rFonts w:ascii="Arial" w:cs="Arial" w:eastAsia="Arial" w:hAnsi="Arial"/>
          <w:sz w:val="18"/>
          <w:szCs w:val="18"/>
          <w:color w:val="auto"/>
        </w:rPr>
        <w:t>$7,000,000 (seven million dollars) of the Promotional RSU Cash Value being subject to an RSU grant with a grant date of the Agreement Effective Date (the “</w:t>
      </w:r>
      <w:r>
        <w:rPr>
          <w:rFonts w:ascii="Arial" w:cs="Arial" w:eastAsia="Arial" w:hAnsi="Arial"/>
          <w:sz w:val="18"/>
          <w:szCs w:val="18"/>
          <w:b w:val="1"/>
          <w:bCs w:val="1"/>
          <w:i w:val="1"/>
          <w:iCs w:val="1"/>
          <w:color w:val="auto"/>
        </w:rPr>
        <w:t>Initial Promotional RSU Grant</w:t>
      </w:r>
      <w:r>
        <w:rPr>
          <w:rFonts w:ascii="Arial" w:cs="Arial" w:eastAsia="Arial" w:hAnsi="Arial"/>
          <w:sz w:val="18"/>
          <w:szCs w:val="18"/>
          <w:color w:val="auto"/>
        </w:rPr>
        <w:t>”), and $11,000,000 (eleven million dollars) of the Promotional RSU Cash Value being subject to an RSU grant with a grant date of the Promotion Effective Date (the “</w:t>
      </w:r>
      <w:r>
        <w:rPr>
          <w:rFonts w:ascii="Arial" w:cs="Arial" w:eastAsia="Arial" w:hAnsi="Arial"/>
          <w:sz w:val="18"/>
          <w:szCs w:val="18"/>
          <w:b w:val="1"/>
          <w:bCs w:val="1"/>
          <w:i w:val="1"/>
          <w:iCs w:val="1"/>
          <w:color w:val="auto"/>
        </w:rPr>
        <w:t>Subsequent Promotional RSU Grant,”</w:t>
      </w:r>
      <w:r>
        <w:rPr>
          <w:rFonts w:ascii="Arial" w:cs="Arial" w:eastAsia="Arial" w:hAnsi="Arial"/>
          <w:sz w:val="18"/>
          <w:szCs w:val="18"/>
          <w:color w:val="auto"/>
        </w:rPr>
        <w:t xml:space="preserve"> and together with the Initial Promotional RSU Grant, the “</w:t>
      </w:r>
      <w:r>
        <w:rPr>
          <w:rFonts w:ascii="Arial" w:cs="Arial" w:eastAsia="Arial" w:hAnsi="Arial"/>
          <w:sz w:val="18"/>
          <w:szCs w:val="18"/>
          <w:b w:val="1"/>
          <w:bCs w:val="1"/>
          <w:i w:val="1"/>
          <w:iCs w:val="1"/>
          <w:color w:val="auto"/>
        </w:rPr>
        <w:t>Promotional RSU Awards</w:t>
      </w:r>
      <w:r>
        <w:rPr>
          <w:rFonts w:ascii="Arial" w:cs="Arial" w:eastAsia="Arial" w:hAnsi="Arial"/>
          <w:sz w:val="18"/>
          <w:szCs w:val="18"/>
          <w:color w:val="auto"/>
        </w:rPr>
        <w:t>”). The number of shares subject to the each Promotional RSU Award shall be determined by dividing the amount of the Promotional RSU Cash Value subject to the Promotional RSU Award by the average closing price of a share of the Company’s Class A common stock, as publicly reported for the thirty trading days ending on the trading day prior to the applicable date of grant. Subject to any vesting acceleration rights Executive may have, each Promotional RSU Award shall vest and become payable as follows: 25% of each Promotional RSU Award shall vest on the first anniversary of the Agreement Effective Date or Promotion Effective Date, as applicable, and the remainder of each Promotional RSU Award shall vest in twelve equal quarterly installments beginning on the date that is three months after the first anniversary of the Agreement Effective Date or Promotion Effective Date, as applicable, in each case subject to Executive continuing to provide services to the Company through the relevant vesting dates. For avoidance of doubt, the vesting schedule described in this provision</w:t>
      </w:r>
    </w:p>
    <w:p>
      <w:pPr>
        <w:spacing w:after="0" w:line="9" w:lineRule="exact"/>
        <w:rPr>
          <w:rFonts w:ascii="Arial" w:cs="Arial" w:eastAsia="Arial" w:hAnsi="Arial"/>
          <w:sz w:val="21"/>
          <w:szCs w:val="21"/>
          <w:color w:val="auto"/>
        </w:rPr>
      </w:pPr>
    </w:p>
    <w:p>
      <w:pPr>
        <w:jc w:val="both"/>
        <w:ind w:left="640" w:right="100" w:hanging="9"/>
        <w:spacing w:after="0" w:line="234" w:lineRule="auto"/>
        <w:tabs>
          <w:tab w:leader="none" w:pos="905" w:val="left"/>
        </w:tabs>
        <w:numPr>
          <w:ilvl w:val="1"/>
          <w:numId w:val="17"/>
        </w:numPr>
        <w:rPr>
          <w:rFonts w:ascii="Arial" w:cs="Arial" w:eastAsia="Arial" w:hAnsi="Arial"/>
          <w:sz w:val="19"/>
          <w:szCs w:val="19"/>
          <w:color w:val="auto"/>
        </w:rPr>
      </w:pPr>
      <w:r>
        <w:rPr>
          <w:rFonts w:ascii="Arial" w:cs="Arial" w:eastAsia="Arial" w:hAnsi="Arial"/>
          <w:sz w:val="19"/>
          <w:szCs w:val="19"/>
          <w:color w:val="auto"/>
        </w:rPr>
        <w:t>applies only to the Promotional RSU Awards and (ii) a different vesting schedule or vesting conditions may be approved by the Board or the Committee, as applicable, for subsequent equity grants. Each Promotional RSU Award shall be subject to the terms, definitions, and provisions of the applicable (i) equity plan of the Company (the “</w:t>
      </w:r>
      <w:r>
        <w:rPr>
          <w:rFonts w:ascii="Arial" w:cs="Arial" w:eastAsia="Arial" w:hAnsi="Arial"/>
          <w:sz w:val="19"/>
          <w:szCs w:val="19"/>
          <w:b w:val="1"/>
          <w:bCs w:val="1"/>
          <w:i w:val="1"/>
          <w:iCs w:val="1"/>
          <w:color w:val="auto"/>
        </w:rPr>
        <w:t>2020</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(ii) a restricted stock unit award agreement by and between Executive and the Company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Promotional RSU Agreements</w:t>
      </w:r>
      <w:r>
        <w:rPr>
          <w:rFonts w:ascii="Arial" w:cs="Arial" w:eastAsia="Arial" w:hAnsi="Arial"/>
          <w:sz w:val="19"/>
          <w:szCs w:val="19"/>
          <w:color w:val="auto"/>
        </w:rPr>
        <w:t>”). In addition, commencing with the 2024 annual grant cycle, Executive shall be eligible for a target annual equity award in an amount and on terms in line with Executive’s peers, as determined by the Board or the Committee, as applicable, under the terms of the Company’s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480"/>
          </w:cols>
          <w:pgMar w:left="1060" w:top="164"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spacing w:after="0" w:line="237" w:lineRule="auto"/>
        <w:rPr>
          <w:sz w:val="20"/>
          <w:szCs w:val="20"/>
          <w:color w:val="auto"/>
        </w:rPr>
      </w:pPr>
      <w:r>
        <w:rPr>
          <w:rFonts w:ascii="Arial" w:cs="Arial" w:eastAsia="Arial" w:hAnsi="Arial"/>
          <w:sz w:val="19"/>
          <w:szCs w:val="19"/>
          <w:color w:val="auto"/>
        </w:rPr>
        <w:t>Equity Plan or a replacement plan. Notwithstanding anything to the contrary in this Agreement, the 2020 Equity Plan, or the Promotional RSU Agreements, the shares issued to Executive in settlement of the Promotional RSU Awards upon vesting, after taking into account any shares withheld by the Company to cover Executive’s tax obligations, (i) may not be sold, transferred or otherwise encumbered while Executive is employed by the Company unless Executive beneficially owns shares of the Company’s Class A Common Stock with a value equal to three (3) times Executive’s Base Salary, without the Board’s prior written consent, and (ii) shall be subject to any other minimum stock ownership requirements adopted by the Board from time to time.</w:t>
      </w:r>
    </w:p>
    <w:p>
      <w:pPr>
        <w:spacing w:after="0" w:line="171" w:lineRule="exact"/>
        <w:rPr>
          <w:sz w:val="20"/>
          <w:szCs w:val="20"/>
          <w:color w:val="auto"/>
        </w:rPr>
      </w:pPr>
    </w:p>
    <w:p>
      <w:pPr>
        <w:jc w:val="both"/>
        <w:ind w:left="620" w:right="100" w:hanging="616"/>
        <w:spacing w:after="0" w:line="233" w:lineRule="auto"/>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color w:val="auto"/>
        </w:rPr>
        <w:t>. During the Employment Period, Executive shall be eligible to (i) receive paid time off (“</w:t>
      </w:r>
      <w:r>
        <w:rPr>
          <w:rFonts w:ascii="Arial" w:cs="Arial" w:eastAsia="Arial" w:hAnsi="Arial"/>
          <w:sz w:val="19"/>
          <w:szCs w:val="19"/>
          <w:b w:val="1"/>
          <w:bCs w:val="1"/>
          <w:i w:val="1"/>
          <w:iCs w:val="1"/>
          <w:color w:val="auto"/>
        </w:rPr>
        <w:t>PTO</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Company’s PTO policy, as it may be amended from time to time (such amendments to be applicable to similarly situated employees of the Company) and (ii)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 provided, that, Executive shall be treated no less favorably than other executive officers generally in the event of any such cancellation or change. Executive shall be eligible to participate in all annual and long-term equity incentive plans and programs of the Company in accordance with the terms of such plans as in effect for other senior officers of the Company, at levels determined by the Board (or Compensation Committee, if applicable) in its sole discretion, commensurate with the Executive’s position, however, for the avoidance of doubt, Executive shall not be eligible to participate in the 2023 annual grant cycle.</w:t>
      </w:r>
    </w:p>
    <w:p>
      <w:pPr>
        <w:spacing w:after="0" w:line="193" w:lineRule="exact"/>
        <w:rPr>
          <w:rFonts w:ascii="Arial" w:cs="Arial" w:eastAsia="Arial" w:hAnsi="Arial"/>
          <w:sz w:val="19"/>
          <w:szCs w:val="19"/>
          <w:color w:val="auto"/>
        </w:rPr>
      </w:pPr>
    </w:p>
    <w:p>
      <w:pPr>
        <w:jc w:val="both"/>
        <w:ind w:left="620" w:right="100" w:hanging="615"/>
        <w:spacing w:after="0" w:line="222" w:lineRule="auto"/>
        <w:tabs>
          <w:tab w:leader="none" w:pos="620"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color w:val="auto"/>
        </w:rPr>
        <w:t>. The Company will reimburse Executive for necessary and reasonable business expenses incurred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Executive’s duties hereunder upon presentation of an itemized account and appropriate supporting documentation, all in accordance with the Company’s generally applicable expense reimbursement policies as in effect from to time.</w:t>
      </w:r>
    </w:p>
    <w:p>
      <w:pPr>
        <w:spacing w:after="0" w:line="209" w:lineRule="exact"/>
        <w:rPr>
          <w:rFonts w:ascii="Arial" w:cs="Arial" w:eastAsia="Arial" w:hAnsi="Arial"/>
          <w:sz w:val="21"/>
          <w:szCs w:val="21"/>
          <w:color w:val="auto"/>
        </w:rPr>
      </w:pPr>
    </w:p>
    <w:p>
      <w:pPr>
        <w:jc w:val="both"/>
        <w:ind w:left="620" w:right="100" w:hanging="615"/>
        <w:spacing w:after="0" w:line="260" w:lineRule="auto"/>
        <w:tabs>
          <w:tab w:leader="none" w:pos="620"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Upon Termination</w:t>
      </w:r>
      <w:r>
        <w:rPr>
          <w:rFonts w:ascii="Arial" w:cs="Arial" w:eastAsia="Arial" w:hAnsi="Arial"/>
          <w:sz w:val="21"/>
          <w:szCs w:val="21"/>
          <w:color w:val="auto"/>
        </w:rPr>
        <w:t>. Except as expressly provided in Section 6, upon the termination of Executive’s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period 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w:t>
      </w:r>
    </w:p>
    <w:p>
      <w:pPr>
        <w:spacing w:after="0" w:line="3" w:lineRule="exact"/>
        <w:rPr>
          <w:rFonts w:ascii="Arial" w:cs="Arial" w:eastAsia="Arial" w:hAnsi="Arial"/>
          <w:sz w:val="21"/>
          <w:szCs w:val="21"/>
          <w:color w:val="auto"/>
        </w:rPr>
      </w:pPr>
    </w:p>
    <w:p>
      <w:pPr>
        <w:jc w:val="both"/>
        <w:ind w:left="620" w:right="100"/>
        <w:spacing w:after="0" w:line="262" w:lineRule="auto"/>
        <w:rPr>
          <w:rFonts w:ascii="Arial" w:cs="Arial" w:eastAsia="Arial" w:hAnsi="Arial"/>
          <w:sz w:val="21"/>
          <w:szCs w:val="21"/>
          <w:color w:val="auto"/>
        </w:rPr>
      </w:pPr>
      <w:r>
        <w:rPr>
          <w:rFonts w:ascii="Arial" w:cs="Arial" w:eastAsia="Arial" w:hAnsi="Arial"/>
          <w:sz w:val="21"/>
          <w:szCs w:val="21"/>
          <w:color w:val="auto"/>
        </w:rPr>
        <w:t>(iii) such other vested benefits earned under any Company-provided plans, policies, and arrangements in accordance with the governing documents and policies of any such, plans, policies and arrangements (collectively, the “</w:t>
      </w:r>
      <w:r>
        <w:rPr>
          <w:rFonts w:ascii="Arial" w:cs="Arial" w:eastAsia="Arial" w:hAnsi="Arial"/>
          <w:sz w:val="21"/>
          <w:szCs w:val="21"/>
          <w:b w:val="1"/>
          <w:bCs w:val="1"/>
          <w:i w:val="1"/>
          <w:iCs w:val="1"/>
          <w:color w:val="auto"/>
        </w:rPr>
        <w:t>Accrued Benefits</w:t>
      </w:r>
      <w:r>
        <w:rPr>
          <w:rFonts w:ascii="Arial" w:cs="Arial" w:eastAsia="Arial" w:hAnsi="Arial"/>
          <w:sz w:val="21"/>
          <w:szCs w:val="21"/>
          <w:color w:val="auto"/>
        </w:rPr>
        <w:t>”). The Accrued Benefits described in clauses (i) and (ii) of the preceding sentence shall be paid within thirty (30) days after the date of termination of Executive’s Employment (or such earlier date as may be required by applicable law) and the Accrued Benefits described in clause (iii)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00"/>
          </w:cols>
          <w:pgMar w:left="440" w:top="164"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preceding sentence shall be paid in accordance with the terms of the governing plan, policy or arrangement.</w:t>
      </w:r>
    </w:p>
    <w:p>
      <w:pPr>
        <w:spacing w:after="0" w:line="116" w:lineRule="exact"/>
        <w:rPr>
          <w:sz w:val="20"/>
          <w:szCs w:val="20"/>
          <w:color w:val="auto"/>
        </w:rPr>
      </w:pPr>
    </w:p>
    <w:p>
      <w:pPr>
        <w:ind w:left="620" w:hanging="615"/>
        <w:spacing w:after="0"/>
        <w:tabs>
          <w:tab w:leader="none" w:pos="620"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Benefits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1240" w:right="100" w:hanging="623"/>
        <w:spacing w:after="0" w:line="227" w:lineRule="auto"/>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20"/>
          <w:szCs w:val="20"/>
          <w:b w:val="1"/>
          <w:bCs w:val="1"/>
          <w:u w:val="single" w:color="auto"/>
          <w:color w:val="auto"/>
        </w:rPr>
        <w:t>Termination without Cause or Resignation for Good Reason outside of Change in Control Protection Period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If the Company (or any parent, subsidiary or successor of the Company) terminates Executive’s employment with the Company for a reason other than (i) Cause, (ii) Executive becoming Disabled (as defined below) or (iii) Executive’s death, or if Executive resigns from such employment for Good Reason (as defined below), in each case, outside of the Change in Control Protection Period, then, subject to Section 7 (other than with respect to the Accrued Benefits), Executive will be entitled to the following:</w:t>
      </w:r>
    </w:p>
    <w:p>
      <w:pPr>
        <w:spacing w:after="0" w:line="193" w:lineRule="exact"/>
        <w:rPr>
          <w:rFonts w:ascii="Arial" w:cs="Arial" w:eastAsia="Arial" w:hAnsi="Arial"/>
          <w:sz w:val="21"/>
          <w:szCs w:val="21"/>
          <w:color w:val="auto"/>
        </w:rPr>
      </w:pPr>
    </w:p>
    <w:p>
      <w:pPr>
        <w:ind w:left="1860" w:hanging="609"/>
        <w:spacing w:after="0"/>
        <w:tabs>
          <w:tab w:leader="none" w:pos="1860" w:val="left"/>
        </w:tabs>
        <w:numPr>
          <w:ilvl w:val="2"/>
          <w:numId w:val="19"/>
        </w:numPr>
        <w:rPr>
          <w:rFonts w:ascii="Arial" w:cs="Arial" w:eastAsia="Arial" w:hAnsi="Arial"/>
          <w:sz w:val="21"/>
          <w:szCs w:val="21"/>
          <w:color w:val="auto"/>
        </w:rPr>
      </w:pPr>
      <w:r>
        <w:rPr>
          <w:rFonts w:ascii="Arial" w:cs="Arial" w:eastAsia="Arial" w:hAnsi="Arial"/>
          <w:sz w:val="21"/>
          <w:szCs w:val="21"/>
          <w:u w:val="single" w:color="auto"/>
          <w:color w:val="auto"/>
        </w:rPr>
        <w:t>Accrued Compensation</w:t>
      </w:r>
      <w:r>
        <w:rPr>
          <w:rFonts w:ascii="Arial" w:cs="Arial" w:eastAsia="Arial" w:hAnsi="Arial"/>
          <w:sz w:val="21"/>
          <w:szCs w:val="21"/>
          <w:color w:val="auto"/>
        </w:rPr>
        <w:t>. The Company will pay Executive all Accrued Benefits.</w:t>
      </w:r>
    </w:p>
    <w:p>
      <w:pPr>
        <w:spacing w:after="0" w:line="199" w:lineRule="exact"/>
        <w:rPr>
          <w:rFonts w:ascii="Arial" w:cs="Arial" w:eastAsia="Arial" w:hAnsi="Arial"/>
          <w:sz w:val="21"/>
          <w:szCs w:val="21"/>
          <w:color w:val="auto"/>
        </w:rPr>
      </w:pPr>
    </w:p>
    <w:p>
      <w:pPr>
        <w:jc w:val="both"/>
        <w:ind w:left="1880" w:right="100" w:hanging="629"/>
        <w:spacing w:after="0" w:line="232" w:lineRule="auto"/>
        <w:tabs>
          <w:tab w:leader="none" w:pos="1879"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exchange for Executive timely signing and not revoking the Release (as defined below) in accordance with the terms therein and in this Agreement, Executive will receive a lump sum severance payment in the amount equal to (x) the product of Executive’s Base Salary, as then in effect (but not taking into account any reductions which would constitute Good Reason or were made in the six (6) months prior to Executive’s termination of employment), multiplied by 1.5, plus (y) the product of 1.5 multiplied by the Executive’s Cash Bonus calculated at target, using the Executive’s then current Target Bonus Percentage (but not taking into account any reductions which would constitute Good Reason or were made in the six (6) months prior to Executive’s termination of employment), plus (z) any annual bonus payments earned for a completed prior fiscal year but not yet paid to Executive, with any subjective goals treated as satisfied at not less than target and paid when bonuses are paid to other executive officers (the “</w:t>
      </w:r>
      <w:r>
        <w:rPr>
          <w:rFonts w:ascii="Arial" w:cs="Arial" w:eastAsia="Arial" w:hAnsi="Arial"/>
          <w:sz w:val="19"/>
          <w:szCs w:val="19"/>
          <w:b w:val="1"/>
          <w:bCs w:val="1"/>
          <w:i w:val="1"/>
          <w:iCs w:val="1"/>
          <w:color w:val="auto"/>
        </w:rPr>
        <w:t>Prior Year Bonus</w:t>
      </w:r>
      <w:r>
        <w:rPr>
          <w:rFonts w:ascii="Arial" w:cs="Arial" w:eastAsia="Arial" w:hAnsi="Arial"/>
          <w:sz w:val="19"/>
          <w:szCs w:val="19"/>
          <w:color w:val="auto"/>
        </w:rPr>
        <w:t>”), in each case less all required tax withholdings and other applicable deductions, which will be paid in accordance with the Company’s regular payroll procedures, but no later than thirty (30) days following the Release Deadline (as defined in Section 7(a)).</w:t>
      </w:r>
    </w:p>
    <w:p>
      <w:pPr>
        <w:spacing w:after="0" w:line="200" w:lineRule="exact"/>
        <w:rPr>
          <w:rFonts w:ascii="Arial" w:cs="Arial" w:eastAsia="Arial" w:hAnsi="Arial"/>
          <w:sz w:val="19"/>
          <w:szCs w:val="19"/>
          <w:color w:val="auto"/>
        </w:rPr>
      </w:pPr>
    </w:p>
    <w:p>
      <w:pPr>
        <w:jc w:val="both"/>
        <w:ind w:left="1880" w:right="100" w:hanging="629"/>
        <w:spacing w:after="0" w:line="237" w:lineRule="auto"/>
        <w:tabs>
          <w:tab w:leader="none" w:pos="1871"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If Executive elects continuation coverage pursuant to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eighteen (18) month anniversary of Executive’s termination date, or (B) the date upon which Executive and/or Executive’s eligible dependents become covered under similar plans. COBRA reimbursements will be made by the Company to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00"/>
          </w:cols>
          <w:pgMar w:left="440" w:top="164"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spacing w:after="0" w:line="225" w:lineRule="auto"/>
        <w:rPr>
          <w:sz w:val="20"/>
          <w:szCs w:val="20"/>
          <w:color w:val="auto"/>
        </w:rPr>
      </w:pPr>
      <w:r>
        <w:rPr>
          <w:rFonts w:ascii="Arial" w:cs="Arial" w:eastAsia="Arial" w:hAnsi="Arial"/>
          <w:sz w:val="21"/>
          <w:szCs w:val="21"/>
          <w:color w:val="auto"/>
        </w:rPr>
        <w:t>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7" w:lineRule="exact"/>
        <w:rPr>
          <w:sz w:val="20"/>
          <w:szCs w:val="20"/>
          <w:color w:val="auto"/>
        </w:rPr>
      </w:pPr>
    </w:p>
    <w:p>
      <w:pPr>
        <w:jc w:val="both"/>
        <w:ind w:left="1260" w:right="100" w:hanging="629"/>
        <w:spacing w:after="0" w:line="237" w:lineRule="auto"/>
        <w:tabs>
          <w:tab w:leader="none" w:pos="1239"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In the event Executive’s employment is terminated for a reason other than for Cause or Executive resigns for Good Reason (but not in the case of the Executive’s death or the Executive becoming Disabled) (an “</w:t>
      </w:r>
      <w:r>
        <w:rPr>
          <w:rFonts w:ascii="Arial" w:cs="Arial" w:eastAsia="Arial" w:hAnsi="Arial"/>
          <w:sz w:val="19"/>
          <w:szCs w:val="19"/>
          <w:b w:val="1"/>
          <w:bCs w:val="1"/>
          <w:i w:val="1"/>
          <w:iCs w:val="1"/>
          <w:color w:val="auto"/>
        </w:rPr>
        <w:t>Involuntary Termination</w:t>
      </w:r>
      <w:r>
        <w:rPr>
          <w:rFonts w:ascii="Arial" w:cs="Arial" w:eastAsia="Arial" w:hAnsi="Arial"/>
          <w:sz w:val="19"/>
          <w:szCs w:val="19"/>
          <w:color w:val="auto"/>
        </w:rPr>
        <w:t>”), then any unvested equity awards granted prior to the Agreement Effective Date that has not vested as of the effective date of such termination of employment, will or will not continue to vest in accordance with the terms of the applicable equity award grant agreement. For the avoidance of doubt, no portion of the Promotional RSU Awards will automatically vest in the event Executive’s employment is terminated as a result of an Involuntary Termination.</w:t>
      </w:r>
    </w:p>
    <w:p>
      <w:pPr>
        <w:spacing w:after="0" w:line="184" w:lineRule="exact"/>
        <w:rPr>
          <w:rFonts w:ascii="Arial" w:cs="Arial" w:eastAsia="Arial" w:hAnsi="Arial"/>
          <w:sz w:val="19"/>
          <w:szCs w:val="19"/>
          <w:color w:val="auto"/>
        </w:rPr>
      </w:pPr>
    </w:p>
    <w:p>
      <w:pPr>
        <w:jc w:val="both"/>
        <w:ind w:left="640" w:right="100" w:hanging="632"/>
        <w:spacing w:after="0" w:line="218" w:lineRule="auto"/>
        <w:tabs>
          <w:tab w:leader="none" w:pos="628"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without Cause or Resignation for Good Reason within the Change in Control Protection Period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If, during the Change in Control Protection Period, Executive’s employment is terminated as a result of an Involuntary Termination, then, subject to Section 7 of this Agreement (other than with respect to the Accrued Benefits), Executive will receive the following severance benefits from the Company in lieu of the benefits described in Section 6(a) above:</w:t>
      </w:r>
    </w:p>
    <w:p>
      <w:pPr>
        <w:spacing w:after="0" w:line="194" w:lineRule="exact"/>
        <w:rPr>
          <w:rFonts w:ascii="Arial" w:cs="Arial" w:eastAsia="Arial" w:hAnsi="Arial"/>
          <w:sz w:val="21"/>
          <w:szCs w:val="21"/>
          <w:color w:val="auto"/>
        </w:rPr>
      </w:pPr>
    </w:p>
    <w:p>
      <w:pPr>
        <w:ind w:left="1240" w:hanging="609"/>
        <w:spacing w:after="0"/>
        <w:tabs>
          <w:tab w:leader="none" w:pos="1240"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Accrued Compensation</w:t>
      </w:r>
      <w:r>
        <w:rPr>
          <w:rFonts w:ascii="Arial" w:cs="Arial" w:eastAsia="Arial" w:hAnsi="Arial"/>
          <w:sz w:val="21"/>
          <w:szCs w:val="21"/>
          <w:color w:val="auto"/>
        </w:rPr>
        <w:t>. The Company will pay Executive all Accrued Benefits.</w:t>
      </w:r>
    </w:p>
    <w:p>
      <w:pPr>
        <w:spacing w:after="0" w:line="199" w:lineRule="exact"/>
        <w:rPr>
          <w:rFonts w:ascii="Arial" w:cs="Arial" w:eastAsia="Arial" w:hAnsi="Arial"/>
          <w:sz w:val="21"/>
          <w:szCs w:val="21"/>
          <w:color w:val="auto"/>
        </w:rPr>
      </w:pPr>
    </w:p>
    <w:p>
      <w:pPr>
        <w:jc w:val="both"/>
        <w:ind w:left="1260" w:right="100" w:hanging="629"/>
        <w:spacing w:after="0" w:line="235" w:lineRule="auto"/>
        <w:tabs>
          <w:tab w:leader="none" w:pos="1253"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exchange for Executive timely signing and not revoking the Release in accordance with the terms therein, and in this Agreement, Executive will receive a lump sum severance payment in the amount equal to (x) twenty-four (24) months of Executive’s Base Salary as in effect immediately prior to the date of Executive’s termination of employment (but not taking into account any reductions which would constitute Good Reason or were made in the six (6) months prior to Executive’s termination of employment), plus (y) the product of 2.0 multiplied by Executive’s Cash Bonus calculated at target using the Executive’s then current Target Bonus Percentage, plus (z) the Prior Year Bonus, in each case less all required tax withholdings and other applicable deductions, which will be paid in accordance with the Company’s regular payroll procedures, but no later than thirty (30) days following the Release Deadline.</w:t>
      </w:r>
    </w:p>
    <w:p>
      <w:pPr>
        <w:spacing w:after="0" w:line="190" w:lineRule="exact"/>
        <w:rPr>
          <w:rFonts w:ascii="Arial" w:cs="Arial" w:eastAsia="Arial" w:hAnsi="Arial"/>
          <w:sz w:val="19"/>
          <w:szCs w:val="19"/>
          <w:color w:val="auto"/>
        </w:rPr>
      </w:pPr>
    </w:p>
    <w:p>
      <w:pPr>
        <w:jc w:val="both"/>
        <w:ind w:left="1260" w:right="100" w:hanging="629"/>
        <w:spacing w:after="0" w:line="217" w:lineRule="auto"/>
        <w:tabs>
          <w:tab w:leader="none" w:pos="1259"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Continued Employee Benefits</w:t>
      </w:r>
      <w:r>
        <w:rPr>
          <w:rFonts w:ascii="Arial" w:cs="Arial" w:eastAsia="Arial" w:hAnsi="Arial"/>
          <w:sz w:val="21"/>
          <w:szCs w:val="21"/>
          <w:color w:val="auto"/>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twenty-four month (24) anniversary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480"/>
          </w:cols>
          <w:pgMar w:left="1060" w:top="164"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spacing w:after="0" w:line="224" w:lineRule="auto"/>
        <w:rPr>
          <w:sz w:val="20"/>
          <w:szCs w:val="20"/>
          <w:color w:val="auto"/>
        </w:rPr>
      </w:pPr>
      <w:r>
        <w:rPr>
          <w:rFonts w:ascii="Arial" w:cs="Arial" w:eastAsia="Arial" w:hAnsi="Arial"/>
          <w:sz w:val="20"/>
          <w:szCs w:val="20"/>
          <w:color w:val="auto"/>
        </w:rPr>
        <w:t>of Executive’s termination date,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 Notwithstanding the foregoing, in the event that applicable healthcare laws do not permit continuation of coverage, then the Company will reimburse Executive for the costs of obtaining coverage in an amount not to exceed the coverage amounts paid or payable by Executive immediately prior to the date of termination.</w:t>
      </w:r>
    </w:p>
    <w:p>
      <w:pPr>
        <w:spacing w:after="0" w:line="178" w:lineRule="exact"/>
        <w:rPr>
          <w:sz w:val="20"/>
          <w:szCs w:val="20"/>
          <w:color w:val="auto"/>
        </w:rPr>
      </w:pPr>
    </w:p>
    <w:p>
      <w:pPr>
        <w:jc w:val="both"/>
        <w:ind w:left="1260" w:right="100" w:hanging="629"/>
        <w:spacing w:after="0" w:line="215" w:lineRule="auto"/>
        <w:tabs>
          <w:tab w:leader="none" w:pos="1251"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Equity</w:t>
      </w:r>
      <w:r>
        <w:rPr>
          <w:rFonts w:ascii="Arial" w:cs="Arial" w:eastAsia="Arial" w:hAnsi="Arial"/>
          <w:sz w:val="21"/>
          <w:szCs w:val="21"/>
          <w:color w:val="auto"/>
        </w:rPr>
        <w:t>. All of Executive’s unvested and outstanding time-based equity awards shall immediately vest and become exercisable as of the date of Executive’s termination (or if a termination occurs during the Change in Control Protection Period but prior to a Change in Control upon the Change in Control) and any unvested and outstanding performance-based awards shall be subject to the terms and conditions of the 2020 Equity Plan and the award agreement by and between Executive and the Company pursuant to which such award was granted.</w:t>
      </w:r>
    </w:p>
    <w:p>
      <w:pPr>
        <w:spacing w:after="0" w:line="188" w:lineRule="exact"/>
        <w:rPr>
          <w:rFonts w:ascii="Arial" w:cs="Arial" w:eastAsia="Arial" w:hAnsi="Arial"/>
          <w:sz w:val="21"/>
          <w:szCs w:val="21"/>
          <w:color w:val="auto"/>
        </w:rPr>
      </w:pPr>
    </w:p>
    <w:p>
      <w:pPr>
        <w:jc w:val="both"/>
        <w:ind w:left="640" w:right="100" w:hanging="632"/>
        <w:spacing w:after="0" w:line="215" w:lineRule="auto"/>
        <w:tabs>
          <w:tab w:leader="none" w:pos="640"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Disability; Death; Voluntary Resignation; Termination for Cause</w:t>
      </w:r>
      <w:r>
        <w:rPr>
          <w:rFonts w:ascii="Arial" w:cs="Arial" w:eastAsia="Arial" w:hAnsi="Arial"/>
          <w:sz w:val="21"/>
          <w:szCs w:val="21"/>
          <w:color w:val="auto"/>
        </w:rPr>
        <w:t>. If Executive’s employment with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is terminated due to (i) Executive becoming Disabled or Executive’s death, (ii) Executive’s voluntary resignation (other than for Good Reason), or (iii) the Company’s termination of Executive’s employment with the Company for Cause, then Executive or Executive’s estate (as the case may be) will receive the Accrued Benefits (and in the case of (i), the Prior Year Bonus), but will not be entitled to any other compensation or benefits from the Company except to the extent required by law (for example, providing COBRA coverage to the extent elected by and fully paid for by Executive).</w:t>
      </w:r>
    </w:p>
    <w:p>
      <w:pPr>
        <w:spacing w:after="0" w:line="186" w:lineRule="exact"/>
        <w:rPr>
          <w:rFonts w:ascii="Arial" w:cs="Arial" w:eastAsia="Arial" w:hAnsi="Arial"/>
          <w:sz w:val="21"/>
          <w:szCs w:val="21"/>
          <w:color w:val="auto"/>
        </w:rPr>
      </w:pPr>
    </w:p>
    <w:p>
      <w:pPr>
        <w:jc w:val="both"/>
        <w:ind w:left="640" w:right="100" w:hanging="632"/>
        <w:spacing w:after="0" w:line="227" w:lineRule="auto"/>
        <w:tabs>
          <w:tab w:leader="none" w:pos="628"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Timing of Payments</w:t>
      </w:r>
      <w:r>
        <w:rPr>
          <w:rFonts w:ascii="Arial" w:cs="Arial" w:eastAsia="Arial" w:hAnsi="Arial"/>
          <w:sz w:val="21"/>
          <w:szCs w:val="21"/>
          <w:color w:val="auto"/>
        </w:rPr>
        <w:t>. Subject to any specific timing provisions in Section 6(a), 6(b), or 6(c), as applicable, or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Section 7, payment of the severance and benefits hereunder shall be made or commence to be made as soon as practicable following Executive’s termination of employment.</w:t>
      </w:r>
    </w:p>
    <w:p>
      <w:pPr>
        <w:spacing w:after="0" w:line="171" w:lineRule="exact"/>
        <w:rPr>
          <w:rFonts w:ascii="Arial" w:cs="Arial" w:eastAsia="Arial" w:hAnsi="Arial"/>
          <w:sz w:val="21"/>
          <w:szCs w:val="21"/>
          <w:color w:val="auto"/>
        </w:rPr>
      </w:pPr>
    </w:p>
    <w:p>
      <w:pPr>
        <w:jc w:val="both"/>
        <w:ind w:left="640" w:right="100" w:hanging="632"/>
        <w:spacing w:after="0" w:line="226" w:lineRule="auto"/>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Exclusive Remedy</w:t>
      </w:r>
      <w:r>
        <w:rPr>
          <w:rFonts w:ascii="Arial" w:cs="Arial" w:eastAsia="Arial" w:hAnsi="Arial"/>
          <w:sz w:val="20"/>
          <w:szCs w:val="20"/>
          <w:color w:val="auto"/>
        </w:rPr>
        <w:t>. In the event of a termination of Executive’s employment with the Company (or any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or successor of the Company), the provisions of this Section 6, are intended to be, and are exclusive, and in lieu of any other rights or remedies to which Executive or the Company may otherwise be entitled (other than the payment of accrued but unpaid wages, as required by law, and any unreimbursed reimbursable expenses) with respect to severance benefits. Executive will be entitled to no other severance, benefits, or compensation upon a termination of employment, including, without limitation, any severance payments and/or benefits provided in the Employment Agreement, other than those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480"/>
          </w:cols>
          <w:pgMar w:left="1060" w:top="164"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expressly set forth in Section 6 of this Agreement or pursuant to written equity award agreements with the Company.</w:t>
      </w:r>
    </w:p>
    <w:p>
      <w:pPr>
        <w:spacing w:after="0" w:line="217" w:lineRule="exact"/>
        <w:rPr>
          <w:sz w:val="20"/>
          <w:szCs w:val="20"/>
          <w:color w:val="auto"/>
        </w:rPr>
      </w:pPr>
    </w:p>
    <w:p>
      <w:pPr>
        <w:ind w:left="1260" w:right="100" w:hanging="632"/>
        <w:spacing w:after="0" w:line="285" w:lineRule="auto"/>
        <w:tabs>
          <w:tab w:leader="none" w:pos="1248" w:val="left"/>
        </w:tabs>
        <w:numPr>
          <w:ilvl w:val="1"/>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No Duty to Mitigate</w:t>
      </w:r>
      <w:r>
        <w:rPr>
          <w:rFonts w:ascii="Arial" w:cs="Arial" w:eastAsia="Arial" w:hAnsi="Arial"/>
          <w:sz w:val="19"/>
          <w:szCs w:val="19"/>
          <w:color w:val="auto"/>
        </w:rPr>
        <w:t>. Executive will not be required to mitigate the amount of any payment contemplated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nor will any earnings that Executive may receive from any other source reduce any such payment.</w:t>
      </w:r>
    </w:p>
    <w:p>
      <w:pPr>
        <w:spacing w:after="0" w:line="143" w:lineRule="exact"/>
        <w:rPr>
          <w:rFonts w:ascii="Arial" w:cs="Arial" w:eastAsia="Arial" w:hAnsi="Arial"/>
          <w:sz w:val="19"/>
          <w:szCs w:val="19"/>
          <w:color w:val="auto"/>
        </w:rPr>
      </w:pPr>
    </w:p>
    <w:p>
      <w:pPr>
        <w:ind w:left="620" w:hanging="615"/>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21"/>
          <w:szCs w:val="21"/>
          <w:b w:val="1"/>
          <w:bCs w:val="1"/>
          <w:u w:val="single" w:color="auto"/>
          <w:color w:val="auto"/>
        </w:rPr>
        <w:t>Conditions to Receipt of Severance</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left="1260" w:right="100" w:hanging="632"/>
        <w:spacing w:after="0" w:line="232" w:lineRule="auto"/>
        <w:tabs>
          <w:tab w:leader="none" w:pos="1251" w:val="left"/>
        </w:tabs>
        <w:numPr>
          <w:ilvl w:val="1"/>
          <w:numId w:val="25"/>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 of Claims Agreement</w:t>
      </w:r>
      <w:r>
        <w:rPr>
          <w:rFonts w:ascii="Arial" w:cs="Arial" w:eastAsia="Arial" w:hAnsi="Arial"/>
          <w:sz w:val="19"/>
          <w:szCs w:val="19"/>
          <w:color w:val="auto"/>
        </w:rPr>
        <w:t>. The receipt of any severance payments or benefits pursuant to Section 6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(other than any Accrued Benefits) is subject to Executive signing and not revoking a separation agreement and release of claims in a form substantially similar, as determined, in good faith, by the Company, as that attached hereto as </w:t>
      </w:r>
      <w:r>
        <w:rPr>
          <w:rFonts w:ascii="Arial" w:cs="Arial" w:eastAsia="Arial" w:hAnsi="Arial"/>
          <w:sz w:val="19"/>
          <w:szCs w:val="19"/>
          <w:u w:val="single" w:color="auto"/>
          <w:color w:val="auto"/>
        </w:rPr>
        <w:t>Attachment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which must become effective no later than the sixtieth (60th) day following Executive’s termination of employment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 (i) 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73" w:lineRule="exact"/>
        <w:rPr>
          <w:rFonts w:ascii="Arial" w:cs="Arial" w:eastAsia="Arial" w:hAnsi="Arial"/>
          <w:sz w:val="19"/>
          <w:szCs w:val="19"/>
          <w:color w:val="auto"/>
        </w:rPr>
      </w:pPr>
    </w:p>
    <w:p>
      <w:pPr>
        <w:jc w:val="both"/>
        <w:ind w:left="1260" w:right="100" w:hanging="632"/>
        <w:spacing w:after="0" w:line="222" w:lineRule="auto"/>
        <w:tabs>
          <w:tab w:leader="none" w:pos="1260" w:val="left"/>
        </w:tabs>
        <w:numPr>
          <w:ilvl w:val="1"/>
          <w:numId w:val="25"/>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Restrictive Covenants</w:t>
      </w:r>
      <w:r>
        <w:rPr>
          <w:rFonts w:ascii="Arial" w:cs="Arial" w:eastAsia="Arial" w:hAnsi="Arial"/>
          <w:sz w:val="21"/>
          <w:szCs w:val="21"/>
          <w:color w:val="auto"/>
        </w:rPr>
        <w:t>. Executive’s receipt of any payments or benefits under Section 6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Executive continuing to comply in all material respects with the terms of Section 11 below (provided, that such breach is not incurable, the Company shall provide Executive with written notice of any failure to comply and not less than thirty (30) days to cure).</w:t>
      </w:r>
    </w:p>
    <w:p>
      <w:pPr>
        <w:spacing w:after="0" w:line="183" w:lineRule="exact"/>
        <w:rPr>
          <w:rFonts w:ascii="Arial" w:cs="Arial" w:eastAsia="Arial" w:hAnsi="Arial"/>
          <w:sz w:val="21"/>
          <w:szCs w:val="21"/>
          <w:color w:val="auto"/>
        </w:rPr>
      </w:pPr>
    </w:p>
    <w:p>
      <w:pPr>
        <w:ind w:left="1260" w:hanging="632"/>
        <w:spacing w:after="0"/>
        <w:tabs>
          <w:tab w:leader="none" w:pos="1260" w:val="left"/>
        </w:tabs>
        <w:numPr>
          <w:ilvl w:val="1"/>
          <w:numId w:val="25"/>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w:t>
      </w:r>
    </w:p>
    <w:p>
      <w:pPr>
        <w:spacing w:after="0" w:line="218" w:lineRule="exact"/>
        <w:rPr>
          <w:rFonts w:ascii="Arial" w:cs="Arial" w:eastAsia="Arial" w:hAnsi="Arial"/>
          <w:sz w:val="21"/>
          <w:szCs w:val="21"/>
          <w:color w:val="auto"/>
        </w:rPr>
      </w:pPr>
    </w:p>
    <w:p>
      <w:pPr>
        <w:jc w:val="both"/>
        <w:ind w:left="1880" w:right="100" w:hanging="629"/>
        <w:spacing w:after="0" w:line="217" w:lineRule="auto"/>
        <w:tabs>
          <w:tab w:leader="none" w:pos="1873" w:val="left"/>
        </w:tabs>
        <w:numPr>
          <w:ilvl w:val="2"/>
          <w:numId w:val="25"/>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21"/>
          <w:szCs w:val="21"/>
          <w:b w:val="1"/>
          <w:bCs w:val="1"/>
          <w:i w:val="1"/>
          <w:iCs w:val="1"/>
          <w:color w:val="auto"/>
        </w:rPr>
        <w:t>Deferred Payments</w:t>
      </w:r>
      <w:r>
        <w:rPr>
          <w:rFonts w:ascii="Arial" w:cs="Arial" w:eastAsia="Arial" w:hAnsi="Arial"/>
          <w:sz w:val="21"/>
          <w:szCs w:val="21"/>
          <w:color w:val="auto"/>
        </w:rPr>
        <w:t>”), will be paid or otherwise provided until Executive has a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00"/>
          </w:cols>
          <w:pgMar w:left="440" w:top="164"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880" w:right="100"/>
        <w:spacing w:after="0" w:line="215" w:lineRule="auto"/>
        <w:rPr>
          <w:sz w:val="20"/>
          <w:szCs w:val="20"/>
          <w:color w:val="auto"/>
        </w:rPr>
      </w:pPr>
      <w:r>
        <w:rPr>
          <w:rFonts w:ascii="Arial" w:cs="Arial" w:eastAsia="Arial" w:hAnsi="Arial"/>
          <w:sz w:val="21"/>
          <w:szCs w:val="21"/>
          <w:color w:val="auto"/>
        </w:rPr>
        <w:t>within the meaning of Section 409A.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2" w:lineRule="exact"/>
        <w:rPr>
          <w:sz w:val="20"/>
          <w:szCs w:val="20"/>
          <w:color w:val="auto"/>
        </w:rPr>
      </w:pPr>
    </w:p>
    <w:p>
      <w:pPr>
        <w:jc w:val="both"/>
        <w:ind w:left="880" w:right="100" w:hanging="629"/>
        <w:spacing w:after="0" w:line="232" w:lineRule="auto"/>
        <w:tabs>
          <w:tab w:leader="none" w:pos="879"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Executive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200" w:lineRule="exact"/>
        <w:rPr>
          <w:rFonts w:ascii="Arial" w:cs="Arial" w:eastAsia="Arial" w:hAnsi="Arial"/>
          <w:sz w:val="19"/>
          <w:szCs w:val="19"/>
          <w:color w:val="auto"/>
        </w:rPr>
      </w:pPr>
    </w:p>
    <w:p>
      <w:pPr>
        <w:jc w:val="both"/>
        <w:ind w:left="880" w:right="100" w:hanging="629"/>
        <w:spacing w:after="0" w:line="225" w:lineRule="auto"/>
        <w:tabs>
          <w:tab w:leader="none" w:pos="871" w:val="left"/>
        </w:tabs>
        <w:numPr>
          <w:ilvl w:val="0"/>
          <w:numId w:val="26"/>
        </w:numPr>
        <w:rPr>
          <w:rFonts w:ascii="Arial" w:cs="Arial" w:eastAsia="Arial" w:hAnsi="Arial"/>
          <w:sz w:val="21"/>
          <w:szCs w:val="21"/>
          <w:color w:val="auto"/>
        </w:rPr>
      </w:pPr>
      <w:r>
        <w:rPr>
          <w:rFonts w:ascii="Arial" w:cs="Arial" w:eastAsia="Arial" w:hAnsi="Arial"/>
          <w:sz w:val="21"/>
          <w:szCs w:val="21"/>
          <w:color w:val="auto"/>
        </w:rPr>
        <w:t>Without limitation, any amount paid under this Agreement that satisfies the requirements of the “short-term deferral” rule set forth in Section 1.409A- 1(b)(4) of the Treasury Regulations is not intended to constitute Deferred Payments for purposes of clause (i) above.</w:t>
      </w:r>
    </w:p>
    <w:p>
      <w:pPr>
        <w:spacing w:after="0" w:line="190" w:lineRule="exact"/>
        <w:rPr>
          <w:rFonts w:ascii="Arial" w:cs="Arial" w:eastAsia="Arial" w:hAnsi="Arial"/>
          <w:sz w:val="21"/>
          <w:szCs w:val="21"/>
          <w:color w:val="auto"/>
        </w:rPr>
      </w:pPr>
    </w:p>
    <w:p>
      <w:pPr>
        <w:jc w:val="both"/>
        <w:ind w:left="880" w:right="100" w:hanging="629"/>
        <w:spacing w:after="0"/>
        <w:tabs>
          <w:tab w:leader="none" w:pos="859"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79" w:lineRule="exact"/>
        <w:rPr>
          <w:rFonts w:ascii="Arial" w:cs="Arial" w:eastAsia="Arial" w:hAnsi="Arial"/>
          <w:sz w:val="19"/>
          <w:szCs w:val="19"/>
          <w:color w:val="auto"/>
        </w:rPr>
      </w:pPr>
    </w:p>
    <w:p>
      <w:pPr>
        <w:jc w:val="both"/>
        <w:ind w:left="880" w:right="100" w:hanging="629"/>
        <w:spacing w:after="0" w:line="220" w:lineRule="auto"/>
        <w:tabs>
          <w:tab w:leader="none" w:pos="866" w:val="left"/>
        </w:tabs>
        <w:numPr>
          <w:ilvl w:val="0"/>
          <w:numId w:val="26"/>
        </w:numPr>
        <w:rPr>
          <w:rFonts w:ascii="Arial" w:cs="Arial" w:eastAsia="Arial" w:hAnsi="Arial"/>
          <w:sz w:val="21"/>
          <w:szCs w:val="21"/>
          <w:color w:val="auto"/>
        </w:rPr>
      </w:pPr>
      <w:r>
        <w:rPr>
          <w:rFonts w:ascii="Arial" w:cs="Arial" w:eastAsia="Arial" w:hAnsi="Arial"/>
          <w:sz w:val="21"/>
          <w:szCs w:val="21"/>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6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100"/>
          </w:cols>
          <w:pgMar w:left="1440" w:top="164"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80" w:right="100"/>
        <w:spacing w:after="0" w:line="253" w:lineRule="auto"/>
        <w:rPr>
          <w:sz w:val="20"/>
          <w:szCs w:val="20"/>
          <w:color w:val="auto"/>
        </w:rPr>
      </w:pPr>
      <w:r>
        <w:rPr>
          <w:rFonts w:ascii="Arial" w:cs="Arial" w:eastAsia="Arial" w:hAnsi="Arial"/>
          <w:sz w:val="19"/>
          <w:szCs w:val="19"/>
          <w:color w:val="auto"/>
        </w:rPr>
        <w:t>kind benefits shall not be subject to liquidation or exchange for another benefit, and (3) the amount of expenses eligible for reimbursement or in- kind benefits provided in any calendar year shall not in any way affect the expenses eligible for reimbursement or in-kind benefits to be provided, in any other calendar year.</w:t>
      </w:r>
    </w:p>
    <w:p>
      <w:pPr>
        <w:spacing w:after="0" w:line="166" w:lineRule="exact"/>
        <w:rPr>
          <w:sz w:val="20"/>
          <w:szCs w:val="20"/>
          <w:color w:val="auto"/>
        </w:rPr>
      </w:pPr>
    </w:p>
    <w:p>
      <w:pPr>
        <w:jc w:val="both"/>
        <w:ind w:left="1880" w:right="100" w:hanging="629"/>
        <w:spacing w:after="0" w:line="224" w:lineRule="auto"/>
        <w:tabs>
          <w:tab w:leader="none" w:pos="1873"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 while endeavoring to maintain the intended economic benefits of this Agreement.</w:t>
      </w:r>
    </w:p>
    <w:p>
      <w:pPr>
        <w:spacing w:after="0" w:line="184" w:lineRule="exact"/>
        <w:rPr>
          <w:rFonts w:ascii="Arial" w:cs="Arial" w:eastAsia="Arial" w:hAnsi="Arial"/>
          <w:sz w:val="20"/>
          <w:szCs w:val="20"/>
          <w:color w:val="auto"/>
        </w:rPr>
      </w:pPr>
    </w:p>
    <w:p>
      <w:pPr>
        <w:ind w:left="620" w:hanging="615"/>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 of Terms</w:t>
      </w:r>
      <w:r>
        <w:rPr>
          <w:rFonts w:ascii="Arial" w:cs="Arial" w:eastAsia="Arial" w:hAnsi="Arial"/>
          <w:sz w:val="21"/>
          <w:szCs w:val="21"/>
          <w:color w:val="auto"/>
        </w:rPr>
        <w:t>. The following terms referred to in this Agreement will have the following meanings:</w:t>
      </w:r>
    </w:p>
    <w:p>
      <w:pPr>
        <w:spacing w:after="0" w:line="212"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“Cause” means:</w:t>
      </w:r>
    </w:p>
    <w:p>
      <w:pPr>
        <w:spacing w:after="0" w:line="205" w:lineRule="exact"/>
        <w:rPr>
          <w:rFonts w:ascii="Arial" w:cs="Arial" w:eastAsia="Arial" w:hAnsi="Arial"/>
          <w:sz w:val="21"/>
          <w:szCs w:val="21"/>
          <w:color w:val="auto"/>
        </w:rPr>
      </w:pPr>
    </w:p>
    <w:p>
      <w:pPr>
        <w:jc w:val="both"/>
        <w:ind w:left="1880" w:right="100" w:hanging="629"/>
        <w:spacing w:after="0" w:line="222" w:lineRule="auto"/>
        <w:tabs>
          <w:tab w:leader="none" w:pos="1873" w:val="left"/>
        </w:tabs>
        <w:numPr>
          <w:ilvl w:val="2"/>
          <w:numId w:val="28"/>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in the performance of his duties and responsibilities to the Company or Executive’s violation of any written Company policy, which, in either case, if capable of being cured, is not cured to the reasonable satisfaction of the Board within thirty</w:t>
      </w:r>
    </w:p>
    <w:p>
      <w:pPr>
        <w:spacing w:after="0" w:line="2" w:lineRule="exact"/>
        <w:rPr>
          <w:rFonts w:ascii="Arial" w:cs="Arial" w:eastAsia="Arial" w:hAnsi="Arial"/>
          <w:sz w:val="20"/>
          <w:szCs w:val="20"/>
          <w:color w:val="auto"/>
        </w:rPr>
      </w:pPr>
    </w:p>
    <w:p>
      <w:pPr>
        <w:ind w:left="1880" w:right="100" w:hanging="6"/>
        <w:spacing w:after="0" w:line="225" w:lineRule="auto"/>
        <w:tabs>
          <w:tab w:leader="none" w:pos="2334" w:val="left"/>
        </w:tabs>
        <w:numPr>
          <w:ilvl w:val="3"/>
          <w:numId w:val="28"/>
        </w:numPr>
        <w:rPr>
          <w:rFonts w:ascii="Arial" w:cs="Arial" w:eastAsia="Arial" w:hAnsi="Arial"/>
          <w:sz w:val="21"/>
          <w:szCs w:val="21"/>
          <w:color w:val="auto"/>
        </w:rPr>
      </w:pPr>
      <w:r>
        <w:rPr>
          <w:rFonts w:ascii="Arial" w:cs="Arial" w:eastAsia="Arial" w:hAnsi="Arial"/>
          <w:sz w:val="21"/>
          <w:szCs w:val="21"/>
          <w:color w:val="auto"/>
        </w:rPr>
        <w:t>days after Executive receives written notice from the Board of such gross negligence or willful misconduct;</w:t>
      </w:r>
    </w:p>
    <w:p>
      <w:pPr>
        <w:spacing w:after="0" w:line="191" w:lineRule="exact"/>
        <w:rPr>
          <w:rFonts w:ascii="Arial" w:cs="Arial" w:eastAsia="Arial" w:hAnsi="Arial"/>
          <w:sz w:val="21"/>
          <w:szCs w:val="21"/>
          <w:color w:val="auto"/>
        </w:rPr>
      </w:pPr>
    </w:p>
    <w:p>
      <w:pPr>
        <w:jc w:val="both"/>
        <w:ind w:left="1880" w:right="100" w:hanging="629"/>
        <w:spacing w:after="0" w:line="225" w:lineRule="auto"/>
        <w:tabs>
          <w:tab w:leader="none" w:pos="1879" w:val="left"/>
        </w:tabs>
        <w:numPr>
          <w:ilvl w:val="2"/>
          <w:numId w:val="28"/>
        </w:numPr>
        <w:rPr>
          <w:rFonts w:ascii="Arial" w:cs="Arial" w:eastAsia="Arial" w:hAnsi="Arial"/>
          <w:sz w:val="21"/>
          <w:szCs w:val="21"/>
          <w:color w:val="auto"/>
        </w:rPr>
      </w:pPr>
      <w:r>
        <w:rPr>
          <w:rFonts w:ascii="Arial" w:cs="Arial" w:eastAsia="Arial" w:hAnsi="Arial"/>
          <w:sz w:val="21"/>
          <w:szCs w:val="21"/>
          <w:color w:val="auto"/>
        </w:rPr>
        <w:t>Executive’s commission of any act of fraud, theft, embezzlement, intentional financial dishonesty, misappropriation from the Company or any other willful misconduct that has caused or is reasonably expected to result in injury to the Company;</w:t>
      </w:r>
    </w:p>
    <w:p>
      <w:pPr>
        <w:spacing w:after="0" w:line="177" w:lineRule="exact"/>
        <w:rPr>
          <w:rFonts w:ascii="Arial" w:cs="Arial" w:eastAsia="Arial" w:hAnsi="Arial"/>
          <w:sz w:val="21"/>
          <w:szCs w:val="21"/>
          <w:color w:val="auto"/>
        </w:rPr>
      </w:pPr>
    </w:p>
    <w:p>
      <w:pPr>
        <w:ind w:left="1880" w:right="100" w:hanging="629"/>
        <w:spacing w:after="0" w:line="253" w:lineRule="auto"/>
        <w:tabs>
          <w:tab w:leader="none" w:pos="1871" w:val="left"/>
        </w:tabs>
        <w:numPr>
          <w:ilvl w:val="2"/>
          <w:numId w:val="28"/>
        </w:numPr>
        <w:rPr>
          <w:rFonts w:ascii="Arial" w:cs="Arial" w:eastAsia="Arial" w:hAnsi="Arial"/>
          <w:sz w:val="20"/>
          <w:szCs w:val="20"/>
          <w:color w:val="auto"/>
        </w:rPr>
      </w:pPr>
      <w:r>
        <w:rPr>
          <w:rFonts w:ascii="Arial" w:cs="Arial" w:eastAsia="Arial" w:hAnsi="Arial"/>
          <w:sz w:val="20"/>
          <w:szCs w:val="20"/>
          <w:color w:val="auto"/>
        </w:rPr>
        <w:t>Executive’s conviction of, or pleading guilty or nolo contendre to, any felony or a lesser crime involving dishonesty or moral turpitude (not including any traffic-related crimes not resulting in jail time);</w:t>
      </w:r>
    </w:p>
    <w:p>
      <w:pPr>
        <w:spacing w:after="0" w:line="177" w:lineRule="exact"/>
        <w:rPr>
          <w:rFonts w:ascii="Arial" w:cs="Arial" w:eastAsia="Arial" w:hAnsi="Arial"/>
          <w:sz w:val="20"/>
          <w:szCs w:val="20"/>
          <w:color w:val="auto"/>
        </w:rPr>
      </w:pPr>
    </w:p>
    <w:p>
      <w:pPr>
        <w:ind w:left="1880" w:right="100" w:hanging="629"/>
        <w:spacing w:after="0" w:line="253" w:lineRule="auto"/>
        <w:tabs>
          <w:tab w:leader="none" w:pos="1859" w:val="left"/>
        </w:tabs>
        <w:numPr>
          <w:ilvl w:val="2"/>
          <w:numId w:val="28"/>
        </w:numPr>
        <w:rPr>
          <w:rFonts w:ascii="Arial" w:cs="Arial" w:eastAsia="Arial" w:hAnsi="Arial"/>
          <w:sz w:val="20"/>
          <w:szCs w:val="20"/>
          <w:color w:val="auto"/>
        </w:rPr>
      </w:pPr>
      <w:r>
        <w:rPr>
          <w:rFonts w:ascii="Arial" w:cs="Arial" w:eastAsia="Arial" w:hAnsi="Arial"/>
          <w:sz w:val="20"/>
          <w:szCs w:val="20"/>
          <w:color w:val="auto"/>
        </w:rPr>
        <w:t>Executive’s unlawful use (including being under the influence) or possession of illegal drugs on the premises of the Company or while performing Executive’s duties and responsibilities for the Company</w:t>
      </w:r>
    </w:p>
    <w:p>
      <w:pPr>
        <w:spacing w:after="0" w:line="177" w:lineRule="exact"/>
        <w:rPr>
          <w:rFonts w:ascii="Arial" w:cs="Arial" w:eastAsia="Arial" w:hAnsi="Arial"/>
          <w:sz w:val="20"/>
          <w:szCs w:val="20"/>
          <w:color w:val="auto"/>
        </w:rPr>
      </w:pPr>
    </w:p>
    <w:p>
      <w:pPr>
        <w:jc w:val="both"/>
        <w:ind w:left="1880" w:right="100" w:hanging="629"/>
        <w:spacing w:after="0" w:line="225" w:lineRule="auto"/>
        <w:tabs>
          <w:tab w:leader="none" w:pos="1866" w:val="left"/>
        </w:tabs>
        <w:numPr>
          <w:ilvl w:val="2"/>
          <w:numId w:val="28"/>
        </w:numPr>
        <w:rPr>
          <w:rFonts w:ascii="Arial" w:cs="Arial" w:eastAsia="Arial" w:hAnsi="Arial"/>
          <w:sz w:val="21"/>
          <w:szCs w:val="21"/>
          <w:color w:val="auto"/>
        </w:rPr>
      </w:pPr>
      <w:r>
        <w:rPr>
          <w:rFonts w:ascii="Arial" w:cs="Arial" w:eastAsia="Arial" w:hAnsi="Arial"/>
          <w:sz w:val="21"/>
          <w:szCs w:val="21"/>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00"/>
          </w:cols>
          <w:pgMar w:left="440" w:top="164"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hanging="629"/>
        <w:spacing w:after="0" w:line="236" w:lineRule="auto"/>
        <w:tabs>
          <w:tab w:leader="none" w:pos="1253" w:val="left"/>
        </w:tabs>
        <w:numPr>
          <w:ilvl w:val="1"/>
          <w:numId w:val="29"/>
        </w:numPr>
        <w:rPr>
          <w:rFonts w:ascii="Arial" w:cs="Arial" w:eastAsia="Arial" w:hAnsi="Arial"/>
          <w:sz w:val="20"/>
          <w:szCs w:val="20"/>
          <w:color w:val="auto"/>
        </w:rPr>
      </w:pPr>
      <w:r>
        <w:rPr>
          <w:rFonts w:ascii="Arial" w:cs="Arial" w:eastAsia="Arial" w:hAnsi="Arial"/>
          <w:sz w:val="20"/>
          <w:szCs w:val="20"/>
          <w:color w:val="auto"/>
        </w:rPr>
        <w:t>Executive’s material breach of any of his obligations under any written agreement or covenant with the Company, which, if capable of being cured, is not cured to the reasonable satisfaction of the Board within thirty (30) days after Executive receives written notice from the Board of such breach.</w:t>
      </w:r>
    </w:p>
    <w:p>
      <w:pPr>
        <w:spacing w:after="0" w:line="178" w:lineRule="exact"/>
        <w:rPr>
          <w:rFonts w:ascii="Arial" w:cs="Arial" w:eastAsia="Arial" w:hAnsi="Arial"/>
          <w:sz w:val="20"/>
          <w:szCs w:val="20"/>
          <w:color w:val="auto"/>
        </w:rPr>
      </w:pPr>
    </w:p>
    <w:p>
      <w:pPr>
        <w:ind w:left="1260" w:right="100"/>
        <w:spacing w:after="0" w:line="234" w:lineRule="auto"/>
        <w:rPr>
          <w:rFonts w:ascii="Arial" w:cs="Arial" w:eastAsia="Arial" w:hAnsi="Arial"/>
          <w:sz w:val="20"/>
          <w:szCs w:val="20"/>
          <w:color w:val="auto"/>
        </w:rPr>
      </w:pPr>
      <w:r>
        <w:rPr>
          <w:rFonts w:ascii="Arial" w:cs="Arial" w:eastAsia="Arial" w:hAnsi="Arial"/>
          <w:sz w:val="21"/>
          <w:szCs w:val="21"/>
          <w:color w:val="auto"/>
        </w:rPr>
        <w:t>No action or inaction hereunder shall be treated as willful hereunder unless done or not done in bad faith and without a reasonable belief it was in the best interests of the Company.</w:t>
      </w:r>
    </w:p>
    <w:p>
      <w:pPr>
        <w:spacing w:after="0" w:line="185" w:lineRule="exact"/>
        <w:rPr>
          <w:rFonts w:ascii="Arial" w:cs="Arial" w:eastAsia="Arial" w:hAnsi="Arial"/>
          <w:sz w:val="20"/>
          <w:szCs w:val="20"/>
          <w:color w:val="auto"/>
        </w:rPr>
      </w:pPr>
    </w:p>
    <w:p>
      <w:pPr>
        <w:ind w:left="640" w:hanging="632"/>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“Change in Control” shall have the meaning ascribed to such term in the 2020 Equity Plan.</w:t>
      </w:r>
    </w:p>
    <w:p>
      <w:pPr>
        <w:spacing w:after="0" w:line="224" w:lineRule="exact"/>
        <w:rPr>
          <w:rFonts w:ascii="Arial" w:cs="Arial" w:eastAsia="Arial" w:hAnsi="Arial"/>
          <w:sz w:val="20"/>
          <w:szCs w:val="20"/>
          <w:color w:val="auto"/>
        </w:rPr>
      </w:pPr>
    </w:p>
    <w:p>
      <w:pPr>
        <w:ind w:left="640" w:right="100" w:hanging="632"/>
        <w:spacing w:after="0" w:line="285" w:lineRule="auto"/>
        <w:tabs>
          <w:tab w:leader="none" w:pos="628"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Protection Period</w:t>
      </w:r>
      <w:r>
        <w:rPr>
          <w:rFonts w:ascii="Arial" w:cs="Arial" w:eastAsia="Arial" w:hAnsi="Arial"/>
          <w:sz w:val="19"/>
          <w:szCs w:val="19"/>
          <w:color w:val="auto"/>
        </w:rPr>
        <w:t>. “Change in Control Protection Period” means the period beginning three (3)</w:t>
      </w:r>
      <w:r>
        <w:rPr>
          <w:rFonts w:ascii="Arial" w:cs="Arial" w:eastAsia="Arial" w:hAnsi="Arial"/>
          <w:sz w:val="19"/>
          <w:szCs w:val="19"/>
          <w:b w:val="1"/>
          <w:bCs w:val="1"/>
          <w:color w:val="auto"/>
        </w:rPr>
        <w:t xml:space="preserve"> </w:t>
      </w:r>
      <w:r>
        <w:rPr>
          <w:rFonts w:ascii="Arial" w:cs="Arial" w:eastAsia="Arial" w:hAnsi="Arial"/>
          <w:sz w:val="19"/>
          <w:szCs w:val="19"/>
          <w:color w:val="auto"/>
        </w:rPr>
        <w:t>months prior to and ending eighteen (18) months immediately following the consummation of a Change in Control.</w:t>
      </w:r>
    </w:p>
    <w:p>
      <w:pPr>
        <w:spacing w:after="0" w:line="130" w:lineRule="exact"/>
        <w:rPr>
          <w:rFonts w:ascii="Arial" w:cs="Arial" w:eastAsia="Arial" w:hAnsi="Arial"/>
          <w:sz w:val="19"/>
          <w:szCs w:val="19"/>
          <w:color w:val="auto"/>
        </w:rPr>
      </w:pPr>
    </w:p>
    <w:p>
      <w:pPr>
        <w:ind w:left="640" w:hanging="632"/>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21"/>
          <w:szCs w:val="21"/>
          <w:b w:val="1"/>
          <w:bCs w:val="1"/>
          <w:u w:val="single" w:color="auto"/>
          <w:color w:val="auto"/>
        </w:rPr>
        <w:t>Code</w:t>
      </w:r>
      <w:r>
        <w:rPr>
          <w:rFonts w:ascii="Arial" w:cs="Arial" w:eastAsia="Arial" w:hAnsi="Arial"/>
          <w:sz w:val="21"/>
          <w:szCs w:val="21"/>
          <w:color w:val="auto"/>
        </w:rPr>
        <w:t>. “Code” means the Internal Revenue Code of 1986, as amended.</w:t>
      </w:r>
    </w:p>
    <w:p>
      <w:pPr>
        <w:spacing w:after="0" w:line="212" w:lineRule="exact"/>
        <w:rPr>
          <w:rFonts w:ascii="Arial" w:cs="Arial" w:eastAsia="Arial" w:hAnsi="Arial"/>
          <w:sz w:val="21"/>
          <w:szCs w:val="21"/>
          <w:color w:val="auto"/>
        </w:rPr>
      </w:pPr>
    </w:p>
    <w:p>
      <w:pPr>
        <w:jc w:val="both"/>
        <w:ind w:left="640" w:right="100" w:hanging="632"/>
        <w:spacing w:after="0" w:line="222" w:lineRule="auto"/>
        <w:tabs>
          <w:tab w:leader="none" w:pos="628" w:val="left"/>
        </w:tabs>
        <w:numPr>
          <w:ilvl w:val="0"/>
          <w:numId w:val="30"/>
        </w:numPr>
        <w:rPr>
          <w:rFonts w:ascii="Arial" w:cs="Arial" w:eastAsia="Arial" w:hAnsi="Arial"/>
          <w:sz w:val="21"/>
          <w:szCs w:val="21"/>
          <w:color w:val="auto"/>
        </w:rPr>
      </w:pPr>
      <w:r>
        <w:rPr>
          <w:rFonts w:ascii="Arial" w:cs="Arial" w:eastAsia="Arial" w:hAnsi="Arial"/>
          <w:sz w:val="21"/>
          <w:szCs w:val="21"/>
          <w:b w:val="1"/>
          <w:bCs w:val="1"/>
          <w:u w:val="single" w:color="auto"/>
          <w:color w:val="auto"/>
        </w:rPr>
        <w:t>Disability</w:t>
      </w:r>
      <w:r>
        <w:rPr>
          <w:rFonts w:ascii="Arial" w:cs="Arial" w:eastAsia="Arial" w:hAnsi="Arial"/>
          <w:sz w:val="21"/>
          <w:szCs w:val="21"/>
          <w:color w:val="auto"/>
        </w:rPr>
        <w:t>. “Disability” or “Disabled” means that Executive is unable to engage in any substantial gainful activity by</w:t>
      </w:r>
      <w:r>
        <w:rPr>
          <w:rFonts w:ascii="Arial" w:cs="Arial" w:eastAsia="Arial" w:hAnsi="Arial"/>
          <w:sz w:val="21"/>
          <w:szCs w:val="21"/>
          <w:b w:val="1"/>
          <w:bCs w:val="1"/>
          <w:color w:val="auto"/>
        </w:rPr>
        <w:t xml:space="preserve"> </w:t>
      </w:r>
      <w:r>
        <w:rPr>
          <w:rFonts w:ascii="Arial" w:cs="Arial" w:eastAsia="Arial" w:hAnsi="Arial"/>
          <w:sz w:val="21"/>
          <w:szCs w:val="21"/>
          <w:color w:val="auto"/>
        </w:rPr>
        <w:t>reason of any medically determinable physical or mental impairment which can be expected, as determined by the usual process used by the Company for long term disability, to result in death or which has lasted, or can be expected to last, for a continuous period of not less than one (1) year.</w:t>
      </w:r>
    </w:p>
    <w:p>
      <w:pPr>
        <w:spacing w:after="0" w:line="170" w:lineRule="exact"/>
        <w:rPr>
          <w:rFonts w:ascii="Arial" w:cs="Arial" w:eastAsia="Arial" w:hAnsi="Arial"/>
          <w:sz w:val="21"/>
          <w:szCs w:val="21"/>
          <w:color w:val="auto"/>
        </w:rPr>
      </w:pPr>
    </w:p>
    <w:p>
      <w:pPr>
        <w:jc w:val="both"/>
        <w:ind w:left="640" w:right="100" w:hanging="632"/>
        <w:spacing w:after="0" w:line="227" w:lineRule="auto"/>
        <w:tabs>
          <w:tab w:leader="none" w:pos="631" w:val="left"/>
        </w:tabs>
        <w:numPr>
          <w:ilvl w:val="0"/>
          <w:numId w:val="30"/>
        </w:numPr>
        <w:rPr>
          <w:rFonts w:ascii="Arial" w:cs="Arial" w:eastAsia="Arial" w:hAnsi="Arial"/>
          <w:sz w:val="21"/>
          <w:szCs w:val="21"/>
          <w:color w:val="auto"/>
        </w:rPr>
      </w:pPr>
      <w:r>
        <w:rPr>
          <w:rFonts w:ascii="Arial" w:cs="Arial" w:eastAsia="Arial" w:hAnsi="Arial"/>
          <w:sz w:val="21"/>
          <w:szCs w:val="21"/>
          <w:b w:val="1"/>
          <w:bCs w:val="1"/>
          <w:u w:val="single" w:color="auto"/>
          <w:color w:val="auto"/>
        </w:rPr>
        <w:t>Good Reason</w:t>
      </w:r>
      <w:r>
        <w:rPr>
          <w:rFonts w:ascii="Arial" w:cs="Arial" w:eastAsia="Arial" w:hAnsi="Arial"/>
          <w:sz w:val="21"/>
          <w:szCs w:val="21"/>
          <w:color w:val="auto"/>
        </w:rPr>
        <w:t>. “Good Reason” means Executive’s resignation or termination of employment within thirty (30) days</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the expiration of any cure period (discussed below) following the occurrence of one or more of the following without Executive’s express written consent:</w:t>
      </w:r>
    </w:p>
    <w:p>
      <w:pPr>
        <w:spacing w:after="0" w:line="190" w:lineRule="exact"/>
        <w:rPr>
          <w:rFonts w:ascii="Arial" w:cs="Arial" w:eastAsia="Arial" w:hAnsi="Arial"/>
          <w:sz w:val="21"/>
          <w:szCs w:val="21"/>
          <w:color w:val="auto"/>
        </w:rPr>
      </w:pPr>
    </w:p>
    <w:p>
      <w:pPr>
        <w:jc w:val="both"/>
        <w:ind w:left="1260" w:right="100" w:hanging="629"/>
        <w:spacing w:after="0" w:line="245" w:lineRule="auto"/>
        <w:tabs>
          <w:tab w:leader="none" w:pos="1253" w:val="left"/>
        </w:tabs>
        <w:numPr>
          <w:ilvl w:val="1"/>
          <w:numId w:val="30"/>
        </w:numPr>
        <w:rPr>
          <w:rFonts w:ascii="Arial" w:cs="Arial" w:eastAsia="Arial" w:hAnsi="Arial"/>
          <w:sz w:val="19"/>
          <w:szCs w:val="19"/>
          <w:color w:val="auto"/>
        </w:rPr>
      </w:pPr>
      <w:r>
        <w:rPr>
          <w:rFonts w:ascii="Arial" w:cs="Arial" w:eastAsia="Arial" w:hAnsi="Arial"/>
          <w:sz w:val="19"/>
          <w:szCs w:val="19"/>
          <w:color w:val="auto"/>
        </w:rPr>
        <w:t>A material reduction of Executive’s title, position, duties, authority, or responsibilities (including reporting), relative to Executive’s title, position, duties, authority, or responsibilities in effect immediately prior to such reduction, including a change in duties resulting from a Change in Control so that Executive no longer has the responsibility of a Chief Executive Officer of the top-level entity (parent, acquiror, or merger partner)</w:t>
      </w:r>
    </w:p>
    <w:p>
      <w:pPr>
        <w:spacing w:after="0" w:line="185" w:lineRule="exact"/>
        <w:rPr>
          <w:rFonts w:ascii="Arial" w:cs="Arial" w:eastAsia="Arial" w:hAnsi="Arial"/>
          <w:sz w:val="19"/>
          <w:szCs w:val="19"/>
          <w:color w:val="auto"/>
        </w:rPr>
      </w:pPr>
    </w:p>
    <w:p>
      <w:pPr>
        <w:jc w:val="both"/>
        <w:ind w:left="1260" w:right="100" w:hanging="629"/>
        <w:spacing w:after="0" w:line="220" w:lineRule="auto"/>
        <w:tabs>
          <w:tab w:leader="none" w:pos="1259" w:val="left"/>
        </w:tabs>
        <w:numPr>
          <w:ilvl w:val="1"/>
          <w:numId w:val="30"/>
        </w:numPr>
        <w:rPr>
          <w:rFonts w:ascii="Arial" w:cs="Arial" w:eastAsia="Arial" w:hAnsi="Arial"/>
          <w:sz w:val="21"/>
          <w:szCs w:val="21"/>
          <w:color w:val="auto"/>
        </w:rPr>
      </w:pPr>
      <w:r>
        <w:rPr>
          <w:rFonts w:ascii="Arial" w:cs="Arial" w:eastAsia="Arial" w:hAnsi="Arial"/>
          <w:sz w:val="21"/>
          <w:szCs w:val="21"/>
          <w:color w:val="auto"/>
        </w:rPr>
        <w:t>A material reduction in Executive’s Base Salary or Target Bonus Percentage (except where there is a reduction applicable to all similarly situated executive officers generally) provided, that such a reduction of less than ten percent (10%) will not be considered a material reduction in Base Salary or Target Bonus Percentage;</w:t>
      </w:r>
    </w:p>
    <w:p>
      <w:pPr>
        <w:spacing w:after="0" w:line="178" w:lineRule="exact"/>
        <w:rPr>
          <w:rFonts w:ascii="Arial" w:cs="Arial" w:eastAsia="Arial" w:hAnsi="Arial"/>
          <w:sz w:val="21"/>
          <w:szCs w:val="21"/>
          <w:color w:val="auto"/>
        </w:rPr>
      </w:pPr>
    </w:p>
    <w:p>
      <w:pPr>
        <w:ind w:left="1260" w:right="100" w:hanging="629"/>
        <w:spacing w:after="0" w:line="253" w:lineRule="auto"/>
        <w:tabs>
          <w:tab w:leader="none" w:pos="1251"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requirement for Executive to report to a work facility or location other than Executive’s home office or required business travel, with the location of Executive’s home office to be of Executive’s choosing;</w:t>
      </w:r>
    </w:p>
    <w:p>
      <w:pPr>
        <w:spacing w:after="0" w:line="177" w:lineRule="exact"/>
        <w:rPr>
          <w:rFonts w:ascii="Arial" w:cs="Arial" w:eastAsia="Arial" w:hAnsi="Arial"/>
          <w:sz w:val="20"/>
          <w:szCs w:val="20"/>
          <w:color w:val="auto"/>
        </w:rPr>
      </w:pPr>
    </w:p>
    <w:p>
      <w:pPr>
        <w:ind w:left="1260" w:right="100" w:hanging="629"/>
        <w:spacing w:after="0" w:line="234" w:lineRule="auto"/>
        <w:tabs>
          <w:tab w:leader="none" w:pos="1239" w:val="left"/>
        </w:tabs>
        <w:numPr>
          <w:ilvl w:val="1"/>
          <w:numId w:val="30"/>
        </w:numPr>
        <w:rPr>
          <w:rFonts w:ascii="Arial" w:cs="Arial" w:eastAsia="Arial" w:hAnsi="Arial"/>
          <w:sz w:val="21"/>
          <w:szCs w:val="21"/>
          <w:color w:val="auto"/>
        </w:rPr>
      </w:pPr>
      <w:r>
        <w:rPr>
          <w:rFonts w:ascii="Arial" w:cs="Arial" w:eastAsia="Arial" w:hAnsi="Arial"/>
          <w:sz w:val="21"/>
          <w:szCs w:val="21"/>
          <w:color w:val="auto"/>
        </w:rPr>
        <w:t>A material change to the reporting structure of the Company, such that Executive no longer reports to the Board of the top-level parent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480"/>
          </w:cols>
          <w:pgMar w:left="1060" w:top="164"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80" w:right="1040" w:hanging="629"/>
        <w:spacing w:after="0" w:line="234" w:lineRule="auto"/>
        <w:tabs>
          <w:tab w:leader="none" w:pos="1866" w:val="left"/>
        </w:tabs>
        <w:numPr>
          <w:ilvl w:val="0"/>
          <w:numId w:val="31"/>
        </w:numPr>
        <w:rPr>
          <w:rFonts w:ascii="Arial" w:cs="Arial" w:eastAsia="Arial" w:hAnsi="Arial"/>
          <w:sz w:val="21"/>
          <w:szCs w:val="21"/>
          <w:color w:val="auto"/>
        </w:rPr>
      </w:pPr>
      <w:r>
        <w:rPr>
          <w:rFonts w:ascii="Arial" w:cs="Arial" w:eastAsia="Arial" w:hAnsi="Arial"/>
          <w:sz w:val="21"/>
          <w:szCs w:val="21"/>
          <w:color w:val="auto"/>
        </w:rPr>
        <w:t>A material breach by the Company of a material provision of this Agreement or any other material compensation agreement; or</w:t>
      </w:r>
    </w:p>
    <w:p>
      <w:pPr>
        <w:spacing w:after="0" w:line="178" w:lineRule="exact"/>
        <w:rPr>
          <w:rFonts w:ascii="Arial" w:cs="Arial" w:eastAsia="Arial" w:hAnsi="Arial"/>
          <w:sz w:val="21"/>
          <w:szCs w:val="21"/>
          <w:color w:val="auto"/>
        </w:rPr>
      </w:pPr>
    </w:p>
    <w:p>
      <w:pPr>
        <w:ind w:left="1860" w:hanging="609"/>
        <w:spacing w:after="0"/>
        <w:tabs>
          <w:tab w:leader="none" w:pos="18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Failure by the Board to nominate and support Executive to be a member of the Board.</w:t>
      </w:r>
    </w:p>
    <w:p>
      <w:pPr>
        <w:spacing w:after="0" w:line="213" w:lineRule="exact"/>
        <w:rPr>
          <w:sz w:val="20"/>
          <w:szCs w:val="20"/>
          <w:color w:val="auto"/>
        </w:rPr>
      </w:pPr>
    </w:p>
    <w:p>
      <w:pPr>
        <w:jc w:val="both"/>
        <w:ind w:left="1260" w:right="100"/>
        <w:spacing w:after="0" w:line="231" w:lineRule="auto"/>
        <w:rPr>
          <w:sz w:val="20"/>
          <w:szCs w:val="20"/>
          <w:color w:val="auto"/>
        </w:rPr>
      </w:pPr>
      <w:r>
        <w:rPr>
          <w:rFonts w:ascii="Arial" w:cs="Arial" w:eastAsia="Arial" w:hAnsi="Arial"/>
          <w:sz w:val="20"/>
          <w:szCs w:val="20"/>
          <w:color w:val="auto"/>
        </w:rPr>
        <w:t>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186" w:lineRule="exact"/>
        <w:rPr>
          <w:sz w:val="20"/>
          <w:szCs w:val="20"/>
          <w:color w:val="auto"/>
        </w:rPr>
      </w:pPr>
    </w:p>
    <w:p>
      <w:pPr>
        <w:jc w:val="both"/>
        <w:ind w:left="1260" w:right="100" w:hanging="632"/>
        <w:spacing w:after="0" w:line="227" w:lineRule="auto"/>
        <w:tabs>
          <w:tab w:leader="none" w:pos="1260" w:val="left"/>
        </w:tabs>
        <w:numPr>
          <w:ilvl w:val="1"/>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Governmental Authority</w:t>
      </w:r>
      <w:r>
        <w:rPr>
          <w:rFonts w:ascii="Arial" w:cs="Arial" w:eastAsia="Arial" w:hAnsi="Arial"/>
          <w:sz w:val="21"/>
          <w:szCs w:val="21"/>
          <w:color w:val="auto"/>
        </w:rPr>
        <w:t>. “Governmental Authority” means any federal, state, municipal, foreign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 governmental department, commission, board, bureau, agency or instrumentality, or any private or public court or tribunal.</w:t>
      </w:r>
    </w:p>
    <w:p>
      <w:pPr>
        <w:spacing w:after="0" w:line="171" w:lineRule="exact"/>
        <w:rPr>
          <w:rFonts w:ascii="Arial" w:cs="Arial" w:eastAsia="Arial" w:hAnsi="Arial"/>
          <w:sz w:val="21"/>
          <w:szCs w:val="21"/>
          <w:color w:val="auto"/>
        </w:rPr>
      </w:pPr>
    </w:p>
    <w:p>
      <w:pPr>
        <w:jc w:val="both"/>
        <w:ind w:left="1260" w:right="100" w:hanging="632"/>
        <w:spacing w:after="0" w:line="227" w:lineRule="auto"/>
        <w:tabs>
          <w:tab w:leader="none" w:pos="1260" w:val="left"/>
        </w:tabs>
        <w:numPr>
          <w:ilvl w:val="1"/>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Person</w:t>
      </w:r>
      <w:r>
        <w:rPr>
          <w:rFonts w:ascii="Arial" w:cs="Arial" w:eastAsia="Arial" w:hAnsi="Arial"/>
          <w:sz w:val="21"/>
          <w:szCs w:val="21"/>
          <w:color w:val="auto"/>
        </w:rPr>
        <w:t>. “Person” shall be construed in the broadest sense and means and includes any natural person, a partnership,</w:t>
      </w:r>
      <w:r>
        <w:rPr>
          <w:rFonts w:ascii="Arial" w:cs="Arial" w:eastAsia="Arial" w:hAnsi="Arial"/>
          <w:sz w:val="21"/>
          <w:szCs w:val="21"/>
          <w:b w:val="1"/>
          <w:bCs w:val="1"/>
          <w:color w:val="auto"/>
        </w:rPr>
        <w:t xml:space="preserve"> </w:t>
      </w:r>
      <w:r>
        <w:rPr>
          <w:rFonts w:ascii="Arial" w:cs="Arial" w:eastAsia="Arial" w:hAnsi="Arial"/>
          <w:sz w:val="21"/>
          <w:szCs w:val="21"/>
          <w:color w:val="auto"/>
        </w:rPr>
        <w:t>a corporation, an association, a joint stock company, a limited liability company, a trust, a joint venture, an unincorporated organization and other entity or Governmental Authority.</w:t>
      </w:r>
    </w:p>
    <w:p>
      <w:pPr>
        <w:spacing w:after="0" w:line="184" w:lineRule="exact"/>
        <w:rPr>
          <w:rFonts w:ascii="Arial" w:cs="Arial" w:eastAsia="Arial" w:hAnsi="Arial"/>
          <w:sz w:val="21"/>
          <w:szCs w:val="21"/>
          <w:color w:val="auto"/>
        </w:rPr>
      </w:pPr>
    </w:p>
    <w:p>
      <w:pPr>
        <w:ind w:left="1260" w:right="100" w:hanging="632"/>
        <w:spacing w:after="0" w:line="237" w:lineRule="auto"/>
        <w:tabs>
          <w:tab w:leader="none" w:pos="1253" w:val="left"/>
        </w:tabs>
        <w:numPr>
          <w:ilvl w:val="1"/>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“Section 409A” means Section 409A of the Code, and the final regulations and any guidance</w:t>
      </w:r>
      <w:r>
        <w:rPr>
          <w:rFonts w:ascii="Arial" w:cs="Arial" w:eastAsia="Arial" w:hAnsi="Arial"/>
          <w:sz w:val="21"/>
          <w:szCs w:val="21"/>
          <w:b w:val="1"/>
          <w:bCs w:val="1"/>
          <w:color w:val="auto"/>
        </w:rPr>
        <w:t xml:space="preserve"> </w:t>
      </w:r>
      <w:r>
        <w:rPr>
          <w:rFonts w:ascii="Arial" w:cs="Arial" w:eastAsia="Arial" w:hAnsi="Arial"/>
          <w:sz w:val="21"/>
          <w:szCs w:val="21"/>
          <w:color w:val="auto"/>
        </w:rPr>
        <w:t>promulgated thereunder or any state law equivalent.</w:t>
      </w:r>
    </w:p>
    <w:p>
      <w:pPr>
        <w:spacing w:after="0" w:line="162" w:lineRule="exact"/>
        <w:rPr>
          <w:rFonts w:ascii="Arial" w:cs="Arial" w:eastAsia="Arial" w:hAnsi="Arial"/>
          <w:sz w:val="21"/>
          <w:szCs w:val="21"/>
          <w:color w:val="auto"/>
        </w:rPr>
      </w:pPr>
    </w:p>
    <w:p>
      <w:pPr>
        <w:ind w:left="1240" w:hanging="612"/>
        <w:spacing w:after="0"/>
        <w:tabs>
          <w:tab w:leader="none" w:pos="1240" w:val="left"/>
        </w:tabs>
        <w:numPr>
          <w:ilvl w:val="1"/>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 Limit</w:t>
      </w:r>
      <w:r>
        <w:rPr>
          <w:rFonts w:ascii="Arial" w:cs="Arial" w:eastAsia="Arial" w:hAnsi="Arial"/>
          <w:sz w:val="21"/>
          <w:szCs w:val="21"/>
          <w:color w:val="auto"/>
        </w:rPr>
        <w:t>. “Section 409A Limit” shall mean two (2) times the lesser of:</w:t>
      </w:r>
    </w:p>
    <w:p>
      <w:pPr>
        <w:jc w:val="both"/>
        <w:ind w:left="1260" w:right="100" w:hanging="9"/>
        <w:spacing w:after="0" w:line="236" w:lineRule="auto"/>
        <w:tabs>
          <w:tab w:leader="none" w:pos="1536" w:val="left"/>
        </w:tabs>
        <w:numPr>
          <w:ilvl w:val="2"/>
          <w:numId w:val="32"/>
        </w:numPr>
        <w:rPr>
          <w:rFonts w:ascii="Arial" w:cs="Arial" w:eastAsia="Arial" w:hAnsi="Arial"/>
          <w:sz w:val="19"/>
          <w:szCs w:val="19"/>
          <w:color w:val="auto"/>
        </w:rPr>
      </w:pPr>
      <w:r>
        <w:rPr>
          <w:rFonts w:ascii="Arial" w:cs="Arial" w:eastAsia="Arial" w:hAnsi="Arial"/>
          <w:sz w:val="19"/>
          <w:szCs w:val="19"/>
          <w:color w:val="auto"/>
        </w:rPr>
        <w:t>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spacing w:after="0" w:line="186" w:lineRule="exact"/>
        <w:rPr>
          <w:rFonts w:ascii="Arial" w:cs="Arial" w:eastAsia="Arial" w:hAnsi="Arial"/>
          <w:sz w:val="19"/>
          <w:szCs w:val="19"/>
          <w:color w:val="auto"/>
        </w:rPr>
      </w:pPr>
    </w:p>
    <w:p>
      <w:pPr>
        <w:ind w:left="620" w:hanging="615"/>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Golden Parachute</w:t>
      </w:r>
      <w:r>
        <w:rPr>
          <w:rFonts w:ascii="Arial" w:cs="Arial" w:eastAsia="Arial" w:hAnsi="Arial"/>
          <w:sz w:val="21"/>
          <w:szCs w:val="21"/>
          <w:color w:val="auto"/>
        </w:rPr>
        <w:t>.</w:t>
      </w:r>
    </w:p>
    <w:p>
      <w:pPr>
        <w:spacing w:after="0" w:line="218" w:lineRule="exact"/>
        <w:rPr>
          <w:rFonts w:ascii="Arial" w:cs="Arial" w:eastAsia="Arial" w:hAnsi="Arial"/>
          <w:sz w:val="21"/>
          <w:szCs w:val="21"/>
          <w:color w:val="auto"/>
        </w:rPr>
      </w:pPr>
    </w:p>
    <w:p>
      <w:pPr>
        <w:jc w:val="both"/>
        <w:ind w:left="1260" w:right="100" w:hanging="633"/>
        <w:spacing w:after="0" w:line="223" w:lineRule="auto"/>
        <w:tabs>
          <w:tab w:leader="none" w:pos="1248"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if any payment or benefit Executive would receive from the Company or otherwise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0"/>
          <w:szCs w:val="20"/>
          <w:b w:val="1"/>
          <w:bCs w:val="1"/>
          <w:i w:val="1"/>
          <w:iCs w:val="1"/>
          <w:color w:val="auto"/>
        </w:rPr>
        <w:t>Excise Tax</w:t>
      </w:r>
      <w:r>
        <w:rPr>
          <w:rFonts w:ascii="Arial" w:cs="Arial" w:eastAsia="Arial" w:hAnsi="Arial"/>
          <w:sz w:val="20"/>
          <w:szCs w:val="20"/>
          <w:color w:val="auto"/>
        </w:rPr>
        <w:t>”), then such Payment shall be equal to the Reduced Amount. The “</w:t>
      </w:r>
      <w:r>
        <w:rPr>
          <w:rFonts w:ascii="Arial" w:cs="Arial" w:eastAsia="Arial" w:hAnsi="Arial"/>
          <w:sz w:val="20"/>
          <w:szCs w:val="20"/>
          <w:b w:val="1"/>
          <w:bCs w:val="1"/>
          <w:i w:val="1"/>
          <w:iCs w:val="1"/>
          <w:color w:val="auto"/>
        </w:rPr>
        <w:t>Reduced Amount</w:t>
      </w:r>
      <w:r>
        <w:rPr>
          <w:rFonts w:ascii="Arial" w:cs="Arial" w:eastAsia="Arial" w:hAnsi="Arial"/>
          <w:sz w:val="20"/>
          <w:szCs w:val="20"/>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100"/>
          </w:cols>
          <w:pgMar w:left="440" w:top="164"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spacing w:after="0" w:line="233" w:lineRule="auto"/>
        <w:rPr>
          <w:sz w:val="20"/>
          <w:szCs w:val="20"/>
          <w:color w:val="auto"/>
        </w:rPr>
      </w:pPr>
      <w:r>
        <w:rPr>
          <w:rFonts w:ascii="Arial" w:cs="Arial" w:eastAsia="Arial" w:hAnsi="Arial"/>
          <w:sz w:val="19"/>
          <w:szCs w:val="19"/>
          <w:color w:val="auto"/>
        </w:rPr>
        <w:t>shall be made in accordance with the following order of priority: (i) stock options whose exercise price exceeds the fair market value of the optioned stock (“</w:t>
      </w:r>
      <w:r>
        <w:rPr>
          <w:rFonts w:ascii="Arial" w:cs="Arial" w:eastAsia="Arial" w:hAnsi="Arial"/>
          <w:sz w:val="19"/>
          <w:szCs w:val="19"/>
          <w:b w:val="1"/>
          <w:bCs w:val="1"/>
          <w:i w:val="1"/>
          <w:iCs w:val="1"/>
          <w:color w:val="auto"/>
        </w:rPr>
        <w:t>Underwater Options</w:t>
      </w:r>
      <w:r>
        <w:rPr>
          <w:rFonts w:ascii="Arial" w:cs="Arial" w:eastAsia="Arial" w:hAnsi="Arial"/>
          <w:sz w:val="19"/>
          <w:szCs w:val="19"/>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shall be the first payment or benefit to be reduced (with reductions made pro- rata in the event payments or benefits are owed at the same time). “</w:t>
      </w:r>
      <w:r>
        <w:rPr>
          <w:rFonts w:ascii="Arial" w:cs="Arial" w:eastAsia="Arial" w:hAnsi="Arial"/>
          <w:sz w:val="19"/>
          <w:szCs w:val="19"/>
          <w:b w:val="1"/>
          <w:bCs w:val="1"/>
          <w:i w:val="1"/>
          <w:iCs w:val="1"/>
          <w:color w:val="auto"/>
        </w:rPr>
        <w:t>Full Credit Payment</w:t>
      </w:r>
      <w:r>
        <w:rPr>
          <w:rFonts w:ascii="Arial" w:cs="Arial" w:eastAsia="Arial" w:hAnsi="Arial"/>
          <w:sz w:val="19"/>
          <w:szCs w:val="19"/>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(1) dollar, determined as if such payment, distribution or benefit had been paid or distributed on the date of the event triggering the excise tax. “</w:t>
      </w:r>
      <w:r>
        <w:rPr>
          <w:rFonts w:ascii="Arial" w:cs="Arial" w:eastAsia="Arial" w:hAnsi="Arial"/>
          <w:sz w:val="19"/>
          <w:szCs w:val="19"/>
          <w:b w:val="1"/>
          <w:bCs w:val="1"/>
          <w:i w:val="1"/>
          <w:iCs w:val="1"/>
          <w:color w:val="auto"/>
        </w:rPr>
        <w:t>Partial Credit Payment</w:t>
      </w:r>
      <w:r>
        <w:rPr>
          <w:rFonts w:ascii="Arial" w:cs="Arial" w:eastAsia="Arial" w:hAnsi="Arial"/>
          <w:sz w:val="19"/>
          <w:szCs w:val="19"/>
          <w:color w:val="auto"/>
        </w:rPr>
        <w:t>” means any payment, distribution or benefit that is not a Full Credit Payment.</w:t>
      </w:r>
    </w:p>
    <w:p>
      <w:pPr>
        <w:spacing w:after="0" w:line="180" w:lineRule="exact"/>
        <w:rPr>
          <w:sz w:val="20"/>
          <w:szCs w:val="20"/>
          <w:color w:val="auto"/>
        </w:rPr>
      </w:pPr>
    </w:p>
    <w:p>
      <w:pPr>
        <w:jc w:val="both"/>
        <w:ind w:left="1260" w:right="100" w:hanging="632"/>
        <w:spacing w:after="0" w:line="245" w:lineRule="auto"/>
        <w:tabs>
          <w:tab w:leader="none" w:pos="12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 nationally recognized certified public accounting firm selected by the Company (the “</w:t>
      </w:r>
      <w:r>
        <w:rPr>
          <w:rFonts w:ascii="Arial" w:cs="Arial" w:eastAsia="Arial" w:hAnsi="Arial"/>
          <w:sz w:val="19"/>
          <w:szCs w:val="19"/>
          <w:b w:val="1"/>
          <w:bCs w:val="1"/>
          <w:i w:val="1"/>
          <w:iCs w:val="1"/>
          <w:color w:val="auto"/>
        </w:rPr>
        <w:t>Accounting Firm</w:t>
      </w:r>
      <w:r>
        <w:rPr>
          <w:rFonts w:ascii="Arial" w:cs="Arial" w:eastAsia="Arial" w:hAnsi="Arial"/>
          <w:sz w:val="19"/>
          <w:szCs w:val="19"/>
          <w:color w:val="auto"/>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spacing w:after="0" w:line="185" w:lineRule="exact"/>
        <w:rPr>
          <w:rFonts w:ascii="Arial" w:cs="Arial" w:eastAsia="Arial" w:hAnsi="Arial"/>
          <w:sz w:val="19"/>
          <w:szCs w:val="19"/>
          <w:color w:val="auto"/>
        </w:rPr>
      </w:pPr>
    </w:p>
    <w:p>
      <w:pPr>
        <w:jc w:val="both"/>
        <w:ind w:left="1260" w:right="100" w:hanging="632"/>
        <w:spacing w:after="0" w:line="231" w:lineRule="auto"/>
        <w:tabs>
          <w:tab w:leader="none" w:pos="12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185" w:lineRule="exact"/>
        <w:rPr>
          <w:rFonts w:ascii="Arial" w:cs="Arial" w:eastAsia="Arial" w:hAnsi="Arial"/>
          <w:sz w:val="20"/>
          <w:szCs w:val="20"/>
          <w:color w:val="auto"/>
        </w:rPr>
      </w:pPr>
    </w:p>
    <w:p>
      <w:pPr>
        <w:jc w:val="both"/>
        <w:ind w:left="620" w:right="80" w:hanging="615"/>
        <w:spacing w:after="0" w:line="234" w:lineRule="auto"/>
        <w:tabs>
          <w:tab w:leader="none" w:pos="62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To the fullest extent permitted by applicable law, Executive and the Company agree that any and all disputes,</w:t>
      </w:r>
      <w:r>
        <w:rPr>
          <w:rFonts w:ascii="Arial" w:cs="Arial" w:eastAsia="Arial" w:hAnsi="Arial"/>
          <w:sz w:val="19"/>
          <w:szCs w:val="19"/>
          <w:b w:val="1"/>
          <w:bCs w:val="1"/>
          <w:color w:val="auto"/>
        </w:rPr>
        <w:t xml:space="preserve"> </w:t>
      </w:r>
      <w:r>
        <w:rPr>
          <w:rFonts w:ascii="Arial" w:cs="Arial" w:eastAsia="Arial" w:hAnsi="Arial"/>
          <w:sz w:val="19"/>
          <w:szCs w:val="19"/>
          <w:color w:val="auto"/>
        </w:rPr>
        <w:t>demands, claims, or controversies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California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00"/>
          </w:cols>
          <w:pgMar w:left="440" w:top="164"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20" w:right="100"/>
        <w:spacing w:after="0" w:line="217" w:lineRule="auto"/>
        <w:rPr>
          <w:sz w:val="20"/>
          <w:szCs w:val="20"/>
          <w:color w:val="auto"/>
        </w:rPr>
      </w:pPr>
      <w:r>
        <w:rPr>
          <w:rFonts w:ascii="Arial" w:cs="Arial" w:eastAsia="Arial" w:hAnsi="Arial"/>
          <w:sz w:val="21"/>
          <w:szCs w:val="21"/>
          <w:color w:val="auto"/>
        </w:rPr>
        <w:t>government agency process. The parties hereto agree that claims shall be resolved on an individual basis only, and not on a class, collective, or representative basis on behalf of other employees to the fullest extent permitted by applicable law (“</w:t>
      </w:r>
      <w:r>
        <w:rPr>
          <w:rFonts w:ascii="Arial" w:cs="Arial" w:eastAsia="Arial" w:hAnsi="Arial"/>
          <w:sz w:val="21"/>
          <w:szCs w:val="21"/>
          <w:b w:val="1"/>
          <w:bCs w:val="1"/>
          <w:i w:val="1"/>
          <w:iCs w:val="1"/>
          <w:color w:val="auto"/>
        </w:rPr>
        <w:t>Class Waiver</w:t>
      </w:r>
      <w:r>
        <w:rPr>
          <w:rFonts w:ascii="Arial" w:cs="Arial" w:eastAsia="Arial" w:hAnsi="Arial"/>
          <w:sz w:val="21"/>
          <w:szCs w:val="21"/>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180" w:lineRule="exact"/>
        <w:rPr>
          <w:sz w:val="20"/>
          <w:szCs w:val="20"/>
          <w:color w:val="auto"/>
        </w:rPr>
      </w:pPr>
    </w:p>
    <w:p>
      <w:pPr>
        <w:jc w:val="both"/>
        <w:ind w:left="620" w:right="100"/>
        <w:spacing w:after="0" w:line="229" w:lineRule="auto"/>
        <w:rPr>
          <w:sz w:val="20"/>
          <w:szCs w:val="20"/>
          <w:color w:val="auto"/>
        </w:rPr>
      </w:pPr>
      <w:r>
        <w:rPr>
          <w:rFonts w:ascii="Arial" w:cs="Arial" w:eastAsia="Arial" w:hAnsi="Arial"/>
          <w:sz w:val="19"/>
          <w:szCs w:val="19"/>
          <w:color w:val="auto"/>
        </w:rPr>
        <w:t>The parties agree that the arbitration shall be conducted by a single neutral arbitrator through JAMS in accordance with JAMS Employment Arbitration Rules and Procedures (available at www.jamsadr.com/rules-employment-arbitration). Except as to the Class Waiver, the arbitrator shall determine arbitrability. The Company shall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shall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shall be given full force and effect. By signing the offer letter, Executive acknowledges and agrees that Executive has read this arbitration agreement carefully, are bound by it and are</w:t>
      </w:r>
    </w:p>
    <w:p>
      <w:pPr>
        <w:spacing w:after="0" w:line="9" w:lineRule="exact"/>
        <w:rPr>
          <w:sz w:val="20"/>
          <w:szCs w:val="20"/>
          <w:color w:val="auto"/>
        </w:rPr>
      </w:pPr>
    </w:p>
    <w:p>
      <w:pPr>
        <w:jc w:val="both"/>
        <w:ind w:left="620" w:right="100"/>
        <w:spacing w:after="0" w:line="225" w:lineRule="auto"/>
        <w:rPr>
          <w:sz w:val="20"/>
          <w:szCs w:val="20"/>
          <w:color w:val="auto"/>
        </w:rPr>
      </w:pPr>
      <w:r>
        <w:rPr>
          <w:rFonts w:ascii="Arial" w:cs="Arial" w:eastAsia="Arial" w:hAnsi="Arial"/>
          <w:sz w:val="21"/>
          <w:szCs w:val="21"/>
          <w:color w:val="auto"/>
        </w:rPr>
        <w:t>WAIVING ANY RIGHT TO HAVE A TRIAL BEFORE A COURT OR JURY OF ANY AND ALL CLAIMS SUBJECT TO ARBITRATION UNDER THIS ARBITRATION AGREEMENT.</w:t>
      </w:r>
    </w:p>
    <w:p>
      <w:pPr>
        <w:spacing w:after="0" w:line="185" w:lineRule="exact"/>
        <w:rPr>
          <w:sz w:val="20"/>
          <w:szCs w:val="20"/>
          <w:color w:val="auto"/>
        </w:rPr>
      </w:pPr>
    </w:p>
    <w:p>
      <w:pPr>
        <w:ind w:left="620" w:hanging="615"/>
        <w:spacing w:after="0"/>
        <w:tabs>
          <w:tab w:leader="none" w:pos="62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1240" w:right="100" w:hanging="623"/>
        <w:spacing w:after="0" w:line="233" w:lineRule="auto"/>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19"/>
          <w:szCs w:val="19"/>
          <w:b w:val="1"/>
          <w:bCs w:val="1"/>
          <w:u w:val="single" w:color="auto"/>
          <w:color w:val="auto"/>
        </w:rPr>
        <w:t>Unauthorized Disclosure</w:t>
      </w:r>
      <w:r>
        <w:rPr>
          <w:rFonts w:ascii="Arial" w:cs="Arial" w:eastAsia="Arial" w:hAnsi="Arial"/>
          <w:sz w:val="19"/>
          <w:szCs w:val="19"/>
          <w:color w:val="auto"/>
        </w:rPr>
        <w:t>. Executive agrees and understands that, in Executive’s position with the Company,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Executive has been and will be exposed to, and will receive, information relating to the confidential affairs of the Company and its affiliates, including, without limitation, technical information, intellectual property, business and marketing plans, strategies, customer information, software, other information concerning the products, promotions, development, financing, expansion plans, and business policies and practices of the Company and its affiliates, and other forms of information considered by the Company and its affiliates to be confidential or in the nature of trade secrets (including, without limitation, ideas, research and development, know-how, formulas, technical data, designs, drawings, specifications, customer and supplier lists, pricing and cost information, and business and marketing plans and proposals) (collectively, the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Confidential Information does not include information that is generally known to the public or within the relevant trade or industry other than due to Executive’s violation of this Section 11(a) or disclosure by a third party who is known by Executive to owe the Company or any of its affiliates an obligation of confidentiality with respect to such information. Executive agrees that, at all times during Executive’s employment with the Company and thereafter, Executive will not disclose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100"/>
          </w:cols>
          <w:pgMar w:left="440" w:top="164"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60" w:right="100"/>
        <w:spacing w:after="0" w:line="229" w:lineRule="auto"/>
        <w:rPr>
          <w:sz w:val="20"/>
          <w:szCs w:val="20"/>
          <w:color w:val="auto"/>
        </w:rPr>
      </w:pPr>
      <w:r>
        <w:rPr>
          <w:rFonts w:ascii="Arial" w:cs="Arial" w:eastAsia="Arial" w:hAnsi="Arial"/>
          <w:sz w:val="19"/>
          <w:szCs w:val="19"/>
          <w:color w:val="auto"/>
        </w:rPr>
        <w:t>Confidential Information, either directly or indirectly, to any individual, corporation, partnership, limited liability company, association, trust, or other entity or organization, including Person without the prior written consent of the Company and will not use or attempt to use any such information in any manner, other than in connection with the performance of Executive’s services hereunder, unless required by law or court order or subpoena or by governmental or regulatory investigation to disclose such information, in which case Executive agrees to provide the Company, if legally permitted, with written notice of such requirement as far in advance of such anticipated disclosure as possible. This confidentiality covenant has no temporal, geographical, or territorial restriction. Upon termination of Executive’s employment with the Company, Executive agrees to promptly return to the Company all property, keys, notes, memoranda, writings, lists, files, reports, customer lists, correspondence, tapes, disks, cards, surveys, maps, logs, machines, technical data, and any other tangible product or document that has been produced by, received by, or otherwise submitted to Executive during or prior to Executive’s employment with the Company, and any copies thereof in Executive’s (or capable of being reduced to Executive’s) possession, provided, that Executive may retain copies of his contacts, calendars and personal correspondence, and any information reasonably needed for personal tax return preparation purposes. Nothing herein is intended to prevent or restrict Executive from disclosing Confidential Information to the extent required by law. Additionally, nothing herein is intended to impair Executive’s right to communicate, cooperate, or file a complaint with any U.S. federal, state, or local governmental or law enforcement branch, agency, or entity (collectively, a “</w:t>
      </w:r>
      <w:r>
        <w:rPr>
          <w:rFonts w:ascii="Arial" w:cs="Arial" w:eastAsia="Arial" w:hAnsi="Arial"/>
          <w:sz w:val="19"/>
          <w:szCs w:val="19"/>
          <w:b w:val="1"/>
          <w:bCs w:val="1"/>
          <w:i w:val="1"/>
          <w:iCs w:val="1"/>
          <w:color w:val="auto"/>
        </w:rPr>
        <w:t>Governmental Entity</w:t>
      </w:r>
      <w:r>
        <w:rPr>
          <w:rFonts w:ascii="Arial" w:cs="Arial" w:eastAsia="Arial" w:hAnsi="Arial"/>
          <w:sz w:val="19"/>
          <w:szCs w:val="19"/>
          <w:color w:val="auto"/>
        </w:rPr>
        <w:t>”) with respect to possible violations of any</w:t>
      </w:r>
    </w:p>
    <w:p>
      <w:pPr>
        <w:spacing w:after="0" w:line="4" w:lineRule="exact"/>
        <w:rPr>
          <w:sz w:val="20"/>
          <w:szCs w:val="20"/>
          <w:color w:val="auto"/>
        </w:rPr>
      </w:pPr>
    </w:p>
    <w:p>
      <w:pPr>
        <w:jc w:val="both"/>
        <w:ind w:left="260" w:right="100"/>
        <w:spacing w:after="0" w:line="230" w:lineRule="auto"/>
        <w:rPr>
          <w:sz w:val="20"/>
          <w:szCs w:val="20"/>
          <w:color w:val="auto"/>
        </w:rPr>
      </w:pPr>
      <w:r>
        <w:rPr>
          <w:rFonts w:ascii="Arial" w:cs="Arial" w:eastAsia="Arial" w:hAnsi="Arial"/>
          <w:sz w:val="19"/>
          <w:szCs w:val="19"/>
          <w:color w:val="auto"/>
        </w:rPr>
        <w:t>U.S. federal, state, or local law or regulation, or otherwise make disclosures to any Governmental Entity, in each case, that are protected under the whistleblower or similar provisions of any such law or regulation, provided that in each case such communications and disclosures are consistent with applicable law. Nothing herein is intended to impair Executive’s right to receive an award from a Governmental Entity for information provided under any whistleblower or similar program. Executive may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Executive may not be held criminally or civilly liable under any federal or state trade secret law for the disclosure of a trade secret that is made in a complaint or other document filed in a lawsuit or other proceeding, provided that such filing is made under seal. If Executive files a lawsuit for retaliation by the Company for reporting a suspected violation of law, Executive may disclose the trade secret to Executive’s attorney and use the trade secret information in any related court proceeding, provided that Executive files any document containing the trade secret under seal and does not disclose the trade secret except pursuant to court order. In addition, Executive may disclose Confidential Information to his counsel and financial advisors and, if reasonably appropriate, pursuant to any legal process between Executive and the Company, provided that they are advised of the terms of this Section 11(a) and reasonably agree to be bound by the same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6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100"/>
          </w:cols>
          <w:pgMar w:left="1440" w:top="164"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40" w:right="100" w:hanging="632"/>
        <w:spacing w:after="0" w:line="230" w:lineRule="auto"/>
        <w:tabs>
          <w:tab w:leader="none" w:pos="640"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By and in consideration of the Company’s entering into this Agreement, and in further</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of Executive’s prior and future exposure to the Confidential Information, Executive agrees that Executive will not, during the Term and for a period of eighteen (18) months after Executive’s termination of employment for any reason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 directly or indirectly, own, manage, operate, join, control, be employed by, or participate in the ownership, management, operation, or control of, or be connected in any manner with, including, without limitation, holding any position as a stockholder, director, officer, consultant, independent contractor, employee, partner, or investor in, any Restricted Enterprise (as defined below), provided that in no event will Executive’s ownership of two percent or less of the outstanding securities of any class of any issuer, standing alone, be prohibited by this Section 11(b) so long as Executive does not have, or exercise, any rights to manage or operate the business of such issuer other than rights as a shareholder thereof. For purposes of this paragraph, “</w:t>
      </w:r>
      <w:r>
        <w:rPr>
          <w:rFonts w:ascii="Arial" w:cs="Arial" w:eastAsia="Arial" w:hAnsi="Arial"/>
          <w:sz w:val="19"/>
          <w:szCs w:val="19"/>
          <w:u w:val="single" w:color="auto"/>
          <w:color w:val="auto"/>
        </w:rPr>
        <w:t>Restricted Enterprise</w:t>
      </w:r>
      <w:r>
        <w:rPr>
          <w:rFonts w:ascii="Arial" w:cs="Arial" w:eastAsia="Arial" w:hAnsi="Arial"/>
          <w:sz w:val="19"/>
          <w:szCs w:val="19"/>
          <w:color w:val="auto"/>
        </w:rPr>
        <w:t>” means any Person that is engaged, directly or indirectly, in (or intends or proposes to engage in, or has been organized for the purpose of engaging in) the business of providing Medicare Advantage insurance or providing other services or software to Medicare Advantage insurers or healthcare providers for the treatment of Medicare beneficiaries, the business of participating in the Global and Professional Direct Contracting Model (DC Model) of the Centers for Medicare and Medicaid Services (CMS) or the ACO REACH Model (or any successor CMS program) or any other similar medical insurance or medical risk sharing business that is (i) conducted by the Company or any of its subsidiaries during the 12 months preceding the date of determination (provided, that following Executive’s termination of employment, the 12 months preceding the date of termination of Executive’s employment with the Company shall apply) unless such business has been discontinued by the Company or (ii) proposed to be conducted by the Company or any of its subsidiaries in the Company’s business plan as in effect at that time (provided, that, following Executive’s termination of employment, the business plan as in effect as of Termination Date), in either case in any country or territory in which the Company or any of its subsidiaries markets any of its services or products or has plans to begin marketing any of its services or products. During the Restriction Period, upon request of the Company, Executive agrees to notify the Company of Executive’s then-current employment status and to provide reasonable details regarding any professional engagement that is reasonably necessary for the Board to ascertain whether Executive is in breach of this Section 11(b). Notwithstanding the foregoing, Executive shall be permitted to provide services to a unit or division or subsidiary of a Restricted Enterprise if such unit, division, affiliate or subsidiary is not itself engaged in the business that is causing the entity to be a Restricted Enterprise and reasonable and appropriate information walls are established.</w:t>
      </w:r>
    </w:p>
    <w:p>
      <w:pPr>
        <w:spacing w:after="0" w:line="184" w:lineRule="exact"/>
        <w:rPr>
          <w:rFonts w:ascii="Arial" w:cs="Arial" w:eastAsia="Arial" w:hAnsi="Arial"/>
          <w:sz w:val="19"/>
          <w:szCs w:val="19"/>
          <w:color w:val="auto"/>
        </w:rPr>
      </w:pPr>
    </w:p>
    <w:p>
      <w:pPr>
        <w:jc w:val="both"/>
        <w:ind w:left="640" w:right="100" w:hanging="632"/>
        <w:spacing w:after="0" w:line="238" w:lineRule="auto"/>
        <w:tabs>
          <w:tab w:leader="none" w:pos="628"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Non-Solicitation of Employees</w:t>
      </w:r>
      <w:r>
        <w:rPr>
          <w:rFonts w:ascii="Arial" w:cs="Arial" w:eastAsia="Arial" w:hAnsi="Arial"/>
          <w:sz w:val="20"/>
          <w:szCs w:val="20"/>
          <w:color w:val="auto"/>
        </w:rPr>
        <w:t>. During the Restriction Period, Executive agrees not to, directly or indirectly, hire,</w:t>
      </w:r>
      <w:r>
        <w:rPr>
          <w:rFonts w:ascii="Arial" w:cs="Arial" w:eastAsia="Arial" w:hAnsi="Arial"/>
          <w:sz w:val="20"/>
          <w:szCs w:val="20"/>
          <w:b w:val="1"/>
          <w:bCs w:val="1"/>
          <w:color w:val="auto"/>
        </w:rPr>
        <w:t xml:space="preserve"> </w:t>
      </w:r>
      <w:r>
        <w:rPr>
          <w:rFonts w:ascii="Arial" w:cs="Arial" w:eastAsia="Arial" w:hAnsi="Arial"/>
          <w:sz w:val="20"/>
          <w:szCs w:val="20"/>
          <w:color w:val="auto"/>
        </w:rPr>
        <w:t>contact, induce, or solicit (or assist any Person to hire, contact, induce, or solicit) for employment or engagement for services any person who is, or within twelve (12) months prior to the date of such 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480"/>
          </w:cols>
          <w:pgMar w:left="1060" w:top="164" w:right="359" w:bottom="1440" w:gutter="0" w:footer="0" w:header="0"/>
        </w:sectPr>
      </w:pPr>
    </w:p>
    <w:bookmarkStart w:id="64" w:name="page65"/>
    <w:bookmarkEnd w:id="64"/>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contacting, inducing, or solicitation was, an employee of the Company or any of its affiliates.</w:t>
      </w:r>
    </w:p>
    <w:p>
      <w:pPr>
        <w:spacing w:after="0" w:line="194" w:lineRule="exact"/>
        <w:rPr>
          <w:sz w:val="20"/>
          <w:szCs w:val="20"/>
          <w:color w:val="auto"/>
        </w:rPr>
      </w:pPr>
    </w:p>
    <w:p>
      <w:pPr>
        <w:jc w:val="both"/>
        <w:ind w:left="640" w:right="100" w:hanging="632"/>
        <w:spacing w:after="0" w:line="247" w:lineRule="auto"/>
        <w:tabs>
          <w:tab w:leader="none" w:pos="640"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 of Customers</w:t>
      </w:r>
      <w:r>
        <w:rPr>
          <w:rFonts w:ascii="Arial" w:cs="Arial" w:eastAsia="Arial" w:hAnsi="Arial"/>
          <w:sz w:val="19"/>
          <w:szCs w:val="19"/>
          <w:color w:val="auto"/>
        </w:rPr>
        <w:t>. During the Restriction Period, Executive shall not, and shall cause its controlled</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not to, directly or indirectly, attempt to entice away from the Company any Person who within the twelve (12) month period prior to the date Executive’s employment terminates, known by Executive to be a customer or client of, supplier, vendor or service provider to, or other person having business relations with, the Company.</w:t>
      </w:r>
    </w:p>
    <w:p>
      <w:pPr>
        <w:spacing w:after="0" w:line="177" w:lineRule="exact"/>
        <w:rPr>
          <w:rFonts w:ascii="Arial" w:cs="Arial" w:eastAsia="Arial" w:hAnsi="Arial"/>
          <w:sz w:val="19"/>
          <w:szCs w:val="19"/>
          <w:color w:val="auto"/>
        </w:rPr>
      </w:pPr>
    </w:p>
    <w:p>
      <w:pPr>
        <w:jc w:val="both"/>
        <w:ind w:left="640" w:right="100" w:hanging="632"/>
        <w:spacing w:after="0" w:line="227" w:lineRule="auto"/>
        <w:tabs>
          <w:tab w:leader="none" w:pos="628"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Interference with Business Relationships</w:t>
      </w:r>
      <w:r>
        <w:rPr>
          <w:rFonts w:ascii="Arial" w:cs="Arial" w:eastAsia="Arial" w:hAnsi="Arial"/>
          <w:sz w:val="20"/>
          <w:szCs w:val="20"/>
          <w:color w:val="auto"/>
        </w:rPr>
        <w:t>. During the Restriction Period (other than in connection with carrying</w:t>
      </w:r>
      <w:r>
        <w:rPr>
          <w:rFonts w:ascii="Arial" w:cs="Arial" w:eastAsia="Arial" w:hAnsi="Arial"/>
          <w:sz w:val="20"/>
          <w:szCs w:val="20"/>
          <w:b w:val="1"/>
          <w:bCs w:val="1"/>
          <w:color w:val="auto"/>
        </w:rPr>
        <w:t xml:space="preserve"> </w:t>
      </w:r>
      <w:r>
        <w:rPr>
          <w:rFonts w:ascii="Arial" w:cs="Arial" w:eastAsia="Arial" w:hAnsi="Arial"/>
          <w:sz w:val="20"/>
          <w:szCs w:val="20"/>
          <w:color w:val="auto"/>
        </w:rPr>
        <w:t>out Executive’s responsibilities for the Company and its affiliates), Executive agrees not to directly or indirectly induce or solicit (or assist any Person to induce or solicit) any customer or client of the Company or its affiliates to terminate its relationship or otherwise cease doing business in whole or in part with the Company or its affiliates, or directly or indirectly interfere with (or assist any Person to interfere with) any material relationship between the Company or its affiliates and any of its or their customers or clients.</w:t>
      </w:r>
    </w:p>
    <w:p>
      <w:pPr>
        <w:spacing w:after="0" w:line="177" w:lineRule="exact"/>
        <w:rPr>
          <w:rFonts w:ascii="Arial" w:cs="Arial" w:eastAsia="Arial" w:hAnsi="Arial"/>
          <w:sz w:val="20"/>
          <w:szCs w:val="20"/>
          <w:color w:val="auto"/>
        </w:rPr>
      </w:pPr>
    </w:p>
    <w:p>
      <w:pPr>
        <w:ind w:left="620" w:hanging="612"/>
        <w:spacing w:after="0"/>
        <w:tabs>
          <w:tab w:leader="none" w:pos="620"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During the Employment Period and at all times thereafter,</w:t>
      </w:r>
    </w:p>
    <w:p>
      <w:pPr>
        <w:jc w:val="both"/>
        <w:ind w:left="640" w:right="80"/>
        <w:spacing w:after="0" w:line="230" w:lineRule="auto"/>
        <w:rPr>
          <w:rFonts w:ascii="Arial" w:cs="Arial" w:eastAsia="Arial" w:hAnsi="Arial"/>
          <w:sz w:val="21"/>
          <w:szCs w:val="21"/>
          <w:color w:val="auto"/>
        </w:rPr>
      </w:pPr>
      <w:r>
        <w:rPr>
          <w:rFonts w:ascii="Arial" w:cs="Arial" w:eastAsia="Arial" w:hAnsi="Arial"/>
          <w:sz w:val="19"/>
          <w:szCs w:val="19"/>
          <w:color w:val="auto"/>
        </w:rPr>
        <w:t>(i) Executive agrees he shall not, directly or indirectly, make or encourage any other individual to make any public or private comments, orally or in written form (including, without limitation by e-mail or other electronic transmission), whether or not true, that would “disparage” the Company, or any of its officers, directors, managers, or significant stockholders and (ii) the Company agrees not to issue any public statement, whether or not true, that would “disparage” Executive, and shall advise its officers and directors not to make any such statement on the Company’s behalf. “Disparaging” statements are those which impugn the character, capabilities, reputation, or integrity of the aforesaid individuals or entity or which accuse the aforesaid individuals or entity of acting in violation of any law or governmental regulation or of condoning any such action, or otherwise acting in an unprofessional, dishonest, disreputable, improper, incompetent or negligent manner, but shall not include truthful statements required by subpoena or the order or directive of a court or other Governmental Authority or legal body having jurisdiction over such matter. Notwithstanding the foregoing, nothing in this Agreement shall preclude the parties hereto or their successors from making truthful statements in the proper performance of their jobs or that are required by applicable law, regulation, subpoena or the order or directive of a court or other Governmental Authority or legal body having jurisdiction over such matter, and the parties shall not violate this provision in making truthful statements in response to disparaging statements made by the other party or by making truthful statements pursuant to any legal agreement between Executive and the Company or any of its affiliates.</w:t>
      </w:r>
    </w:p>
    <w:p>
      <w:pPr>
        <w:spacing w:after="0" w:line="182" w:lineRule="exact"/>
        <w:rPr>
          <w:rFonts w:ascii="Arial" w:cs="Arial" w:eastAsia="Arial" w:hAnsi="Arial"/>
          <w:sz w:val="21"/>
          <w:szCs w:val="21"/>
          <w:color w:val="auto"/>
        </w:rPr>
      </w:pPr>
    </w:p>
    <w:p>
      <w:pPr>
        <w:ind w:left="640" w:right="100" w:hanging="632"/>
        <w:spacing w:after="0" w:line="285" w:lineRule="auto"/>
        <w:tabs>
          <w:tab w:leader="none" w:pos="640"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 to Work</w:t>
      </w:r>
      <w:r>
        <w:rPr>
          <w:rFonts w:ascii="Arial" w:cs="Arial" w:eastAsia="Arial" w:hAnsi="Arial"/>
          <w:sz w:val="19"/>
          <w:szCs w:val="19"/>
          <w:color w:val="auto"/>
        </w:rPr>
        <w:t>. For purposes of federal immigration law, Executive will be required, if Executive has not already,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to the Company documentary evidence of Executive’s identity and eligibility for employment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480"/>
          </w:cols>
          <w:pgMar w:left="1060" w:top="164"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80"/>
        <w:spacing w:after="0" w:line="234" w:lineRule="auto"/>
        <w:rPr>
          <w:sz w:val="20"/>
          <w:szCs w:val="20"/>
          <w:color w:val="auto"/>
        </w:rPr>
      </w:pPr>
      <w:r>
        <w:rPr>
          <w:rFonts w:ascii="Arial" w:cs="Arial" w:eastAsia="Arial" w:hAnsi="Arial"/>
          <w:sz w:val="21"/>
          <w:szCs w:val="21"/>
          <w:color w:val="auto"/>
        </w:rPr>
        <w:t>States. Such documentation must be provided to the Company upon request of the Company, or the Employment relationship with Executive may be terminated.</w:t>
      </w:r>
    </w:p>
    <w:p>
      <w:pPr>
        <w:spacing w:after="0" w:line="172" w:lineRule="exact"/>
        <w:rPr>
          <w:sz w:val="20"/>
          <w:szCs w:val="20"/>
          <w:color w:val="auto"/>
        </w:rPr>
      </w:pPr>
    </w:p>
    <w:p>
      <w:pPr>
        <w:ind w:left="620" w:hanging="615"/>
        <w:spacing w:after="0"/>
        <w:tabs>
          <w:tab w:leader="none" w:pos="620"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left="1260" w:right="100" w:hanging="632"/>
        <w:spacing w:after="0" w:line="218" w:lineRule="auto"/>
        <w:tabs>
          <w:tab w:leader="none" w:pos="1260" w:val="left"/>
        </w:tabs>
        <w:numPr>
          <w:ilvl w:val="1"/>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Company’s Successors</w:t>
      </w:r>
      <w:r>
        <w:rPr>
          <w:rFonts w:ascii="Arial" w:cs="Arial" w:eastAsia="Arial" w:hAnsi="Arial"/>
          <w:sz w:val="21"/>
          <w:szCs w:val="21"/>
          <w:color w:val="auto"/>
        </w:rPr>
        <w:t>. This Agreement shall be binding upon any successor (whether direct or indirect and</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by purchase, lease, merger, consolidation, liquidation or otherwise) to all or substantially all of the Company’s business and/or assets. For all purposes under this Agreement,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successor to the Company’s business or assets that become bound by this Agreement or any affiliate of any such successor that employs Executive.</w:t>
      </w:r>
    </w:p>
    <w:p>
      <w:pPr>
        <w:spacing w:after="0" w:line="188" w:lineRule="exact"/>
        <w:rPr>
          <w:rFonts w:ascii="Arial" w:cs="Arial" w:eastAsia="Arial" w:hAnsi="Arial"/>
          <w:sz w:val="21"/>
          <w:szCs w:val="21"/>
          <w:color w:val="auto"/>
        </w:rPr>
      </w:pPr>
    </w:p>
    <w:p>
      <w:pPr>
        <w:jc w:val="both"/>
        <w:ind w:left="1260" w:right="100" w:hanging="632"/>
        <w:spacing w:after="0" w:line="227" w:lineRule="auto"/>
        <w:tabs>
          <w:tab w:leader="none" w:pos="1253" w:val="left"/>
        </w:tabs>
        <w:numPr>
          <w:ilvl w:val="1"/>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Executive’s Successors</w:t>
      </w:r>
      <w:r>
        <w:rPr>
          <w:rFonts w:ascii="Arial" w:cs="Arial" w:eastAsia="Arial" w:hAnsi="Arial"/>
          <w:sz w:val="21"/>
          <w:szCs w:val="21"/>
          <w:color w:val="auto"/>
        </w:rPr>
        <w:t>. This Agreement and all of Executive’s rights hereunder shall inure to the benefit of, and be</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enforceable by, Executive’s personal or legal representatives, executors, administrators, successors, heirs, distributees, devisees and legatees.</w:t>
      </w:r>
    </w:p>
    <w:p>
      <w:pPr>
        <w:spacing w:after="0" w:line="171" w:lineRule="exact"/>
        <w:rPr>
          <w:rFonts w:ascii="Arial" w:cs="Arial" w:eastAsia="Arial" w:hAnsi="Arial"/>
          <w:sz w:val="21"/>
          <w:szCs w:val="21"/>
          <w:color w:val="auto"/>
        </w:rPr>
      </w:pPr>
    </w:p>
    <w:p>
      <w:pPr>
        <w:ind w:left="620" w:hanging="615"/>
        <w:spacing w:after="0"/>
        <w:tabs>
          <w:tab w:leader="none" w:pos="620"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 Provisions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left="1260" w:right="100" w:hanging="632"/>
        <w:spacing w:after="0" w:line="222" w:lineRule="auto"/>
        <w:tabs>
          <w:tab w:leader="none" w:pos="1253" w:val="left"/>
        </w:tabs>
        <w:numPr>
          <w:ilvl w:val="1"/>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Indemnification</w:t>
      </w:r>
      <w:r>
        <w:rPr>
          <w:rFonts w:ascii="Arial" w:cs="Arial" w:eastAsia="Arial" w:hAnsi="Arial"/>
          <w:sz w:val="21"/>
          <w:szCs w:val="21"/>
          <w:color w:val="auto"/>
        </w:rPr>
        <w:t>. The Company shall indemnify Executive to the maximum extent permitted by applicable law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70" w:lineRule="exact"/>
        <w:rPr>
          <w:rFonts w:ascii="Arial" w:cs="Arial" w:eastAsia="Arial" w:hAnsi="Arial"/>
          <w:sz w:val="21"/>
          <w:szCs w:val="21"/>
          <w:color w:val="auto"/>
        </w:rPr>
      </w:pPr>
    </w:p>
    <w:p>
      <w:pPr>
        <w:ind w:left="1260" w:right="100" w:hanging="632"/>
        <w:spacing w:after="0" w:line="237" w:lineRule="auto"/>
        <w:tabs>
          <w:tab w:leader="none" w:pos="1260" w:val="left"/>
        </w:tabs>
        <w:numPr>
          <w:ilvl w:val="1"/>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color w:val="auto"/>
        </w:rPr>
        <w:t>. All captions and section headings used in this Agreement are for convenient reference only and do not</w:t>
      </w:r>
      <w:r>
        <w:rPr>
          <w:rFonts w:ascii="Arial" w:cs="Arial" w:eastAsia="Arial" w:hAnsi="Arial"/>
          <w:sz w:val="21"/>
          <w:szCs w:val="21"/>
          <w:b w:val="1"/>
          <w:bCs w:val="1"/>
          <w:color w:val="auto"/>
        </w:rPr>
        <w:t xml:space="preserve"> </w:t>
      </w:r>
      <w:r>
        <w:rPr>
          <w:rFonts w:ascii="Arial" w:cs="Arial" w:eastAsia="Arial" w:hAnsi="Arial"/>
          <w:sz w:val="21"/>
          <w:szCs w:val="21"/>
          <w:color w:val="auto"/>
        </w:rPr>
        <w:t>form a part of this Agreement.</w:t>
      </w:r>
    </w:p>
    <w:p>
      <w:pPr>
        <w:spacing w:after="0" w:line="185" w:lineRule="exact"/>
        <w:rPr>
          <w:rFonts w:ascii="Arial" w:cs="Arial" w:eastAsia="Arial" w:hAnsi="Arial"/>
          <w:sz w:val="21"/>
          <w:szCs w:val="21"/>
          <w:color w:val="auto"/>
        </w:rPr>
      </w:pPr>
    </w:p>
    <w:p>
      <w:pPr>
        <w:ind w:left="1240" w:hanging="612"/>
        <w:spacing w:after="0"/>
        <w:tabs>
          <w:tab w:leader="none" w:pos="1240" w:val="left"/>
        </w:tabs>
        <w:numPr>
          <w:ilvl w:val="1"/>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w:t>
      </w:r>
    </w:p>
    <w:p>
      <w:pPr>
        <w:spacing w:after="0" w:line="218" w:lineRule="exact"/>
        <w:rPr>
          <w:rFonts w:ascii="Arial" w:cs="Arial" w:eastAsia="Arial" w:hAnsi="Arial"/>
          <w:sz w:val="21"/>
          <w:szCs w:val="21"/>
          <w:color w:val="auto"/>
        </w:rPr>
      </w:pPr>
    </w:p>
    <w:p>
      <w:pPr>
        <w:jc w:val="both"/>
        <w:ind w:left="1880" w:right="100" w:hanging="629"/>
        <w:spacing w:after="0" w:line="226" w:lineRule="auto"/>
        <w:tabs>
          <w:tab w:leader="none" w:pos="1873"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93" w:lineRule="exact"/>
        <w:rPr>
          <w:rFonts w:ascii="Arial" w:cs="Arial" w:eastAsia="Arial" w:hAnsi="Arial"/>
          <w:sz w:val="20"/>
          <w:szCs w:val="20"/>
          <w:color w:val="auto"/>
        </w:rPr>
      </w:pPr>
    </w:p>
    <w:p>
      <w:pPr>
        <w:jc w:val="both"/>
        <w:ind w:left="1880" w:right="100" w:hanging="629"/>
        <w:spacing w:after="0" w:line="215" w:lineRule="auto"/>
        <w:tabs>
          <w:tab w:leader="none" w:pos="1879" w:val="left"/>
        </w:tabs>
        <w:numPr>
          <w:ilvl w:val="2"/>
          <w:numId w:val="40"/>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in the case of termination for Cause, will be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100"/>
          </w:cols>
          <w:pgMar w:left="440" w:top="164"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00"/>
        <w:spacing w:after="0" w:line="214" w:lineRule="auto"/>
        <w:rPr>
          <w:sz w:val="20"/>
          <w:szCs w:val="20"/>
          <w:color w:val="auto"/>
        </w:rPr>
      </w:pPr>
      <w:r>
        <w:rPr>
          <w:rFonts w:ascii="Arial" w:cs="Arial" w:eastAsia="Arial" w:hAnsi="Arial"/>
          <w:sz w:val="21"/>
          <w:szCs w:val="21"/>
          <w:color w:val="auto"/>
        </w:rPr>
        <w:t>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not less than sixty (60) days advance written notice.</w:t>
      </w:r>
    </w:p>
    <w:p>
      <w:pPr>
        <w:spacing w:after="0" w:line="174" w:lineRule="exact"/>
        <w:rPr>
          <w:sz w:val="20"/>
          <w:szCs w:val="20"/>
          <w:color w:val="auto"/>
        </w:rPr>
      </w:pPr>
    </w:p>
    <w:p>
      <w:pPr>
        <w:jc w:val="both"/>
        <w:ind w:left="640" w:right="100" w:hanging="632"/>
        <w:spacing w:after="0" w:line="218" w:lineRule="auto"/>
        <w:tabs>
          <w:tab w:leader="none" w:pos="633"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Modifications and Waivers</w:t>
      </w:r>
      <w:r>
        <w:rPr>
          <w:rFonts w:ascii="Arial" w:cs="Arial" w:eastAsia="Arial" w:hAnsi="Arial"/>
          <w:sz w:val="21"/>
          <w:szCs w:val="21"/>
          <w:color w:val="auto"/>
        </w:rPr>
        <w:t>. No provision of this Agreement shall be modified, waived or discharged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8" w:lineRule="exact"/>
        <w:rPr>
          <w:rFonts w:ascii="Arial" w:cs="Arial" w:eastAsia="Arial" w:hAnsi="Arial"/>
          <w:sz w:val="21"/>
          <w:szCs w:val="21"/>
          <w:color w:val="auto"/>
        </w:rPr>
      </w:pPr>
    </w:p>
    <w:p>
      <w:pPr>
        <w:jc w:val="both"/>
        <w:ind w:left="640" w:right="100" w:hanging="632"/>
        <w:spacing w:after="0" w:line="218" w:lineRule="auto"/>
        <w:tabs>
          <w:tab w:leader="none" w:pos="640"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Agreement contains the entire understanding of the parties with respect to the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matter hereof and, except as expressly set forth in Section 1(a), supersedes all other prior or contemporaneous discussions, understandings and agreements, whether oral or written, between them relating to the subject matter hereof, and as of the Promotion Effective Date will supersede and replace in its entirety the Prior Employment Agreement.</w:t>
      </w:r>
    </w:p>
    <w:p>
      <w:pPr>
        <w:spacing w:after="0" w:line="188" w:lineRule="exact"/>
        <w:rPr>
          <w:rFonts w:ascii="Arial" w:cs="Arial" w:eastAsia="Arial" w:hAnsi="Arial"/>
          <w:sz w:val="21"/>
          <w:szCs w:val="21"/>
          <w:color w:val="auto"/>
        </w:rPr>
      </w:pPr>
    </w:p>
    <w:p>
      <w:pPr>
        <w:ind w:left="640" w:hanging="632"/>
        <w:spacing w:after="0"/>
        <w:tabs>
          <w:tab w:leader="none" w:pos="640"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 Clawbacks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ind w:left="1260" w:right="100" w:hanging="629"/>
        <w:spacing w:after="0" w:line="234" w:lineRule="auto"/>
        <w:tabs>
          <w:tab w:leader="none" w:pos="1253"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All payments made under this Agreement shall be subject to reduction to reflect taxes or other deductions required to be withheld by law.</w:t>
      </w:r>
    </w:p>
    <w:p>
      <w:pPr>
        <w:spacing w:after="0" w:line="191" w:lineRule="exact"/>
        <w:rPr>
          <w:rFonts w:ascii="Arial" w:cs="Arial" w:eastAsia="Arial" w:hAnsi="Arial"/>
          <w:sz w:val="21"/>
          <w:szCs w:val="21"/>
          <w:color w:val="auto"/>
        </w:rPr>
      </w:pPr>
    </w:p>
    <w:p>
      <w:pPr>
        <w:jc w:val="both"/>
        <w:ind w:left="1260" w:right="100" w:hanging="629"/>
        <w:spacing w:after="0" w:line="220" w:lineRule="auto"/>
        <w:tabs>
          <w:tab w:leader="none" w:pos="1259"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Clawbacks</w:t>
      </w:r>
      <w:r>
        <w:rPr>
          <w:rFonts w:ascii="Arial" w:cs="Arial" w:eastAsia="Arial" w:hAnsi="Arial"/>
          <w:sz w:val="21"/>
          <w:szCs w:val="21"/>
          <w:color w:val="auto"/>
        </w:rPr>
        <w:t>. The compensation set forth in this Agreement and any incentive equity or related award agreement shall be subject to any policy reasonably designed and adopted by the Board from time to time covering those individuals considered Section 16 officers that requires the forfeiture or recoupment of incentive compensation paid or payable to Executive.</w:t>
      </w:r>
    </w:p>
    <w:p>
      <w:pPr>
        <w:spacing w:after="0" w:line="185" w:lineRule="exact"/>
        <w:rPr>
          <w:rFonts w:ascii="Arial" w:cs="Arial" w:eastAsia="Arial" w:hAnsi="Arial"/>
          <w:sz w:val="21"/>
          <w:szCs w:val="21"/>
          <w:color w:val="auto"/>
        </w:rPr>
      </w:pPr>
    </w:p>
    <w:p>
      <w:pPr>
        <w:jc w:val="both"/>
        <w:ind w:left="640" w:right="100" w:hanging="632"/>
        <w:spacing w:after="0" w:line="238" w:lineRule="auto"/>
        <w:tabs>
          <w:tab w:leader="none" w:pos="640"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Severability</w:t>
      </w:r>
      <w:r>
        <w:rPr>
          <w:rFonts w:ascii="Arial" w:cs="Arial" w:eastAsia="Arial" w:hAnsi="Arial"/>
          <w:sz w:val="19"/>
          <w:szCs w:val="19"/>
          <w:color w:val="auto"/>
        </w:rPr>
        <w:t>. This Agreement shall be interpreted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without giving effect to provisions governing the choice of law. In this regard, Executive agrees that if Executive is a resident of the State of California, Executive acknowledges that Subsection(e) of California Labor Code Section 925 is applicable with respect to this Agreement inasmuch as Executive is at all times been represented by legal counsel of his own choosing to represent Executive in negotiating the terms of this Agreement, including the designation of the venue and forum in which any controversy arising form or related to this Agreement may be adjudicated, as well as the choice of law to be applied. If any provision of this Agreement becomes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480"/>
          </w:cols>
          <w:pgMar w:left="1060" w:top="164"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21"/>
          <w:szCs w:val="21"/>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40" w:right="100"/>
        <w:spacing w:after="0" w:line="235" w:lineRule="auto"/>
        <w:rPr>
          <w:sz w:val="20"/>
          <w:szCs w:val="20"/>
          <w:color w:val="auto"/>
        </w:rPr>
      </w:pPr>
      <w:r>
        <w:rPr>
          <w:rFonts w:ascii="Arial" w:cs="Arial" w:eastAsia="Arial" w:hAnsi="Arial"/>
          <w:sz w:val="19"/>
          <w:szCs w:val="19"/>
          <w:color w:val="auto"/>
        </w:rPr>
        <w:t>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 w:cs="Arial" w:eastAsia="Arial" w:hAnsi="Arial"/>
          <w:sz w:val="19"/>
          <w:szCs w:val="19"/>
          <w:b w:val="1"/>
          <w:bCs w:val="1"/>
          <w:i w:val="1"/>
          <w:iCs w:val="1"/>
          <w:color w:val="auto"/>
        </w:rPr>
        <w:t>Law</w:t>
      </w:r>
      <w:r>
        <w:rPr>
          <w:rFonts w:ascii="Arial" w:cs="Arial" w:eastAsia="Arial" w:hAnsi="Arial"/>
          <w:sz w:val="19"/>
          <w:szCs w:val="19"/>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78" w:lineRule="exact"/>
        <w:rPr>
          <w:sz w:val="20"/>
          <w:szCs w:val="20"/>
          <w:color w:val="auto"/>
        </w:rPr>
      </w:pPr>
    </w:p>
    <w:p>
      <w:pPr>
        <w:jc w:val="both"/>
        <w:ind w:left="640" w:right="100" w:hanging="632"/>
        <w:spacing w:after="0" w:line="222" w:lineRule="auto"/>
        <w:tabs>
          <w:tab w:leader="none" w:pos="640"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No Assignment</w:t>
      </w:r>
      <w:r>
        <w:rPr>
          <w:rFonts w:ascii="Arial" w:cs="Arial" w:eastAsia="Arial" w:hAnsi="Arial"/>
          <w:sz w:val="21"/>
          <w:szCs w:val="21"/>
          <w:color w:val="auto"/>
        </w:rPr>
        <w:t>. This Agreement and all of Executive’s rights and obligations hereunder are personal to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183" w:lineRule="exact"/>
        <w:rPr>
          <w:rFonts w:ascii="Arial" w:cs="Arial" w:eastAsia="Arial" w:hAnsi="Arial"/>
          <w:sz w:val="21"/>
          <w:szCs w:val="21"/>
          <w:color w:val="auto"/>
        </w:rPr>
      </w:pPr>
    </w:p>
    <w:p>
      <w:pPr>
        <w:jc w:val="both"/>
        <w:ind w:left="640" w:right="100" w:hanging="632"/>
        <w:spacing w:after="0" w:line="256" w:lineRule="auto"/>
        <w:tabs>
          <w:tab w:leader="none" w:pos="620"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Acknowledgment</w:t>
      </w:r>
      <w:r>
        <w:rPr>
          <w:rFonts w:ascii="Arial" w:cs="Arial" w:eastAsia="Arial" w:hAnsi="Arial"/>
          <w:sz w:val="19"/>
          <w:szCs w:val="19"/>
          <w:color w:val="auto"/>
        </w:rPr>
        <w:t>. Executive acknowledges that Executive has had the opportunity to discuss this matter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obtain advice from Executive’s personal attorney, has had sufficient time to, and has carefully read and fully understood all the provisions of this Agreement, and is knowingly and voluntarily entering into this Agreement.</w:t>
      </w:r>
    </w:p>
    <w:p>
      <w:pPr>
        <w:spacing w:after="0" w:line="170" w:lineRule="exact"/>
        <w:rPr>
          <w:rFonts w:ascii="Arial" w:cs="Arial" w:eastAsia="Arial" w:hAnsi="Arial"/>
          <w:sz w:val="19"/>
          <w:szCs w:val="19"/>
          <w:color w:val="auto"/>
        </w:rPr>
      </w:pPr>
    </w:p>
    <w:p>
      <w:pPr>
        <w:jc w:val="both"/>
        <w:ind w:left="640" w:right="100" w:hanging="632"/>
        <w:spacing w:after="0" w:line="222" w:lineRule="auto"/>
        <w:tabs>
          <w:tab w:leader="none" w:pos="630"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two or more counterparts, each of which shall be deemed an</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but all of which together will constitute one and the same instrument. Execution of a facsimile copy will have the same force and effect as execution of an original, and a facsimile signature will be deemed an original and valid signature.</w:t>
      </w:r>
    </w:p>
    <w:p>
      <w:pPr>
        <w:spacing w:after="0" w:line="170" w:lineRule="exact"/>
        <w:rPr>
          <w:rFonts w:ascii="Arial" w:cs="Arial" w:eastAsia="Arial" w:hAnsi="Arial"/>
          <w:sz w:val="21"/>
          <w:szCs w:val="21"/>
          <w:color w:val="auto"/>
        </w:rPr>
      </w:pPr>
    </w:p>
    <w:p>
      <w:pPr>
        <w:jc w:val="both"/>
        <w:ind w:left="640" w:right="100" w:hanging="632"/>
        <w:spacing w:after="0" w:line="226" w:lineRule="auto"/>
        <w:tabs>
          <w:tab w:leader="none" w:pos="633" w:val="left"/>
        </w:tabs>
        <w:numPr>
          <w:ilvl w:val="0"/>
          <w:numId w:val="42"/>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color w:val="auto"/>
        </w:rPr>
        <w:t>. The Company may, in its sole discretion, decide to deliver any documents or notices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200" w:lineRule="exact"/>
        <w:rPr>
          <w:sz w:val="20"/>
          <w:szCs w:val="20"/>
          <w:color w:val="auto"/>
        </w:rPr>
      </w:pPr>
    </w:p>
    <w:p>
      <w:pPr>
        <w:spacing w:after="0" w:line="35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0480"/>
          </w:cols>
          <w:pgMar w:left="1060" w:top="164" w:right="35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After you have had an opportunity to review this Agreement, please feel free to contact me if you have any questions or comments.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To indicate acceptance of this Agreement, please sign and date this letter in the space provided below and return it to the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0</wp:posOffset>
            </wp:positionV>
            <wp:extent cx="2324100"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24100" cy="42862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478155</wp:posOffset>
            </wp:positionV>
            <wp:extent cx="23736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Vivek Garipalli, CEO &amp; Co-Founder</w:t>
      </w: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1"/>
          <w:szCs w:val="21"/>
          <w:color w:val="auto"/>
        </w:rPr>
        <w:t>Agreed to and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2373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21"/>
          <w:szCs w:val="21"/>
          <w:color w:val="auto"/>
        </w:rPr>
        <w:t>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148590</wp:posOffset>
            </wp:positionV>
            <wp:extent cx="23736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736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371475</wp:posOffset>
            </wp:positionV>
            <wp:extent cx="23736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Address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-15240</wp:posOffset>
            </wp:positionV>
            <wp:extent cx="1320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80"/>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160"/>
          </w:cols>
          <w:pgMar w:left="360" w:top="1416" w:right="379" w:bottom="1440" w:gutter="0" w:footer="0" w:header="0"/>
        </w:sectPr>
      </w:pPr>
    </w:p>
    <w:bookmarkStart w:id="69" w:name="page70"/>
    <w:bookmarkEnd w:id="69"/>
    <w:p>
      <w:pPr>
        <w:jc w:val="both"/>
        <w:ind w:left="160"/>
        <w:spacing w:after="0" w:line="225" w:lineRule="auto"/>
        <w:rPr>
          <w:sz w:val="20"/>
          <w:szCs w:val="20"/>
          <w:color w:val="auto"/>
        </w:rPr>
      </w:pPr>
      <w:r>
        <w:rPr>
          <w:rFonts w:ascii="Arial" w:cs="Arial" w:eastAsia="Arial" w:hAnsi="Arial"/>
          <w:sz w:val="21"/>
          <w:szCs w:val="21"/>
          <w:color w:val="auto"/>
        </w:rPr>
        <w:t>After you have had an opportunity to review this Agreement, please feel free to contact me if you have any questions or comments. To indicate acceptance of this Agreement, please sign and date this letter in the space provided below and return it to the Company.</w:t>
      </w:r>
    </w:p>
    <w:p>
      <w:pPr>
        <w:spacing w:after="0" w:line="113"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519430</wp:posOffset>
            </wp:positionV>
            <wp:extent cx="2381885" cy="99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81885" cy="9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Vivek Garipalli, CEO &amp; Co-Founder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1351915" cy="354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51915" cy="3543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552450</wp:posOffset>
            </wp:positionV>
            <wp:extent cx="2381885" cy="990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81885" cy="9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2472690" cy="2139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72690" cy="2139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568960</wp:posOffset>
            </wp:positionV>
            <wp:extent cx="2381885" cy="99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81885" cy="9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color w:val="auto"/>
        </w:rPr>
        <w:t>Address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u w:val="single" w:color="auto"/>
          <w:color w:val="auto"/>
        </w:rPr>
        <w:t>Date:</w:t>
      </w:r>
      <w:r>
        <w:rPr>
          <w:sz w:val="20"/>
          <w:szCs w:val="20"/>
          <w:color w:val="auto"/>
        </w:rPr>
        <w:tab/>
      </w:r>
      <w:r>
        <w:rPr>
          <w:rFonts w:ascii="Arial" w:cs="Arial" w:eastAsia="Arial" w:hAnsi="Arial"/>
          <w:sz w:val="15"/>
          <w:szCs w:val="15"/>
          <w:u w:val="single" w:color="auto"/>
          <w:color w:val="auto"/>
        </w:rPr>
        <w:t>August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020"/>
          </w:cols>
          <w:pgMar w:left="320" w:top="1416" w:right="5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9"/>
          <w:szCs w:val="19"/>
          <w:b w:val="1"/>
          <w:bCs w:val="1"/>
          <w:u w:val="single" w:color="auto"/>
          <w:color w:val="auto"/>
        </w:rPr>
        <w:t>Attachment A</w:t>
      </w:r>
    </w:p>
    <w:p>
      <w:pPr>
        <w:sectPr>
          <w:pgSz w:w="11900" w:h="16838" w:orient="portrait"/>
          <w:cols w:equalWidth="0" w:num="1">
            <w:col w:w="9019"/>
          </w:cols>
          <w:pgMar w:left="1440" w:top="1345"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1345" w:right="1440" w:bottom="1440" w:gutter="0" w:footer="0" w:header="0"/>
          <w:type w:val="continuous"/>
        </w:sectPr>
      </w:pPr>
    </w:p>
    <w:bookmarkStart w:id="71" w:name="page72"/>
    <w:bookmarkEnd w:id="71"/>
    <w:p>
      <w:pPr>
        <w:jc w:val="center"/>
        <w:ind w:right="-59"/>
        <w:spacing w:after="0"/>
        <w:rPr>
          <w:sz w:val="20"/>
          <w:szCs w:val="20"/>
          <w:color w:val="auto"/>
        </w:rPr>
      </w:pPr>
      <w:r>
        <w:rPr>
          <w:rFonts w:ascii="Arial" w:cs="Arial" w:eastAsia="Arial" w:hAnsi="Arial"/>
          <w:sz w:val="21"/>
          <w:szCs w:val="21"/>
          <w:b w:val="1"/>
          <w:bCs w:val="1"/>
          <w:color w:val="auto"/>
        </w:rPr>
        <w:t>Attachment A</w:t>
      </w:r>
    </w:p>
    <w:p>
      <w:pPr>
        <w:spacing w:after="0" w:line="283"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Executive should consult with an attorney before signing this release of claims.</w:t>
      </w:r>
    </w:p>
    <w:p>
      <w:pPr>
        <w:spacing w:after="0" w:line="213"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RELEASE</w:t>
      </w:r>
    </w:p>
    <w:p>
      <w:pPr>
        <w:spacing w:after="0" w:line="219" w:lineRule="exact"/>
        <w:rPr>
          <w:sz w:val="20"/>
          <w:szCs w:val="20"/>
          <w:color w:val="auto"/>
        </w:rPr>
      </w:pPr>
    </w:p>
    <w:p>
      <w:pPr>
        <w:jc w:val="both"/>
        <w:ind w:left="620" w:hanging="304"/>
        <w:spacing w:after="0" w:line="256" w:lineRule="auto"/>
        <w:tabs>
          <w:tab w:leader="none" w:pos="62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General Release of Claims</w:t>
      </w:r>
      <w:r>
        <w:rPr>
          <w:rFonts w:ascii="Arial" w:cs="Arial" w:eastAsia="Arial" w:hAnsi="Arial"/>
          <w:sz w:val="19"/>
          <w:szCs w:val="19"/>
          <w:color w:val="auto"/>
        </w:rPr>
        <w:t>. In consideration of the payment and benefits to be made under the Employment Agreement, dated as of August 8, 2022, by and between Andrew Toy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and Clover Health LLC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the sufficiency of which Executive acknowledges, Executive, with the intention of binding Executive, and Executive’s heirs, executors, administrators, and assigns, agrees to release and forever discharge the Company, the Company’s affiliates, subsidiaries, parents, predecessors, successors and assigns, and the officers, directors, shareholders, agents, employees, counsel and insurers of each of them, in each case in their official capacities (together,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claims Executive may have or have had against any of the Released Parties arising prior to or on the dates Executive executes this Agreement, including without limitation any and all claims arising out of Executive’s employment with the Company and/or the termination of that employment. Executive understands and agrees that this release is intended to waive all such claims of every kind and nature, whether known or unknown, actual or contingent, asserted or unasserted, arising under common law, statutory law or otherwise. This release includes any and all causes of actions or claims Executive has had, now has, or may have up to the dates Executive executes this Agreement including, without limitation, any claims arising pursuant to the Age Discrimination in Employment Act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Title VII of the Civil Rights Act, the Family and Medical Leave Act, and the Americans with Disabilities Act, and common, federal, state, and local laws, regulations, rules, and ordinances. Executive also waive any claim to reinstatement or re-employment with the Company following the effective date of Executive’s termination of employment.</w:t>
      </w:r>
    </w:p>
    <w:p>
      <w:pPr>
        <w:spacing w:after="0" w:line="190" w:lineRule="exact"/>
        <w:rPr>
          <w:rFonts w:ascii="Arial" w:cs="Arial" w:eastAsia="Arial" w:hAnsi="Arial"/>
          <w:sz w:val="19"/>
          <w:szCs w:val="19"/>
          <w:color w:val="auto"/>
        </w:rPr>
      </w:pPr>
    </w:p>
    <w:p>
      <w:pPr>
        <w:jc w:val="both"/>
        <w:ind w:left="620"/>
        <w:spacing w:after="0" w:line="235" w:lineRule="auto"/>
        <w:rPr>
          <w:rFonts w:ascii="Arial" w:cs="Arial" w:eastAsia="Arial" w:hAnsi="Arial"/>
          <w:sz w:val="19"/>
          <w:szCs w:val="19"/>
          <w:color w:val="auto"/>
        </w:rPr>
      </w:pPr>
      <w:r>
        <w:rPr>
          <w:rFonts w:ascii="Arial" w:cs="Arial" w:eastAsia="Arial" w:hAnsi="Arial"/>
          <w:sz w:val="19"/>
          <w:szCs w:val="19"/>
          <w:color w:val="auto"/>
        </w:rPr>
        <w:t>Except as set forth in this Agreement and/or the Employment Agreement, Executive expressly acknowledges and represents that Executive has received all wages, benefits, compensation, reimbursements, vacation and paid time off, or any other remuneration to which Executive was entitled as an employee of the Company and are not currently aware of any facts or circumstances constituting a claim or cause of action Executive could bring for violation of the Fair Labor Standards Act (“</w:t>
      </w:r>
      <w:r>
        <w:rPr>
          <w:rFonts w:ascii="Arial" w:cs="Arial" w:eastAsia="Arial" w:hAnsi="Arial"/>
          <w:sz w:val="19"/>
          <w:szCs w:val="19"/>
          <w:b w:val="1"/>
          <w:bCs w:val="1"/>
          <w:i w:val="1"/>
          <w:iCs w:val="1"/>
          <w:color w:val="auto"/>
        </w:rPr>
        <w:t>FLSA</w:t>
      </w:r>
      <w:r>
        <w:rPr>
          <w:rFonts w:ascii="Arial" w:cs="Arial" w:eastAsia="Arial" w:hAnsi="Arial"/>
          <w:sz w:val="19"/>
          <w:szCs w:val="19"/>
          <w:color w:val="auto"/>
        </w:rPr>
        <w:t>”) or any other federal, state or local constitution, statute, rule, regulation, or common law that applies to Executive’s employment relationship. Executive expressly acknowledges and represents that no one has interfered with Executive’s ability to report possible violations of any law and it is Released Parties’ policy to encourage such reporting. Executive further acknowledges and represents that Executive has not suffered any on-the-job injury for which Executive has not already filed a claim, and the end of Executive’s employment is not related to any such injury.</w:t>
      </w:r>
    </w:p>
    <w:p>
      <w:pPr>
        <w:spacing w:after="0" w:line="177" w:lineRule="exact"/>
        <w:rPr>
          <w:rFonts w:ascii="Arial" w:cs="Arial" w:eastAsia="Arial" w:hAnsi="Arial"/>
          <w:sz w:val="19"/>
          <w:szCs w:val="19"/>
          <w:color w:val="auto"/>
        </w:rPr>
      </w:pPr>
    </w:p>
    <w:p>
      <w:pPr>
        <w:jc w:val="both"/>
        <w:ind w:left="620"/>
        <w:spacing w:after="0" w:line="236" w:lineRule="auto"/>
        <w:rPr>
          <w:rFonts w:ascii="Arial" w:cs="Arial" w:eastAsia="Arial" w:hAnsi="Arial"/>
          <w:sz w:val="19"/>
          <w:szCs w:val="19"/>
          <w:color w:val="auto"/>
        </w:rPr>
      </w:pPr>
      <w:r>
        <w:rPr>
          <w:rFonts w:ascii="Arial" w:cs="Arial" w:eastAsia="Arial" w:hAnsi="Arial"/>
          <w:sz w:val="20"/>
          <w:szCs w:val="20"/>
          <w:color w:val="auto"/>
        </w:rPr>
        <w:t>Executive agrees and acknowledges that he is releasing claims that he knows about and claims that he may not know about at this time. Because this release specifically covers unknown claims, Executive waives any rights under Section 1542 of the California Civil Code, or under any comparable law of jurisdiction. Section 1542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31010618</w:t>
      </w:r>
    </w:p>
    <w:p>
      <w:pPr>
        <w:sectPr>
          <w:pgSz w:w="11900" w:h="16838" w:orient="portrait"/>
          <w:cols w:equalWidth="0" w:num="1">
            <w:col w:w="10940"/>
          </w:cols>
          <w:pgMar w:left="440" w:top="717" w:right="519" w:bottom="1440" w:gutter="0" w:footer="0" w:header="0"/>
        </w:sectPr>
      </w:pPr>
    </w:p>
    <w:bookmarkStart w:id="72" w:name="page73"/>
    <w:bookmarkEnd w:id="72"/>
    <w:p>
      <w:pPr>
        <w:jc w:val="both"/>
        <w:ind w:left="704" w:right="560"/>
        <w:spacing w:after="0" w:line="225" w:lineRule="auto"/>
        <w:rPr>
          <w:sz w:val="20"/>
          <w:szCs w:val="20"/>
          <w:color w:val="auto"/>
        </w:rPr>
      </w:pPr>
      <w:r>
        <w:rPr>
          <w:rFonts w:ascii="Arial" w:cs="Arial" w:eastAsia="Arial" w:hAnsi="Arial"/>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7" w:lineRule="exact"/>
        <w:rPr>
          <w:sz w:val="20"/>
          <w:szCs w:val="20"/>
          <w:color w:val="auto"/>
        </w:rPr>
      </w:pPr>
    </w:p>
    <w:p>
      <w:pPr>
        <w:jc w:val="both"/>
        <w:ind w:left="304"/>
        <w:spacing w:after="0" w:line="232" w:lineRule="auto"/>
        <w:rPr>
          <w:sz w:val="20"/>
          <w:szCs w:val="20"/>
          <w:color w:val="auto"/>
        </w:rPr>
      </w:pPr>
      <w:r>
        <w:rPr>
          <w:rFonts w:ascii="Arial" w:cs="Arial" w:eastAsia="Arial" w:hAnsi="Arial"/>
          <w:sz w:val="19"/>
          <w:szCs w:val="19"/>
          <w:color w:val="auto"/>
        </w:rPr>
        <w:t>No claim of any sort is exempt from the above release, except (i) claims that the law does not allow Executive to waive by signing this Agreement, such as claims for workers’ compensation benefits (but it does apply to, waive and affect claims of discrimination and/or retaliation on the basis of having made a workers’ compensation claim), (ii) claims for unemployment benefits, (iii) Executive’s rights to any vested benefits to which Executive is entitled under the terms of the applicable employee benefit plan, (iv) rights of the Executive arising under, or preserved by, this Release or Section 6 of the Employment Agreement, (v) rights to indemnification that Executive has or may have under the by-laws or certificate of incorporation of the Company and the Company’s affiliates or as an insured under any director’s and officer’s liability insurance policy now or previously in force, and (vi) Executive’s rights as an equity-holder of shares of Class A Common Stock or Class B Common Stock, as applicable, received upon exercise or settlement of equity awards granted under the equity-based incentive plans of the Company. For the purpose of implementing a full and complete release, Executive expressly acknowledges that the release given in this Agreement is intended to include, without limitation, claims that Executive did not know or suspect to exist in Executive’s favor at the time of the date of Executive’s execution of this Agreement, regardless of whether the knowledge of such claims, or the facts upon with which they might be based, would have materially affected the settlement of this matter; and that the consideration provided under this Agreement was also for the release of those claims and contemplates the extinguishment of any such unknown claims.</w:t>
      </w:r>
    </w:p>
    <w:p>
      <w:pPr>
        <w:spacing w:after="0" w:line="194" w:lineRule="exact"/>
        <w:rPr>
          <w:sz w:val="20"/>
          <w:szCs w:val="20"/>
          <w:color w:val="auto"/>
        </w:rPr>
      </w:pPr>
    </w:p>
    <w:p>
      <w:pPr>
        <w:jc w:val="both"/>
        <w:ind w:left="304" w:hanging="304"/>
        <w:spacing w:after="0" w:line="238" w:lineRule="auto"/>
        <w:tabs>
          <w:tab w:leader="none" w:pos="304"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Older Workers’ Benefit Protection Act</w:t>
      </w:r>
      <w:r>
        <w:rPr>
          <w:rFonts w:ascii="Arial" w:cs="Arial" w:eastAsia="Arial" w:hAnsi="Arial"/>
          <w:sz w:val="21"/>
          <w:szCs w:val="21"/>
          <w:color w:val="auto"/>
        </w:rPr>
        <w:t>. This Agreement is intended to satisfy the requirements of the Older Workers’ Benefit Protection Act, 29 U.S.C. sec. 626(f). Executive is advised to consult with an attorney before executing this Agreement.</w:t>
      </w:r>
    </w:p>
    <w:p>
      <w:pPr>
        <w:spacing w:after="0" w:line="216" w:lineRule="exact"/>
        <w:rPr>
          <w:rFonts w:ascii="Arial" w:cs="Arial" w:eastAsia="Arial" w:hAnsi="Arial"/>
          <w:sz w:val="21"/>
          <w:szCs w:val="21"/>
          <w:color w:val="auto"/>
        </w:rPr>
      </w:pPr>
    </w:p>
    <w:p>
      <w:pPr>
        <w:ind w:left="1004" w:hanging="295"/>
        <w:spacing w:after="0"/>
        <w:tabs>
          <w:tab w:leader="none" w:pos="1004"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Acknowledgments/Time to Consider</w:t>
      </w:r>
      <w:r>
        <w:rPr>
          <w:rFonts w:ascii="Arial" w:cs="Arial" w:eastAsia="Arial" w:hAnsi="Arial"/>
          <w:sz w:val="21"/>
          <w:szCs w:val="21"/>
          <w:color w:val="auto"/>
        </w:rPr>
        <w:t>. Executive acknowledges and agrees that</w:t>
      </w:r>
    </w:p>
    <w:p>
      <w:pPr>
        <w:spacing w:after="0" w:line="10" w:lineRule="exact"/>
        <w:rPr>
          <w:rFonts w:ascii="Arial" w:cs="Arial" w:eastAsia="Arial" w:hAnsi="Arial"/>
          <w:sz w:val="21"/>
          <w:szCs w:val="21"/>
          <w:color w:val="auto"/>
        </w:rPr>
      </w:pPr>
    </w:p>
    <w:p>
      <w:pPr>
        <w:jc w:val="both"/>
        <w:ind w:left="1024"/>
        <w:spacing w:after="0" w:line="244" w:lineRule="auto"/>
        <w:rPr>
          <w:rFonts w:ascii="Arial" w:cs="Arial" w:eastAsia="Arial" w:hAnsi="Arial"/>
          <w:sz w:val="21"/>
          <w:szCs w:val="21"/>
          <w:color w:val="auto"/>
        </w:rPr>
      </w:pPr>
      <w:r>
        <w:rPr>
          <w:rFonts w:ascii="Arial" w:cs="Arial" w:eastAsia="Arial" w:hAnsi="Arial"/>
          <w:sz w:val="20"/>
          <w:szCs w:val="20"/>
          <w:color w:val="auto"/>
        </w:rPr>
        <w:t>(i) Executive has read and understands the terms of this Agreement, (ii) Executive has been advised in writing to consult with an attorney before executing this Agreement, (iii) Executive has had the opportunity to obtain and consider such legal counsel as Executive deems necessary, (iv) Executive has been given [twenty-one (21)]/[forty-five (45)] days to consider whether or not to enter into this Agreement (although Executive may elect not to use the full [21-day]/[45- day] period at Executive’s option), and (v) by signing this Agreement, Executive acknowledges that Executive does so freely, knowingly, and voluntarily.</w:t>
      </w:r>
    </w:p>
    <w:p>
      <w:pPr>
        <w:spacing w:after="0" w:line="214" w:lineRule="exact"/>
        <w:rPr>
          <w:rFonts w:ascii="Arial" w:cs="Arial" w:eastAsia="Arial" w:hAnsi="Arial"/>
          <w:sz w:val="21"/>
          <w:szCs w:val="21"/>
          <w:color w:val="auto"/>
        </w:rPr>
      </w:pPr>
    </w:p>
    <w:p>
      <w:pPr>
        <w:jc w:val="both"/>
        <w:ind w:left="1024" w:hanging="314"/>
        <w:spacing w:after="0" w:line="235" w:lineRule="auto"/>
        <w:tabs>
          <w:tab w:leader="none" w:pos="1024"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Revocation/Effective Date</w:t>
      </w:r>
      <w:r>
        <w:rPr>
          <w:rFonts w:ascii="Arial" w:cs="Arial" w:eastAsia="Arial" w:hAnsi="Arial"/>
          <w:sz w:val="21"/>
          <w:szCs w:val="21"/>
          <w:color w:val="auto"/>
        </w:rPr>
        <w:t xml:space="preserve">. This Agreement shall not become effective or enforceable until the eighth day after Executive signs this Agreement. In other words, Executive may revoke the acceptance of this Agreement within seven (7) days after the date Executive signs it. Executive’s revocation must be in writing and sent via email to the Company’s Chief People Officer, Rachel Fish, at email address </w:t>
      </w:r>
      <w:r>
        <w:rPr>
          <w:rFonts w:ascii="Arial" w:cs="Arial" w:eastAsia="Arial" w:hAnsi="Arial"/>
          <w:sz w:val="21"/>
          <w:szCs w:val="21"/>
          <w:color w:val="auto"/>
          <w:highlight w:val="black"/>
        </w:rPr>
        <w:t>rachel.fish@cloverhealth.com</w:t>
      </w:r>
      <w:r>
        <w:rPr>
          <w:rFonts w:ascii="Arial" w:cs="Arial" w:eastAsia="Arial" w:hAnsi="Arial"/>
          <w:sz w:val="21"/>
          <w:szCs w:val="21"/>
          <w:color w:val="auto"/>
        </w:rPr>
        <w:t xml:space="preserve"> by the end of the seventh day in order to</w:t>
      </w:r>
    </w:p>
    <w:p>
      <w:pPr>
        <w:sectPr>
          <w:pgSz w:w="11900" w:h="16838" w:orient="portrait"/>
          <w:cols w:equalWidth="0" w:num="1">
            <w:col w:w="10624"/>
          </w:cols>
          <w:pgMar w:left="756" w:top="1351" w:right="519" w:bottom="1440" w:gutter="0" w:footer="0" w:header="0"/>
        </w:sectPr>
      </w:pPr>
    </w:p>
    <w:bookmarkStart w:id="73" w:name="page74"/>
    <w:bookmarkEnd w:id="73"/>
    <w:p>
      <w:pPr>
        <w:jc w:val="both"/>
        <w:ind w:left="1024" w:right="60"/>
        <w:spacing w:after="0" w:line="238" w:lineRule="auto"/>
        <w:rPr>
          <w:sz w:val="20"/>
          <w:szCs w:val="20"/>
          <w:color w:val="auto"/>
        </w:rPr>
      </w:pPr>
      <w:r>
        <w:rPr>
          <w:rFonts w:ascii="Arial" w:cs="Arial" w:eastAsia="Arial" w:hAnsi="Arial"/>
          <w:sz w:val="21"/>
          <w:szCs w:val="21"/>
          <w:color w:val="auto"/>
        </w:rPr>
        <w:t>be effective. If Executive does not revoke acceptance within the seven (7) day period, the acceptance of this Agreement shall become binding and enforceable on the eighth day after the Executive signed it (“</w:t>
      </w:r>
      <w:r>
        <w:rPr>
          <w:rFonts w:ascii="Arial" w:cs="Arial" w:eastAsia="Arial" w:hAnsi="Arial"/>
          <w:sz w:val="21"/>
          <w:szCs w:val="21"/>
          <w:b w:val="1"/>
          <w:bCs w:val="1"/>
          <w:i w:val="1"/>
          <w:i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Date</w:t>
      </w:r>
      <w:r>
        <w:rPr>
          <w:rFonts w:ascii="Arial" w:cs="Arial" w:eastAsia="Arial" w:hAnsi="Arial"/>
          <w:sz w:val="21"/>
          <w:szCs w:val="21"/>
          <w:color w:val="auto"/>
        </w:rPr>
        <w:t>”).</w:t>
      </w:r>
    </w:p>
    <w:p>
      <w:pPr>
        <w:spacing w:after="0" w:line="216" w:lineRule="exact"/>
        <w:rPr>
          <w:sz w:val="20"/>
          <w:szCs w:val="20"/>
          <w:color w:val="auto"/>
        </w:rPr>
      </w:pPr>
    </w:p>
    <w:p>
      <w:pPr>
        <w:jc w:val="both"/>
        <w:ind w:left="1024" w:right="60" w:hanging="314"/>
        <w:spacing w:after="0" w:line="273" w:lineRule="auto"/>
        <w:tabs>
          <w:tab w:leader="none" w:pos="101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Preserved Rights</w:t>
      </w:r>
      <w:r>
        <w:rPr>
          <w:rFonts w:ascii="Arial" w:cs="Arial" w:eastAsia="Arial" w:hAnsi="Arial"/>
          <w:sz w:val="19"/>
          <w:szCs w:val="19"/>
          <w:color w:val="auto"/>
        </w:rPr>
        <w:t>. This Agreement does not waive or release any rights or claims that Executive may have under the Age Discrimination in Employment Act that arise after dates that Executive executes this Agreement. In addition, this Agreement does not prohibit Executive from challenging the validity of this Agreement’s waiver and release of claims under the Age Discrimination in Employment Act of 1967, as amended.</w:t>
      </w:r>
    </w:p>
    <w:p>
      <w:pPr>
        <w:spacing w:after="0" w:line="174" w:lineRule="exact"/>
        <w:rPr>
          <w:rFonts w:ascii="Arial" w:cs="Arial" w:eastAsia="Arial" w:hAnsi="Arial"/>
          <w:sz w:val="19"/>
          <w:szCs w:val="19"/>
          <w:color w:val="auto"/>
        </w:rPr>
      </w:pPr>
    </w:p>
    <w:p>
      <w:pPr>
        <w:jc w:val="both"/>
        <w:ind w:left="304" w:right="60" w:hanging="304"/>
        <w:spacing w:after="0" w:line="266" w:lineRule="auto"/>
        <w:tabs>
          <w:tab w:leader="none" w:pos="30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Executive agrees and acknowledges that, notwithstanding anything stated in this Agreement, Executive shall remain bound by the terms of the Employment Agreement any other agreement relating to non-competition, non- solicitation, confidentiality, non-disparagement, intellectual property, or inventions that Executive executed prior to commencing employment with the Company, or during Executive’s employment with the Company, and any Company policies concerning non- competition, non-solicitation, confidentiality, non-disparagement, intellectual property, or inventions that were in force at the time of Executive’s separation, which are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73" w:lineRule="exact"/>
        <w:rPr>
          <w:rFonts w:ascii="Arial" w:cs="Arial" w:eastAsia="Arial" w:hAnsi="Arial"/>
          <w:sz w:val="19"/>
          <w:szCs w:val="19"/>
          <w:color w:val="auto"/>
        </w:rPr>
      </w:pPr>
    </w:p>
    <w:p>
      <w:pPr>
        <w:jc w:val="both"/>
        <w:ind w:left="1004" w:hanging="302"/>
        <w:spacing w:after="0" w:line="278" w:lineRule="auto"/>
        <w:tabs>
          <w:tab w:leader="none" w:pos="100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Non-Litigation Covenant</w:t>
      </w:r>
      <w:r>
        <w:rPr>
          <w:rFonts w:ascii="Arial" w:cs="Arial" w:eastAsia="Arial" w:hAnsi="Arial"/>
          <w:sz w:val="19"/>
          <w:szCs w:val="19"/>
          <w:color w:val="auto"/>
        </w:rPr>
        <w:t>. Executive further agrees not to sue Company or any of the Released Parties with regard to any claim released in Section 2 of this Agreement. Executive understands that the provisions of this Agreement shall not be construed as preventing Executive from filing a charge with or cooperating or participating in any investigation or proceeding conducted by any governmental agency, only to the extent Executive is permitted to do so by law, notwithstanding any provisions of any agreement to the contrary. Both parties acknowledge that this Agreement does not limit Executive’s right to communicate with governmental agencies, including filing or participating in an investigative proceeding. Such communication, whether initiated by Executive or an agency, is not limited by this Agreement. However, Executive expressly releases, waives, and disclaims any right to personal compensation or other benefit, including cost and attorneys’ fees, that may otherwise inure to Executive as a result of Executive filing any such charge with a government agency. Executive understands that the provisions of this paragraph means that Executive cannot bring a personal, collective or class action lawsuit or arbitration in any forum against the Releasees for any reason for claims Executive may have as of the date of this Agreement.</w:t>
      </w:r>
    </w:p>
    <w:p>
      <w:pPr>
        <w:spacing w:after="0" w:line="181" w:lineRule="exact"/>
        <w:rPr>
          <w:rFonts w:ascii="Arial" w:cs="Arial" w:eastAsia="Arial" w:hAnsi="Arial"/>
          <w:sz w:val="19"/>
          <w:szCs w:val="19"/>
          <w:color w:val="auto"/>
        </w:rPr>
      </w:pPr>
    </w:p>
    <w:p>
      <w:pPr>
        <w:jc w:val="both"/>
        <w:ind w:left="1004" w:hanging="302"/>
        <w:spacing w:after="0" w:line="287" w:lineRule="auto"/>
        <w:tabs>
          <w:tab w:leader="none" w:pos="992"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Waiver of Relator Recovery</w:t>
      </w:r>
      <w:r>
        <w:rPr>
          <w:rFonts w:ascii="Arial" w:cs="Arial" w:eastAsia="Arial" w:hAnsi="Arial"/>
          <w:sz w:val="19"/>
          <w:szCs w:val="19"/>
          <w:color w:val="auto"/>
        </w:rPr>
        <w:t xml:space="preserve">. To the fullest extent permitted by law, Executive further agrees to release, waive, and forever discharge Executive’s right to any portion of any settlement, judgment, or other recovery as a Relator under the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provisions of the False Claims Act, 31 U.S.C. § 3730, or analogous state false claims acts, in any lawsuit arising from, or in any way related to, any transactions or occurrences involving Company, and other companies Company dealt with, their affiliated or related entities through common identity of ownership (in whole</w:t>
      </w:r>
    </w:p>
    <w:p>
      <w:pPr>
        <w:sectPr>
          <w:pgSz w:w="11900" w:h="16838" w:orient="portrait"/>
          <w:cols w:equalWidth="0" w:num="1">
            <w:col w:w="10684"/>
          </w:cols>
          <w:pgMar w:left="756" w:top="1364" w:right="459" w:bottom="1440" w:gutter="0" w:footer="0" w:header="0"/>
        </w:sectPr>
      </w:pPr>
    </w:p>
    <w:bookmarkStart w:id="74" w:name="page75"/>
    <w:bookmarkEnd w:id="74"/>
    <w:p>
      <w:pPr>
        <w:ind w:left="1340"/>
        <w:spacing w:after="0" w:line="268" w:lineRule="auto"/>
        <w:rPr>
          <w:sz w:val="20"/>
          <w:szCs w:val="20"/>
          <w:color w:val="auto"/>
        </w:rPr>
      </w:pPr>
      <w:r>
        <w:rPr>
          <w:rFonts w:ascii="Arial" w:cs="Arial" w:eastAsia="Arial" w:hAnsi="Arial"/>
          <w:sz w:val="21"/>
          <w:szCs w:val="21"/>
          <w:color w:val="auto"/>
        </w:rPr>
        <w:t>or in part) from the beginning of time until the present, including but not limited to, any right to receive expenses, attorneys’ fees, and costs under 31 U.S.C. § 3730(d) or analogous state laws.</w:t>
      </w:r>
    </w:p>
    <w:p>
      <w:pPr>
        <w:spacing w:after="0" w:line="156" w:lineRule="exact"/>
        <w:rPr>
          <w:sz w:val="20"/>
          <w:szCs w:val="20"/>
          <w:color w:val="auto"/>
        </w:rPr>
      </w:pPr>
    </w:p>
    <w:p>
      <w:pPr>
        <w:jc w:val="both"/>
        <w:ind w:left="20" w:right="20"/>
        <w:spacing w:after="0" w:line="214" w:lineRule="auto"/>
        <w:rPr>
          <w:sz w:val="20"/>
          <w:szCs w:val="20"/>
          <w:color w:val="auto"/>
        </w:rPr>
      </w:pPr>
      <w:r>
        <w:rPr>
          <w:rFonts w:ascii="Arial" w:cs="Arial" w:eastAsia="Arial" w:hAnsi="Arial"/>
          <w:sz w:val="21"/>
          <w:szCs w:val="21"/>
          <w:b w:val="1"/>
          <w:bCs w:val="1"/>
          <w:color w:val="auto"/>
        </w:rPr>
        <w:t>PROTECTED RIGHTS: Nothing in this Agreement is intended to waive claims: (i) for vested rights under ERISA-covered employee benefit plans as applicable on the date Executive signs this Agreement, (ii) that may arise after the parties sign this Agreement, or</w:t>
      </w:r>
    </w:p>
    <w:p>
      <w:pPr>
        <w:spacing w:after="0" w:line="1" w:lineRule="exact"/>
        <w:rPr>
          <w:sz w:val="20"/>
          <w:szCs w:val="20"/>
          <w:color w:val="auto"/>
        </w:rPr>
      </w:pPr>
    </w:p>
    <w:p>
      <w:pPr>
        <w:jc w:val="both"/>
        <w:ind w:left="20" w:right="20" w:hanging="8"/>
        <w:spacing w:after="0" w:line="231" w:lineRule="auto"/>
        <w:tabs>
          <w:tab w:leader="none" w:pos="391"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which cannot be released by private agreement. In addition, nothing in this Agreement including but not limited to the release of claims, cooperation, non-disparagement, covenant not to sue, acknowledgements and representations, shall be construed to prevent the disclosure of factual information related to any acts of sexual assault, sexual harassment, workplace harassment or discrimination based on sex, failure to prevent an act of workplace harassment or discrimination based on sex, or act of retaliation against a person for reporting harassment or discrimination related to the Complaint or waives Executive’s right to testify in an administrative, legislative, or judicial proceeding concerning alleged criminal conduct or alleged sexual harassment on the part of the Company, or on the part of the agents or employees of the Company, when Executive has been required or requested to attend such a proceeding pursuant to a court order, subpoena, or written request from an administrative agency or the legislature, or shall prevent Executive from filing a charge or complaint with or from participating in an investigation or proceeding conducted by the Equal Employment Opportunity Commission (EEOC), National Labor Relations Board (NLRB), or any other any federal, state or local agency charged with the enforcement of any laws, or from exercising rights under Section 7 of the National Labor Relations Act (NLRA) to engage in joint activity with other employee, although by signing this release Executive is waiving rights to individual relief based on claims asserted in such a charge or complaint, or asserted by any third-party on Executive’s behalf, except where such a waiver of individual relief is prohibited.</w:t>
      </w:r>
    </w:p>
    <w:p>
      <w:pPr>
        <w:spacing w:after="0" w:line="170" w:lineRule="exact"/>
        <w:rPr>
          <w:sz w:val="20"/>
          <w:szCs w:val="20"/>
          <w:color w:val="auto"/>
        </w:rPr>
      </w:pPr>
    </w:p>
    <w:p>
      <w:pPr>
        <w:jc w:val="both"/>
        <w:ind w:right="20"/>
        <w:spacing w:after="0" w:line="218" w:lineRule="auto"/>
        <w:rPr>
          <w:sz w:val="20"/>
          <w:szCs w:val="20"/>
          <w:color w:val="auto"/>
        </w:rPr>
      </w:pPr>
      <w:r>
        <w:rPr>
          <w:rFonts w:ascii="Arial" w:cs="Arial" w:eastAsia="Arial" w:hAnsi="Arial"/>
          <w:sz w:val="21"/>
          <w:szCs w:val="21"/>
          <w:b w:val="1"/>
          <w:bCs w:val="1"/>
          <w:color w:val="auto"/>
        </w:rPr>
        <w:t>ALTHOUGH THE PARTIES MAY HAVE AGREED TO KEEP THIS AGREEMENT, ITS TERMS AND UNDERLYING DETAILS CONFIDENTIAL, SUCH A PROVISION IS UNENFORCEABLE AS TO THE UNDERLYING DETAILS OF ANY CLAIM OF HARASSMENT, DISCRIMINATION OR RETALIATION AND IS UNENFORCEABLE AGAINST THE EMPLOYER IF THE EMPLOYEE PUBLICLY REVEALS SUFFICIENT DETAILS OF THE CLAIM SO THAT THE EMPLOYER IS REASONABLY IDENTIFIABLE.</w:t>
      </w:r>
    </w:p>
    <w:p>
      <w:pPr>
        <w:spacing w:after="0" w:line="207" w:lineRule="exact"/>
        <w:rPr>
          <w:sz w:val="20"/>
          <w:szCs w:val="20"/>
          <w:color w:val="auto"/>
        </w:rPr>
      </w:pPr>
    </w:p>
    <w:p>
      <w:pPr>
        <w:jc w:val="both"/>
        <w:ind w:left="640" w:right="20" w:hanging="304"/>
        <w:spacing w:after="0" w:line="249" w:lineRule="auto"/>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No Recognition of Wrongdoing</w:t>
      </w:r>
      <w:r>
        <w:rPr>
          <w:rFonts w:ascii="Arial" w:cs="Arial" w:eastAsia="Arial" w:hAnsi="Arial"/>
          <w:sz w:val="20"/>
          <w:szCs w:val="20"/>
          <w:color w:val="auto"/>
        </w:rPr>
        <w:t>. The signing of this Agreement and payment of the consideration described in it do not represent any admission of wrongdoing or violation of any statute, agreement, or common law by the Company or by Executive. Executive represents that, as of the date(s) Executive signs this Agreement, Executive is not aware of and has not engaged in any activity that would constitute wrongful conduct including, but not limited to, fraud, misrepresentation, violation of any federal, state or local law or regulation, or any conduct contrary to existing policies of the Company. Each of the Company and Executive further represents that it or he, as applicable, has complied with any existing obligations up through the date(s) of the signing this Agreement.</w:t>
      </w:r>
    </w:p>
    <w:p>
      <w:pPr>
        <w:sectPr>
          <w:pgSz w:w="11900" w:h="16838" w:orient="portrait"/>
          <w:cols w:equalWidth="0" w:num="1">
            <w:col w:w="11020"/>
          </w:cols>
          <w:pgMar w:left="420" w:top="1377" w:right="459" w:bottom="1440" w:gutter="0" w:footer="0" w:header="0"/>
        </w:sectPr>
      </w:pPr>
    </w:p>
    <w:bookmarkStart w:id="75" w:name="page76"/>
    <w:bookmarkEnd w:id="75"/>
    <w:p>
      <w:pPr>
        <w:jc w:val="both"/>
        <w:ind w:left="304" w:hanging="304"/>
        <w:spacing w:after="0" w:line="251" w:lineRule="auto"/>
        <w:tabs>
          <w:tab w:leader="none" w:pos="30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No Pending Claims</w:t>
      </w:r>
      <w:r>
        <w:rPr>
          <w:rFonts w:ascii="Arial" w:cs="Arial" w:eastAsia="Arial" w:hAnsi="Arial"/>
          <w:sz w:val="20"/>
          <w:szCs w:val="20"/>
          <w:color w:val="auto"/>
        </w:rPr>
        <w:t>. Executive represents and warrants that Executive has no charges, lawsuits, or actions pending in Executive’s name against any of the Released Parties relating to any claim that has been released in this Agreement. Executive also represents and warrants that Executive has not assigned or transferred to any third party any right or claim against any of the Released Parties that Executive has released in this Agreement.</w:t>
      </w:r>
    </w:p>
    <w:p>
      <w:pPr>
        <w:spacing w:after="0" w:line="154" w:lineRule="exact"/>
        <w:rPr>
          <w:rFonts w:ascii="Arial" w:cs="Arial" w:eastAsia="Arial" w:hAnsi="Arial"/>
          <w:sz w:val="20"/>
          <w:szCs w:val="20"/>
          <w:color w:val="auto"/>
        </w:rPr>
      </w:pPr>
    </w:p>
    <w:p>
      <w:pPr>
        <w:jc w:val="both"/>
        <w:ind w:left="304" w:hanging="304"/>
        <w:spacing w:after="0" w:line="246" w:lineRule="auto"/>
        <w:tabs>
          <w:tab w:leader="none" w:pos="30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Remedies for Breach</w:t>
      </w:r>
      <w:r>
        <w:rPr>
          <w:rFonts w:ascii="Arial" w:cs="Arial" w:eastAsia="Arial" w:hAnsi="Arial"/>
          <w:sz w:val="20"/>
          <w:szCs w:val="20"/>
          <w:color w:val="auto"/>
        </w:rPr>
        <w:t>. If the Company determines that Executive has violated, breached, or are about to breach any provision of this Agreement, or if Executive brings an action against the Company in violation of this Agreement, or if Executive brings an action asking that the Agreement be declared invalid, void, or unenforceable (except for any protected claims under the ADEA), the Company may immediately cease any severance payments and benefits pursuant to the Employment Agreement. Any and all such disputes between Executive and the Company shall be resolved by binding arbitration in accordance the terms of the Employment Agreement. Nothing in this Section shall be construed as prohibiting the Company from pursuing any remedies available to it for breach of the Agreement, including injunctive relief and the recovery of any damages that it is able to prove. By Executive’s signature below, Executive represents that as of the date that Executive executes this Agreement, Executive has not breached any obligations or covenants contained in this Agreement.</w:t>
      </w:r>
    </w:p>
    <w:p>
      <w:pPr>
        <w:spacing w:after="0" w:line="199" w:lineRule="exact"/>
        <w:rPr>
          <w:rFonts w:ascii="Arial" w:cs="Arial" w:eastAsia="Arial" w:hAnsi="Arial"/>
          <w:sz w:val="20"/>
          <w:szCs w:val="20"/>
          <w:color w:val="auto"/>
        </w:rPr>
      </w:pPr>
    </w:p>
    <w:p>
      <w:pPr>
        <w:jc w:val="both"/>
        <w:ind w:left="304" w:hanging="304"/>
        <w:spacing w:after="0" w:line="273" w:lineRule="auto"/>
        <w:tabs>
          <w:tab w:leader="none" w:pos="30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Controlling Law; Jurisdiction and Venue</w:t>
      </w:r>
      <w:r>
        <w:rPr>
          <w:rFonts w:ascii="Arial" w:cs="Arial" w:eastAsia="Arial" w:hAnsi="Arial"/>
          <w:sz w:val="19"/>
          <w:szCs w:val="19"/>
          <w:color w:val="auto"/>
        </w:rPr>
        <w:t>. This Agreement shall be construed in accordance with and governed by the laws of the State of Delaware, without reference to principles of conflict of laws that would require application of the law of another jurisdiction. The Company and Executive irrevocably consent solely to the jurisdiction of the federal and state courts in the State of California for the resolution of any disputes arising under or respect to this Agreement.</w:t>
      </w:r>
    </w:p>
    <w:p>
      <w:pPr>
        <w:spacing w:after="0" w:line="174" w:lineRule="exact"/>
        <w:rPr>
          <w:rFonts w:ascii="Arial" w:cs="Arial" w:eastAsia="Arial" w:hAnsi="Arial"/>
          <w:sz w:val="19"/>
          <w:szCs w:val="19"/>
          <w:color w:val="auto"/>
        </w:rPr>
      </w:pPr>
    </w:p>
    <w:p>
      <w:pPr>
        <w:jc w:val="both"/>
        <w:ind w:left="304" w:right="40" w:hanging="304"/>
        <w:spacing w:after="0" w:line="249" w:lineRule="auto"/>
        <w:tabs>
          <w:tab w:leader="none" w:pos="30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any restrictive covenant and arbitration agreements and policies referenced in Sections 10 (Arbitration) and 11 (Restrictive Covenants) of the Employment Agreement, together (i) constitute the entire agreement between the Company and Executive regarding the separation of the Executive’s employment, (ii) survive the termination of Executive’s employment, and (iii) supersede and cancel all prior and contemporaneous written and oral agreements, if any, except as specifically provided herein. This Agreement may be executed, including execution by facsimile or electronically transmitted signature, in multiple counterparts, each of which will be deemed an original, and all of which together will be deemed to be one and the same instrument.</w:t>
      </w:r>
    </w:p>
    <w:p>
      <w:pPr>
        <w:spacing w:after="0" w:line="198" w:lineRule="exact"/>
        <w:rPr>
          <w:rFonts w:ascii="Arial" w:cs="Arial" w:eastAsia="Arial" w:hAnsi="Arial"/>
          <w:sz w:val="20"/>
          <w:szCs w:val="20"/>
          <w:color w:val="auto"/>
        </w:rPr>
      </w:pPr>
    </w:p>
    <w:p>
      <w:pPr>
        <w:jc w:val="both"/>
        <w:ind w:left="304" w:hanging="304"/>
        <w:spacing w:after="0" w:line="243" w:lineRule="auto"/>
        <w:tabs>
          <w:tab w:leader="none" w:pos="304"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of the provisions, terms or clauses of this Agreement are declared illegal, unenforceable, or ineffective, those provisions, terms and clauses shall be deemed severable, and all other provisions, terms and clauses of this Agreement shall remain valid and binding upon both parties.</w:t>
      </w:r>
    </w:p>
    <w:p>
      <w:pPr>
        <w:spacing w:after="0" w:line="162" w:lineRule="exact"/>
        <w:rPr>
          <w:rFonts w:ascii="Arial" w:cs="Arial" w:eastAsia="Arial" w:hAnsi="Arial"/>
          <w:sz w:val="21"/>
          <w:szCs w:val="21"/>
          <w:color w:val="auto"/>
        </w:rPr>
      </w:pPr>
    </w:p>
    <w:p>
      <w:pPr>
        <w:jc w:val="both"/>
        <w:ind w:left="304" w:hanging="304"/>
        <w:spacing w:after="0" w:line="236" w:lineRule="auto"/>
        <w:tabs>
          <w:tab w:leader="none" w:pos="304"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Representation</w:t>
      </w:r>
      <w:r>
        <w:rPr>
          <w:rFonts w:ascii="Arial" w:cs="Arial" w:eastAsia="Arial" w:hAnsi="Arial"/>
          <w:sz w:val="21"/>
          <w:szCs w:val="21"/>
          <w:color w:val="auto"/>
        </w:rPr>
        <w:t>. Executive agrees that no promise or inducement has been offered except as set forth in this Agreement and the Employment Agreement, and that Executive is signing this Agreement without reliance upon any statement or representation by the Company or any representative or agent of the Company except as set forth in this Agreement and the Employment Agreement.</w:t>
      </w:r>
    </w:p>
    <w:p>
      <w:pPr>
        <w:sectPr>
          <w:pgSz w:w="11900" w:h="16838" w:orient="portrait"/>
          <w:cols w:equalWidth="0" w:num="1">
            <w:col w:w="10664"/>
          </w:cols>
          <w:pgMar w:left="756" w:top="1364" w:right="479" w:bottom="1440" w:gutter="0" w:footer="0" w:header="0"/>
        </w:sectPr>
      </w:pPr>
    </w:p>
    <w:bookmarkStart w:id="76" w:name="page77"/>
    <w:bookmarkEnd w:id="76"/>
    <w:p>
      <w:pPr>
        <w:spacing w:after="0" w:line="158"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I HAVE CAREFULLY READ AND FULLY UNDERSTAND AND VOLUNTARILY AGREE TO ALL THE TERMS OF THIS RELEASE IN EXCHANGE FOR THE SEVERANCE PAYMENTS AND BENEFITS TO WHICH I WOULD OTHERWISE NOT BE ENTITLED.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-5715</wp:posOffset>
            </wp:positionV>
            <wp:extent cx="132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-5715</wp:posOffset>
            </wp:positionV>
            <wp:extent cx="132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1"/>
          <w:szCs w:val="21"/>
          <w:color w:val="auto"/>
        </w:rPr>
        <w:t>Andrew Toy</w:t>
      </w:r>
    </w:p>
    <w:p>
      <w:pPr>
        <w:sectPr>
          <w:pgSz w:w="11900" w:h="16838" w:orient="portrait"/>
          <w:cols w:equalWidth="0" w:num="1">
            <w:col w:w="10980"/>
          </w:cols>
          <w:pgMar w:left="440" w:top="1440" w:right="479" w:bottom="1440" w:gutter="0" w:footer="0" w:header="0"/>
        </w:sectPr>
      </w:pPr>
    </w:p>
    <w:bookmarkStart w:id="77" w:name="page78"/>
    <w:bookmarkEnd w:id="77"/>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be provided at time of separation.]</w:t>
      </w:r>
    </w:p>
    <w:p>
      <w:pPr>
        <w:sectPr>
          <w:pgSz w:w="11900" w:h="16838" w:orient="portrait"/>
          <w:cols w:equalWidth="0" w:num="1">
            <w:col w:w="9019"/>
          </w:cols>
          <w:pgMar w:left="1440" w:top="1345" w:right="1440" w:bottom="1440" w:gutter="0" w:footer="0" w:header="0"/>
        </w:sectPr>
      </w:pPr>
    </w:p>
    <w:bookmarkStart w:id="78" w:name="page79"/>
    <w:bookmarkEnd w:id="78"/>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CLOVER HEALTH INVESTMENTS, CORP.</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DIRECTOR COMPENSATION POLICY</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(Adopted, approved, and effective on September 21, 2022)</w:t>
      </w:r>
    </w:p>
    <w:p>
      <w:pPr>
        <w:spacing w:after="0" w:line="220"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Each member of the Board of Directors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of Clover Health Investments, Corp.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who is not an employee of the Company (each such member, an “</w:t>
      </w:r>
      <w:r>
        <w:rPr>
          <w:rFonts w:ascii="Arial" w:cs="Arial" w:eastAsia="Arial" w:hAnsi="Arial"/>
          <w:sz w:val="15"/>
          <w:szCs w:val="15"/>
          <w:b w:val="1"/>
          <w:bCs w:val="1"/>
          <w:i w:val="1"/>
          <w:iCs w:val="1"/>
          <w:color w:val="auto"/>
        </w:rPr>
        <w:t>Outside Director</w:t>
      </w:r>
      <w:r>
        <w:rPr>
          <w:rFonts w:ascii="Arial" w:cs="Arial" w:eastAsia="Arial" w:hAnsi="Arial"/>
          <w:sz w:val="15"/>
          <w:szCs w:val="15"/>
          <w:color w:val="auto"/>
        </w:rPr>
        <w:t>”) will receive the compensation described in this amended and restated Outside Director Compensation Policy (the “</w:t>
      </w:r>
      <w:r>
        <w:rPr>
          <w:rFonts w:ascii="Arial" w:cs="Arial" w:eastAsia="Arial" w:hAnsi="Arial"/>
          <w:sz w:val="15"/>
          <w:szCs w:val="15"/>
          <w:b w:val="1"/>
          <w:bCs w:val="1"/>
          <w:i w:val="1"/>
          <w:iCs w:val="1"/>
          <w:color w:val="auto"/>
        </w:rPr>
        <w:t>Amended and Restated Director Compensation Policy</w:t>
      </w:r>
      <w:r>
        <w:rPr>
          <w:rFonts w:ascii="Arial" w:cs="Arial" w:eastAsia="Arial" w:hAnsi="Arial"/>
          <w:sz w:val="15"/>
          <w:szCs w:val="15"/>
          <w:color w:val="auto"/>
        </w:rPr>
        <w:t>”) for his or her Board service following the effective date set forth above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Amended and Restated Director Compensation Policy will become effective upon the Effective Date. The Amended and Restated Director Compensation Policy may be amended at any time in the sole discretion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Cash Compensation</w:t>
      </w:r>
    </w:p>
    <w:p>
      <w:pPr>
        <w:spacing w:after="0" w:line="96" w:lineRule="exact"/>
        <w:rPr>
          <w:sz w:val="20"/>
          <w:szCs w:val="20"/>
          <w:color w:val="auto"/>
        </w:rPr>
      </w:pPr>
    </w:p>
    <w:p>
      <w:pPr>
        <w:ind w:right="20"/>
        <w:spacing w:after="0" w:line="218" w:lineRule="auto"/>
        <w:rPr>
          <w:sz w:val="20"/>
          <w:szCs w:val="20"/>
          <w:color w:val="auto"/>
        </w:rPr>
      </w:pPr>
      <w:r>
        <w:rPr>
          <w:rFonts w:ascii="Arial" w:cs="Arial" w:eastAsia="Arial" w:hAnsi="Arial"/>
          <w:sz w:val="17"/>
          <w:szCs w:val="17"/>
          <w:color w:val="auto"/>
        </w:rPr>
        <w:t>Each Outside Director will receive the cash compensation set forth below for service on the Board. The annual cash compensation amounts will be payable in arrears, in equal quarterly installments following the end of each fiscal quarter of the Company in which the service occurred. Any amount payable for a partial quarter of service will</w:t>
      </w:r>
    </w:p>
    <w:p>
      <w:pPr>
        <w:spacing w:after="0" w:line="1"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be pro-rated by multiplying such amount by a fraction, the numerator of which will be the number of days of service that the Outside Director provided in such quarter and the denominator of which will be the number of days in such quarter inclusive. All annual cash fees are vested upon payment.</w:t>
      </w:r>
    </w:p>
    <w:p>
      <w:pPr>
        <w:spacing w:after="0" w:line="234" w:lineRule="exact"/>
        <w:rPr>
          <w:sz w:val="20"/>
          <w:szCs w:val="20"/>
          <w:color w:val="auto"/>
        </w:rPr>
      </w:pPr>
    </w:p>
    <w:p>
      <w:pPr>
        <w:ind w:left="20"/>
        <w:spacing w:after="0"/>
        <w:tabs>
          <w:tab w:leader="none" w:pos="300" w:val="left"/>
          <w:tab w:leader="none" w:pos="12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b w:val="1"/>
          <w:bCs w:val="1"/>
          <w:color w:val="auto"/>
        </w:rPr>
        <w:t>Annual</w:t>
      </w:r>
      <w:r>
        <w:rPr>
          <w:sz w:val="20"/>
          <w:szCs w:val="20"/>
          <w:color w:val="auto"/>
        </w:rPr>
        <w:tab/>
      </w:r>
      <w:r>
        <w:rPr>
          <w:rFonts w:ascii="Arial" w:cs="Arial" w:eastAsia="Arial" w:hAnsi="Arial"/>
          <w:sz w:val="15"/>
          <w:szCs w:val="15"/>
          <w:b w:val="1"/>
          <w:bCs w:val="1"/>
          <w:color w:val="auto"/>
        </w:rPr>
        <w:t>Board Member Service Retainer</w:t>
      </w:r>
      <w:r>
        <w:rPr>
          <w:rFonts w:ascii="Arial" w:cs="Arial" w:eastAsia="Arial" w:hAnsi="Arial"/>
          <w:sz w:val="15"/>
          <w:szCs w:val="15"/>
          <w:color w:val="auto"/>
        </w:rPr>
        <w:t>:</w:t>
      </w:r>
    </w:p>
    <w:p>
      <w:pPr>
        <w:ind w:left="960" w:hanging="537"/>
        <w:spacing w:after="0" w:line="196" w:lineRule="auto"/>
        <w:tabs>
          <w:tab w:leader="none" w:pos="960" w:val="left"/>
        </w:tabs>
        <w:numPr>
          <w:ilvl w:val="0"/>
          <w:numId w:val="50"/>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All Outside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$50,000</w:t>
      </w:r>
      <w:r>
        <w:rPr>
          <w:rFonts w:ascii="Arial" w:cs="Arial" w:eastAsia="Arial" w:hAnsi="Arial"/>
          <w:sz w:val="17"/>
          <w:szCs w:val="17"/>
          <w:color w:val="auto"/>
        </w:rPr>
        <w:t>.</w:t>
      </w:r>
    </w:p>
    <w:p>
      <w:pPr>
        <w:spacing w:after="0" w:line="79" w:lineRule="exact"/>
        <w:rPr>
          <w:rFonts w:ascii="Arial" w:cs="Arial" w:eastAsia="Arial" w:hAnsi="Arial"/>
          <w:sz w:val="35"/>
          <w:szCs w:val="35"/>
          <w:color w:val="auto"/>
          <w:vertAlign w:val="superscript"/>
        </w:rPr>
      </w:pPr>
    </w:p>
    <w:p>
      <w:pPr>
        <w:ind w:left="960" w:hanging="537"/>
        <w:spacing w:after="0" w:line="187" w:lineRule="auto"/>
        <w:tabs>
          <w:tab w:leader="none" w:pos="960" w:val="left"/>
        </w:tabs>
        <w:numPr>
          <w:ilvl w:val="0"/>
          <w:numId w:val="50"/>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Outside Director serving as Chairperson</w:t>
      </w:r>
      <w:r>
        <w:rPr>
          <w:rFonts w:ascii="Arial" w:cs="Arial" w:eastAsia="Arial" w:hAnsi="Arial"/>
          <w:sz w:val="13"/>
          <w:szCs w:val="13"/>
          <w:color w:val="auto"/>
        </w:rPr>
        <w:t xml:space="preserve">: </w:t>
      </w:r>
      <w:r>
        <w:rPr>
          <w:rFonts w:ascii="Arial" w:cs="Arial" w:eastAsia="Arial" w:hAnsi="Arial"/>
          <w:sz w:val="13"/>
          <w:szCs w:val="13"/>
          <w:b w:val="1"/>
          <w:bCs w:val="1"/>
          <w:color w:val="auto"/>
        </w:rPr>
        <w:t>$50,000</w:t>
      </w:r>
      <w:r>
        <w:rPr>
          <w:rFonts w:ascii="Arial" w:cs="Arial" w:eastAsia="Arial" w:hAnsi="Arial"/>
          <w:sz w:val="13"/>
          <w:szCs w:val="13"/>
          <w:color w:val="auto"/>
        </w:rPr>
        <w:t xml:space="preserve"> (in addition to above).</w:t>
      </w:r>
    </w:p>
    <w:p>
      <w:pPr>
        <w:spacing w:after="0" w:line="79" w:lineRule="exact"/>
        <w:rPr>
          <w:rFonts w:ascii="Arial" w:cs="Arial" w:eastAsia="Arial" w:hAnsi="Arial"/>
          <w:sz w:val="23"/>
          <w:szCs w:val="23"/>
          <w:color w:val="auto"/>
          <w:vertAlign w:val="superscript"/>
        </w:rPr>
      </w:pPr>
    </w:p>
    <w:p>
      <w:pPr>
        <w:ind w:left="960" w:hanging="537"/>
        <w:spacing w:after="0" w:line="187" w:lineRule="auto"/>
        <w:tabs>
          <w:tab w:leader="none" w:pos="960" w:val="left"/>
        </w:tabs>
        <w:numPr>
          <w:ilvl w:val="0"/>
          <w:numId w:val="50"/>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Outside Director serving as Lead Independent Director</w:t>
      </w:r>
      <w:r>
        <w:rPr>
          <w:rFonts w:ascii="Arial" w:cs="Arial" w:eastAsia="Arial" w:hAnsi="Arial"/>
          <w:sz w:val="13"/>
          <w:szCs w:val="13"/>
          <w:color w:val="auto"/>
        </w:rPr>
        <w:t xml:space="preserve">: </w:t>
      </w:r>
      <w:r>
        <w:rPr>
          <w:rFonts w:ascii="Arial" w:cs="Arial" w:eastAsia="Arial" w:hAnsi="Arial"/>
          <w:sz w:val="13"/>
          <w:szCs w:val="13"/>
          <w:b w:val="1"/>
          <w:bCs w:val="1"/>
          <w:color w:val="auto"/>
        </w:rPr>
        <w:t>$30,000</w:t>
      </w:r>
      <w:r>
        <w:rPr>
          <w:rFonts w:ascii="Arial" w:cs="Arial" w:eastAsia="Arial" w:hAnsi="Arial"/>
          <w:sz w:val="13"/>
          <w:szCs w:val="13"/>
          <w:color w:val="auto"/>
        </w:rPr>
        <w:t xml:space="preserve"> (in addition to above).</w:t>
      </w:r>
    </w:p>
    <w:p>
      <w:pPr>
        <w:spacing w:after="0" w:line="79" w:lineRule="exact"/>
        <w:rPr>
          <w:sz w:val="20"/>
          <w:szCs w:val="20"/>
          <w:color w:val="auto"/>
        </w:rPr>
      </w:pPr>
    </w:p>
    <w:p>
      <w:pPr>
        <w:ind w:left="20"/>
        <w:spacing w:after="0"/>
        <w:tabs>
          <w:tab w:leader="none" w:pos="300" w:val="left"/>
          <w:tab w:leader="none" w:pos="1220" w:val="left"/>
        </w:tabs>
        <w:rPr>
          <w:sz w:val="20"/>
          <w:szCs w:val="20"/>
          <w:color w:val="auto"/>
        </w:rPr>
      </w:pPr>
      <w:r>
        <w:rPr>
          <w:rFonts w:ascii="Arial" w:cs="Arial" w:eastAsia="Arial" w:hAnsi="Arial"/>
          <w:sz w:val="17"/>
          <w:szCs w:val="17"/>
          <w:b w:val="1"/>
          <w:bCs w:val="1"/>
          <w:color w:val="auto"/>
        </w:rPr>
        <w:t>2.</w:t>
        <w:tab/>
        <w:t>Annual</w:t>
      </w:r>
      <w:r>
        <w:rPr>
          <w:sz w:val="20"/>
          <w:szCs w:val="20"/>
          <w:color w:val="auto"/>
        </w:rPr>
        <w:tab/>
      </w:r>
      <w:r>
        <w:rPr>
          <w:rFonts w:ascii="Arial" w:cs="Arial" w:eastAsia="Arial" w:hAnsi="Arial"/>
          <w:sz w:val="15"/>
          <w:szCs w:val="15"/>
          <w:b w:val="1"/>
          <w:bCs w:val="1"/>
          <w:color w:val="auto"/>
        </w:rPr>
        <w:t>Committee Member Service Retainer:</w:t>
      </w:r>
    </w:p>
    <w:p>
      <w:pPr>
        <w:ind w:left="960" w:hanging="537"/>
        <w:spacing w:after="0" w:line="181" w:lineRule="auto"/>
        <w:tabs>
          <w:tab w:leader="none" w:pos="960" w:val="left"/>
        </w:tabs>
        <w:numPr>
          <w:ilvl w:val="1"/>
          <w:numId w:val="51"/>
        </w:numPr>
        <w:rPr>
          <w:rFonts w:ascii="Arial" w:cs="Arial" w:eastAsia="Arial" w:hAnsi="Arial"/>
          <w:sz w:val="34"/>
          <w:szCs w:val="34"/>
          <w:color w:val="auto"/>
          <w:vertAlign w:val="superscript"/>
        </w:rPr>
      </w:pPr>
      <w:r>
        <w:rPr>
          <w:rFonts w:ascii="Arial" w:cs="Arial" w:eastAsia="Arial" w:hAnsi="Arial"/>
          <w:sz w:val="17"/>
          <w:szCs w:val="17"/>
          <w:u w:val="single" w:color="auto"/>
          <w:color w:val="auto"/>
        </w:rPr>
        <w:t>Member of the Audit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$10,000</w:t>
      </w:r>
      <w:r>
        <w:rPr>
          <w:rFonts w:ascii="Arial" w:cs="Arial" w:eastAsia="Arial" w:hAnsi="Arial"/>
          <w:sz w:val="17"/>
          <w:szCs w:val="17"/>
          <w:color w:val="auto"/>
        </w:rPr>
        <w:t>.</w:t>
      </w:r>
    </w:p>
    <w:p>
      <w:pPr>
        <w:spacing w:after="0" w:line="80" w:lineRule="exact"/>
        <w:rPr>
          <w:rFonts w:ascii="Arial" w:cs="Arial" w:eastAsia="Arial" w:hAnsi="Arial"/>
          <w:sz w:val="34"/>
          <w:szCs w:val="34"/>
          <w:color w:val="auto"/>
          <w:vertAlign w:val="superscript"/>
        </w:rPr>
      </w:pPr>
    </w:p>
    <w:p>
      <w:pPr>
        <w:ind w:left="960" w:hanging="537"/>
        <w:spacing w:after="0" w:line="187" w:lineRule="auto"/>
        <w:tabs>
          <w:tab w:leader="none" w:pos="960" w:val="left"/>
        </w:tabs>
        <w:numPr>
          <w:ilvl w:val="1"/>
          <w:numId w:val="51"/>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Member of the Compensation Committee</w:t>
      </w:r>
      <w:r>
        <w:rPr>
          <w:rFonts w:ascii="Arial" w:cs="Arial" w:eastAsia="Arial" w:hAnsi="Arial"/>
          <w:sz w:val="13"/>
          <w:szCs w:val="13"/>
          <w:color w:val="auto"/>
        </w:rPr>
        <w:t xml:space="preserve">: </w:t>
      </w:r>
      <w:r>
        <w:rPr>
          <w:rFonts w:ascii="Arial" w:cs="Arial" w:eastAsia="Arial" w:hAnsi="Arial"/>
          <w:sz w:val="13"/>
          <w:szCs w:val="13"/>
          <w:b w:val="1"/>
          <w:bCs w:val="1"/>
          <w:color w:val="auto"/>
        </w:rPr>
        <w:t>$7,500</w:t>
      </w:r>
      <w:r>
        <w:rPr>
          <w:rFonts w:ascii="Arial" w:cs="Arial" w:eastAsia="Arial" w:hAnsi="Arial"/>
          <w:sz w:val="13"/>
          <w:szCs w:val="13"/>
          <w:color w:val="auto"/>
        </w:rPr>
        <w:t>.</w:t>
      </w:r>
    </w:p>
    <w:p>
      <w:pPr>
        <w:spacing w:after="0" w:line="79" w:lineRule="exact"/>
        <w:rPr>
          <w:rFonts w:ascii="Arial" w:cs="Arial" w:eastAsia="Arial" w:hAnsi="Arial"/>
          <w:sz w:val="23"/>
          <w:szCs w:val="23"/>
          <w:color w:val="auto"/>
          <w:vertAlign w:val="superscript"/>
        </w:rPr>
      </w:pPr>
    </w:p>
    <w:p>
      <w:pPr>
        <w:ind w:left="960" w:hanging="537"/>
        <w:spacing w:after="0" w:line="187" w:lineRule="auto"/>
        <w:tabs>
          <w:tab w:leader="none" w:pos="960" w:val="left"/>
        </w:tabs>
        <w:numPr>
          <w:ilvl w:val="1"/>
          <w:numId w:val="51"/>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Member of the Nominating and Corporate Governance Committee</w:t>
      </w:r>
      <w:r>
        <w:rPr>
          <w:rFonts w:ascii="Arial" w:cs="Arial" w:eastAsia="Arial" w:hAnsi="Arial"/>
          <w:sz w:val="13"/>
          <w:szCs w:val="13"/>
          <w:color w:val="auto"/>
        </w:rPr>
        <w:t xml:space="preserve">: </w:t>
      </w:r>
      <w:r>
        <w:rPr>
          <w:rFonts w:ascii="Arial" w:cs="Arial" w:eastAsia="Arial" w:hAnsi="Arial"/>
          <w:sz w:val="13"/>
          <w:szCs w:val="13"/>
          <w:b w:val="1"/>
          <w:bCs w:val="1"/>
          <w:color w:val="auto"/>
        </w:rPr>
        <w:t>$5,000</w:t>
      </w:r>
      <w:r>
        <w:rPr>
          <w:rFonts w:ascii="Arial" w:cs="Arial" w:eastAsia="Arial" w:hAnsi="Arial"/>
          <w:sz w:val="13"/>
          <w:szCs w:val="13"/>
          <w:color w:val="auto"/>
        </w:rPr>
        <w:t>.</w:t>
      </w:r>
    </w:p>
    <w:p>
      <w:pPr>
        <w:spacing w:after="0" w:line="79" w:lineRule="exact"/>
        <w:rPr>
          <w:rFonts w:ascii="Arial" w:cs="Arial" w:eastAsia="Arial" w:hAnsi="Arial"/>
          <w:sz w:val="23"/>
          <w:szCs w:val="23"/>
          <w:color w:val="auto"/>
          <w:vertAlign w:val="superscript"/>
        </w:rPr>
      </w:pPr>
    </w:p>
    <w:p>
      <w:pPr>
        <w:ind w:left="420" w:hanging="401"/>
        <w:spacing w:after="0" w:line="187" w:lineRule="auto"/>
        <w:tabs>
          <w:tab w:leader="none" w:pos="420" w:val="left"/>
        </w:tabs>
        <w:numPr>
          <w:ilvl w:val="0"/>
          <w:numId w:val="52"/>
        </w:numPr>
        <w:rPr>
          <w:rFonts w:ascii="Arial" w:cs="Arial" w:eastAsia="Arial" w:hAnsi="Arial"/>
          <w:sz w:val="23"/>
          <w:szCs w:val="23"/>
          <w:b w:val="1"/>
          <w:bCs w:val="1"/>
          <w:color w:val="auto"/>
          <w:vertAlign w:val="superscript"/>
        </w:rPr>
      </w:pPr>
      <w:r>
        <w:rPr>
          <w:rFonts w:ascii="Arial" w:cs="Arial" w:eastAsia="Arial" w:hAnsi="Arial"/>
          <w:sz w:val="13"/>
          <w:szCs w:val="13"/>
          <w:b w:val="1"/>
          <w:bCs w:val="1"/>
          <w:color w:val="auto"/>
        </w:rPr>
        <w:t>Annual Committee Chair Service Retainer (in lieu of the Annual Committee Member Service Retainer):</w:t>
      </w:r>
    </w:p>
    <w:p>
      <w:pPr>
        <w:spacing w:after="0" w:line="79" w:lineRule="exact"/>
        <w:rPr>
          <w:rFonts w:ascii="Arial" w:cs="Arial" w:eastAsia="Arial" w:hAnsi="Arial"/>
          <w:sz w:val="23"/>
          <w:szCs w:val="23"/>
          <w:b w:val="1"/>
          <w:bCs w:val="1"/>
          <w:color w:val="auto"/>
          <w:vertAlign w:val="superscript"/>
        </w:rPr>
      </w:pPr>
    </w:p>
    <w:p>
      <w:pPr>
        <w:ind w:left="960" w:hanging="537"/>
        <w:spacing w:after="0" w:line="187" w:lineRule="auto"/>
        <w:tabs>
          <w:tab w:leader="none" w:pos="960" w:val="left"/>
        </w:tabs>
        <w:numPr>
          <w:ilvl w:val="1"/>
          <w:numId w:val="52"/>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Chairperson of the Audit Committee</w:t>
      </w:r>
      <w:r>
        <w:rPr>
          <w:rFonts w:ascii="Arial" w:cs="Arial" w:eastAsia="Arial" w:hAnsi="Arial"/>
          <w:sz w:val="13"/>
          <w:szCs w:val="13"/>
          <w:color w:val="auto"/>
        </w:rPr>
        <w:t xml:space="preserve">: </w:t>
      </w:r>
      <w:r>
        <w:rPr>
          <w:rFonts w:ascii="Arial" w:cs="Arial" w:eastAsia="Arial" w:hAnsi="Arial"/>
          <w:sz w:val="13"/>
          <w:szCs w:val="13"/>
          <w:b w:val="1"/>
          <w:bCs w:val="1"/>
          <w:color w:val="auto"/>
        </w:rPr>
        <w:t>$25,000</w:t>
      </w:r>
      <w:r>
        <w:rPr>
          <w:rFonts w:ascii="Arial" w:cs="Arial" w:eastAsia="Arial" w:hAnsi="Arial"/>
          <w:sz w:val="13"/>
          <w:szCs w:val="13"/>
          <w:color w:val="auto"/>
        </w:rPr>
        <w:t>.</w:t>
      </w:r>
    </w:p>
    <w:p>
      <w:pPr>
        <w:spacing w:after="0" w:line="79" w:lineRule="exact"/>
        <w:rPr>
          <w:rFonts w:ascii="Arial" w:cs="Arial" w:eastAsia="Arial" w:hAnsi="Arial"/>
          <w:sz w:val="23"/>
          <w:szCs w:val="23"/>
          <w:color w:val="auto"/>
          <w:vertAlign w:val="superscript"/>
        </w:rPr>
      </w:pPr>
    </w:p>
    <w:p>
      <w:pPr>
        <w:ind w:left="960" w:hanging="537"/>
        <w:spacing w:after="0" w:line="187" w:lineRule="auto"/>
        <w:tabs>
          <w:tab w:leader="none" w:pos="960" w:val="left"/>
        </w:tabs>
        <w:numPr>
          <w:ilvl w:val="1"/>
          <w:numId w:val="52"/>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Chairperson of the Compensation Committee</w:t>
      </w:r>
      <w:r>
        <w:rPr>
          <w:rFonts w:ascii="Arial" w:cs="Arial" w:eastAsia="Arial" w:hAnsi="Arial"/>
          <w:sz w:val="13"/>
          <w:szCs w:val="13"/>
          <w:color w:val="auto"/>
        </w:rPr>
        <w:t xml:space="preserve">: </w:t>
      </w:r>
      <w:r>
        <w:rPr>
          <w:rFonts w:ascii="Arial" w:cs="Arial" w:eastAsia="Arial" w:hAnsi="Arial"/>
          <w:sz w:val="13"/>
          <w:szCs w:val="13"/>
          <w:b w:val="1"/>
          <w:bCs w:val="1"/>
          <w:color w:val="auto"/>
        </w:rPr>
        <w:t>$20,000</w:t>
      </w:r>
      <w:r>
        <w:rPr>
          <w:rFonts w:ascii="Arial" w:cs="Arial" w:eastAsia="Arial" w:hAnsi="Arial"/>
          <w:sz w:val="13"/>
          <w:szCs w:val="13"/>
          <w:color w:val="auto"/>
        </w:rPr>
        <w:t>.</w:t>
      </w:r>
    </w:p>
    <w:p>
      <w:pPr>
        <w:spacing w:after="0" w:line="79" w:lineRule="exact"/>
        <w:rPr>
          <w:rFonts w:ascii="Arial" w:cs="Arial" w:eastAsia="Arial" w:hAnsi="Arial"/>
          <w:sz w:val="23"/>
          <w:szCs w:val="23"/>
          <w:color w:val="auto"/>
          <w:vertAlign w:val="superscript"/>
        </w:rPr>
      </w:pPr>
    </w:p>
    <w:p>
      <w:pPr>
        <w:ind w:left="960" w:hanging="537"/>
        <w:spacing w:after="0" w:line="187" w:lineRule="auto"/>
        <w:tabs>
          <w:tab w:leader="none" w:pos="960" w:val="left"/>
        </w:tabs>
        <w:numPr>
          <w:ilvl w:val="1"/>
          <w:numId w:val="52"/>
        </w:numPr>
        <w:rPr>
          <w:rFonts w:ascii="Arial" w:cs="Arial" w:eastAsia="Arial" w:hAnsi="Arial"/>
          <w:sz w:val="23"/>
          <w:szCs w:val="23"/>
          <w:color w:val="auto"/>
          <w:vertAlign w:val="superscript"/>
        </w:rPr>
      </w:pPr>
      <w:r>
        <w:rPr>
          <w:rFonts w:ascii="Arial" w:cs="Arial" w:eastAsia="Arial" w:hAnsi="Arial"/>
          <w:sz w:val="13"/>
          <w:szCs w:val="13"/>
          <w:u w:val="single" w:color="auto"/>
          <w:color w:val="auto"/>
        </w:rPr>
        <w:t>Chairperson of the Nominating and Corporate Governance Committee</w:t>
      </w:r>
      <w:r>
        <w:rPr>
          <w:rFonts w:ascii="Arial" w:cs="Arial" w:eastAsia="Arial" w:hAnsi="Arial"/>
          <w:sz w:val="13"/>
          <w:szCs w:val="13"/>
          <w:color w:val="auto"/>
        </w:rPr>
        <w:t xml:space="preserve">: </w:t>
      </w:r>
      <w:r>
        <w:rPr>
          <w:rFonts w:ascii="Arial" w:cs="Arial" w:eastAsia="Arial" w:hAnsi="Arial"/>
          <w:sz w:val="13"/>
          <w:szCs w:val="13"/>
          <w:b w:val="1"/>
          <w:bCs w:val="1"/>
          <w:color w:val="auto"/>
        </w:rPr>
        <w:t>$15,000</w:t>
      </w:r>
      <w:r>
        <w:rPr>
          <w:rFonts w:ascii="Arial" w:cs="Arial" w:eastAsia="Arial" w:hAnsi="Arial"/>
          <w:sz w:val="13"/>
          <w:szCs w:val="13"/>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83" w:lineRule="exact"/>
        <w:rPr>
          <w:sz w:val="20"/>
          <w:szCs w:val="20"/>
          <w:color w:val="auto"/>
        </w:rPr>
      </w:pPr>
    </w:p>
    <w:p>
      <w:pPr>
        <w:ind w:right="680"/>
        <w:spacing w:after="0" w:line="238" w:lineRule="auto"/>
        <w:rPr>
          <w:sz w:val="20"/>
          <w:szCs w:val="20"/>
          <w:color w:val="auto"/>
        </w:rPr>
      </w:pPr>
      <w:r>
        <w:rPr>
          <w:rFonts w:ascii="Arial" w:cs="Arial" w:eastAsia="Arial" w:hAnsi="Arial"/>
          <w:sz w:val="17"/>
          <w:szCs w:val="17"/>
          <w:color w:val="auto"/>
        </w:rPr>
        <w:t>Equity awards will be granted under the Company’s 2020 Equity Incentive Plan or any successor equity incentive plan adopted by the Board and the stockholders of the Company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242" w:lineRule="exact"/>
        <w:rPr>
          <w:sz w:val="20"/>
          <w:szCs w:val="20"/>
          <w:color w:val="auto"/>
        </w:rPr>
      </w:pPr>
    </w:p>
    <w:p>
      <w:pPr>
        <w:ind w:left="420" w:right="440" w:hanging="401"/>
        <w:spacing w:after="0" w:line="25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Automatic Equity Grants</w:t>
      </w:r>
      <w:r>
        <w:rPr>
          <w:rFonts w:ascii="Arial" w:cs="Arial" w:eastAsia="Arial" w:hAnsi="Arial"/>
          <w:sz w:val="17"/>
          <w:szCs w:val="17"/>
          <w:color w:val="auto"/>
        </w:rPr>
        <w:t>. Annual and initial grants will be made as set forth below beginning for the relevant periods occurring after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the Company’s stockholders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during 2022 (the “</w:t>
      </w:r>
      <w:r>
        <w:rPr>
          <w:rFonts w:ascii="Arial" w:cs="Arial" w:eastAsia="Arial" w:hAnsi="Arial"/>
          <w:sz w:val="17"/>
          <w:szCs w:val="17"/>
          <w:b w:val="1"/>
          <w:bCs w:val="1"/>
          <w:i w:val="1"/>
          <w:iCs w:val="1"/>
          <w:color w:val="auto"/>
        </w:rPr>
        <w:t>2022 Annual Meeting</w:t>
      </w:r>
      <w:r>
        <w:rPr>
          <w:rFonts w:ascii="Arial" w:cs="Arial" w:eastAsia="Arial" w:hAnsi="Arial"/>
          <w:sz w:val="17"/>
          <w:szCs w:val="17"/>
          <w:color w:val="auto"/>
        </w:rPr>
        <w:t>”):</w:t>
      </w:r>
    </w:p>
    <w:p>
      <w:pPr>
        <w:spacing w:after="0" w:line="52" w:lineRule="exact"/>
        <w:rPr>
          <w:rFonts w:ascii="Arial" w:cs="Arial" w:eastAsia="Arial" w:hAnsi="Arial"/>
          <w:sz w:val="17"/>
          <w:szCs w:val="17"/>
          <w:color w:val="auto"/>
        </w:rPr>
      </w:pPr>
    </w:p>
    <w:p>
      <w:pPr>
        <w:ind w:left="960" w:right="320" w:hanging="537"/>
        <w:spacing w:after="0" w:line="182" w:lineRule="auto"/>
        <w:tabs>
          <w:tab w:leader="none" w:pos="960" w:val="left"/>
        </w:tabs>
        <w:numPr>
          <w:ilvl w:val="1"/>
          <w:numId w:val="53"/>
        </w:numPr>
        <w:rPr>
          <w:rFonts w:ascii="Arial" w:cs="Arial" w:eastAsia="Arial" w:hAnsi="Arial"/>
          <w:sz w:val="35"/>
          <w:szCs w:val="35"/>
          <w:color w:val="auto"/>
          <w:vertAlign w:val="superscript"/>
        </w:rPr>
      </w:pPr>
      <w:r>
        <w:rPr>
          <w:rFonts w:ascii="Arial" w:cs="Arial" w:eastAsia="Arial" w:hAnsi="Arial"/>
          <w:sz w:val="17"/>
          <w:szCs w:val="17"/>
          <w:u w:val="single" w:color="auto"/>
          <w:color w:val="auto"/>
        </w:rPr>
        <w:t>Annual Grant for Outside Directors</w:t>
      </w:r>
      <w:r>
        <w:rPr>
          <w:rFonts w:ascii="Arial" w:cs="Arial" w:eastAsia="Arial" w:hAnsi="Arial"/>
          <w:sz w:val="17"/>
          <w:szCs w:val="17"/>
          <w:color w:val="auto"/>
        </w:rPr>
        <w:t>. Without any further action of the Board, at the close of business on the third business day in January of each calendar year, each Outside Director shall be granted restricted</w:t>
      </w:r>
    </w:p>
    <w:p>
      <w:pPr>
        <w:sectPr>
          <w:pgSz w:w="11900" w:h="16838" w:orient="portrait"/>
          <w:cols w:equalWidth="0" w:num="1">
            <w:col w:w="10960"/>
          </w:cols>
          <w:pgMar w:left="460" w:top="1440" w:right="479" w:bottom="1440" w:gutter="0" w:footer="0" w:header="0"/>
        </w:sectPr>
      </w:pPr>
    </w:p>
    <w:bookmarkStart w:id="79" w:name="page80"/>
    <w:bookmarkEnd w:id="79"/>
    <w:p>
      <w:pPr>
        <w:spacing w:after="0" w:line="193" w:lineRule="exact"/>
        <w:rPr>
          <w:sz w:val="20"/>
          <w:szCs w:val="20"/>
          <w:color w:val="auto"/>
        </w:rPr>
      </w:pPr>
    </w:p>
    <w:p>
      <w:pPr>
        <w:ind w:left="945"/>
        <w:spacing w:after="0"/>
        <w:rPr>
          <w:sz w:val="20"/>
          <w:szCs w:val="20"/>
          <w:color w:val="auto"/>
        </w:rPr>
      </w:pPr>
      <w:r>
        <w:rPr>
          <w:rFonts w:ascii="Arial" w:cs="Arial" w:eastAsia="Arial" w:hAnsi="Arial"/>
          <w:sz w:val="15"/>
          <w:szCs w:val="15"/>
          <w:color w:val="auto"/>
        </w:rPr>
        <w:t>stock units under the Plan covering shares of the Company’s Class A Common Stock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having an RSU Value (as defined below) of</w:t>
      </w:r>
    </w:p>
    <w:p>
      <w:pPr>
        <w:spacing w:after="0" w:line="23" w:lineRule="exact"/>
        <w:rPr>
          <w:sz w:val="20"/>
          <w:szCs w:val="20"/>
          <w:color w:val="auto"/>
        </w:rPr>
      </w:pPr>
    </w:p>
    <w:p>
      <w:pPr>
        <w:jc w:val="both"/>
        <w:ind w:left="945" w:right="140"/>
        <w:spacing w:after="0" w:line="222" w:lineRule="auto"/>
        <w:rPr>
          <w:sz w:val="20"/>
          <w:szCs w:val="20"/>
          <w:color w:val="auto"/>
        </w:rPr>
      </w:pPr>
      <w:r>
        <w:rPr>
          <w:rFonts w:ascii="Arial" w:cs="Arial" w:eastAsia="Arial" w:hAnsi="Arial"/>
          <w:sz w:val="17"/>
          <w:szCs w:val="17"/>
          <w:color w:val="auto"/>
        </w:rPr>
        <w:t>$200,000 (an “</w:t>
      </w:r>
      <w:r>
        <w:rPr>
          <w:rFonts w:ascii="Arial" w:cs="Arial" w:eastAsia="Arial" w:hAnsi="Arial"/>
          <w:sz w:val="17"/>
          <w:szCs w:val="17"/>
          <w:b w:val="1"/>
          <w:bCs w:val="1"/>
          <w:i w:val="1"/>
          <w:iCs w:val="1"/>
          <w:color w:val="auto"/>
        </w:rPr>
        <w:t>Annual RSU Award</w:t>
      </w:r>
      <w:r>
        <w:rPr>
          <w:rFonts w:ascii="Arial" w:cs="Arial" w:eastAsia="Arial" w:hAnsi="Arial"/>
          <w:sz w:val="17"/>
          <w:szCs w:val="17"/>
          <w:color w:val="auto"/>
        </w:rPr>
        <w:t>”); provided that the number of Shares covered by each Annual RSU Award will be rounded down to the nearest whole Share. Each Annual RSU Award shall fully vest on the first anniversary of the date of grant, subject to the applicable Outside Director’s continued service as a member of the Board through such dates.</w:t>
      </w:r>
    </w:p>
    <w:p>
      <w:pPr>
        <w:spacing w:after="0" w:line="67" w:lineRule="exact"/>
        <w:rPr>
          <w:sz w:val="20"/>
          <w:szCs w:val="20"/>
          <w:color w:val="auto"/>
        </w:rPr>
      </w:pPr>
    </w:p>
    <w:p>
      <w:pPr>
        <w:ind w:left="945" w:right="80" w:hanging="547"/>
        <w:spacing w:after="0" w:line="182" w:lineRule="auto"/>
        <w:tabs>
          <w:tab w:leader="none" w:pos="945" w:val="left"/>
        </w:tabs>
        <w:numPr>
          <w:ilvl w:val="1"/>
          <w:numId w:val="54"/>
        </w:numPr>
        <w:rPr>
          <w:rFonts w:ascii="Arial" w:cs="Arial" w:eastAsia="Arial" w:hAnsi="Arial"/>
          <w:sz w:val="29"/>
          <w:szCs w:val="29"/>
          <w:color w:val="auto"/>
          <w:vertAlign w:val="superscript"/>
        </w:rPr>
      </w:pPr>
      <w:r>
        <w:rPr>
          <w:rFonts w:ascii="Arial" w:cs="Arial" w:eastAsia="Arial" w:hAnsi="Arial"/>
          <w:sz w:val="16"/>
          <w:szCs w:val="16"/>
          <w:u w:val="single" w:color="auto"/>
          <w:color w:val="auto"/>
        </w:rPr>
        <w:t>Initial Grant for New Outside Directors</w:t>
      </w:r>
      <w:r>
        <w:rPr>
          <w:rFonts w:ascii="Arial" w:cs="Arial" w:eastAsia="Arial" w:hAnsi="Arial"/>
          <w:sz w:val="16"/>
          <w:szCs w:val="16"/>
          <w:color w:val="auto"/>
        </w:rPr>
        <w:t>. Without any further action of the Board, each person who is elected or appointed for the first time to serve as a member of the Board, effective on a date other than January 1, will automatically, upon the effective date of his or her initial election or appointment, be granted restricted stock units under the Plan covering Shares having a prorated RSU Value equal to</w:t>
      </w:r>
    </w:p>
    <w:p>
      <w:pPr>
        <w:spacing w:after="0" w:line="1" w:lineRule="exact"/>
        <w:rPr>
          <w:rFonts w:ascii="Arial" w:cs="Arial" w:eastAsia="Arial" w:hAnsi="Arial"/>
          <w:sz w:val="29"/>
          <w:szCs w:val="29"/>
          <w:color w:val="auto"/>
          <w:vertAlign w:val="superscript"/>
        </w:rPr>
      </w:pPr>
    </w:p>
    <w:p>
      <w:pPr>
        <w:ind w:left="945"/>
        <w:spacing w:after="0" w:line="219" w:lineRule="auto"/>
        <w:rPr>
          <w:rFonts w:ascii="Arial" w:cs="Arial" w:eastAsia="Arial" w:hAnsi="Arial"/>
          <w:sz w:val="29"/>
          <w:szCs w:val="29"/>
          <w:color w:val="auto"/>
          <w:vertAlign w:val="superscript"/>
        </w:rPr>
      </w:pPr>
      <w:r>
        <w:rPr>
          <w:rFonts w:ascii="Arial" w:cs="Arial" w:eastAsia="Arial" w:hAnsi="Arial"/>
          <w:sz w:val="17"/>
          <w:szCs w:val="17"/>
          <w:color w:val="auto"/>
        </w:rPr>
        <w:t>(x) $200,000, multiplied by (y) a fraction the numerator of which is the number of days between the effective date of the new director’s initial election or appointment and the end of the calendar year of such election or appointment, and the denominator of which is 365 (a “</w:t>
      </w:r>
      <w:r>
        <w:rPr>
          <w:rFonts w:ascii="Arial" w:cs="Arial" w:eastAsia="Arial" w:hAnsi="Arial"/>
          <w:sz w:val="17"/>
          <w:szCs w:val="17"/>
          <w:b w:val="1"/>
          <w:bCs w:val="1"/>
          <w:i w:val="1"/>
          <w:i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Director Initial RSU Award</w:t>
      </w:r>
      <w:r>
        <w:rPr>
          <w:rFonts w:ascii="Arial" w:cs="Arial" w:eastAsia="Arial" w:hAnsi="Arial"/>
          <w:sz w:val="17"/>
          <w:szCs w:val="17"/>
          <w:color w:val="auto"/>
        </w:rPr>
        <w:t>”); provided that the number of Shares covered by each New Director Initial RSU Award will be rounded down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nearest whole Share. Each New Director Initial RSU Award shall fully vest on the first anniversary of the date of grant, subject to the Outside Director’s continued service as a member of the Board through such dates.</w:t>
      </w:r>
    </w:p>
    <w:p>
      <w:pPr>
        <w:spacing w:after="0" w:line="61" w:lineRule="exact"/>
        <w:rPr>
          <w:rFonts w:ascii="Arial" w:cs="Arial" w:eastAsia="Arial" w:hAnsi="Arial"/>
          <w:sz w:val="29"/>
          <w:szCs w:val="29"/>
          <w:color w:val="auto"/>
          <w:vertAlign w:val="superscript"/>
        </w:rPr>
      </w:pPr>
    </w:p>
    <w:p>
      <w:pPr>
        <w:ind w:left="405" w:right="60" w:hanging="405"/>
        <w:spacing w:after="0" w:line="219" w:lineRule="auto"/>
        <w:tabs>
          <w:tab w:leader="none" w:pos="405"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Transitional RSU Grants</w:t>
      </w:r>
      <w:r>
        <w:rPr>
          <w:rFonts w:ascii="Arial" w:cs="Arial" w:eastAsia="Arial" w:hAnsi="Arial"/>
          <w:sz w:val="17"/>
          <w:szCs w:val="17"/>
          <w:color w:val="auto"/>
        </w:rPr>
        <w:t>. On the date of the 2022 Annual Meeting, in light of the change in timing for the equity grants implemented as part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Director Compensation Policy, each Outside Director who continues to serve as members of the Board after the 2022 Annual Meeting shall be granted a restricted stock unit award under the Plan covering Shares having a prorated RSU Value equal to (x) the Annual RSU Award value, multiplied by (y) a fraction the numerator of which is the number of days between date of the 2022 Annual Meeting of Shareholders and the end of the 2022 calendar year, and the denominator of which is 365 (a “</w:t>
      </w:r>
      <w:r>
        <w:rPr>
          <w:rFonts w:ascii="Arial" w:cs="Arial" w:eastAsia="Arial" w:hAnsi="Arial"/>
          <w:sz w:val="17"/>
          <w:szCs w:val="17"/>
          <w:b w:val="1"/>
          <w:bCs w:val="1"/>
          <w:i w:val="1"/>
          <w:iCs w:val="1"/>
          <w:color w:val="auto"/>
        </w:rPr>
        <w:t>2022 Transitional Annual RSU Award</w:t>
      </w:r>
      <w:r>
        <w:rPr>
          <w:rFonts w:ascii="Arial" w:cs="Arial" w:eastAsia="Arial" w:hAnsi="Arial"/>
          <w:sz w:val="17"/>
          <w:szCs w:val="17"/>
          <w:color w:val="auto"/>
        </w:rPr>
        <w:t>”); provided that the number of Shares covered by each 2022 Transitional Annual RSU Award will be rounded down to the nearest whole Share. Each 2022 Transitional Annual RSU Award shall vest on the first anniversary of the date of grant, subject to the applicable Outside Director’s continued service as a member of the Board through such vesting date.</w:t>
      </w:r>
    </w:p>
    <w:p>
      <w:pPr>
        <w:sectPr>
          <w:pgSz w:w="11900" w:h="16838" w:orient="portrait"/>
          <w:cols w:equalWidth="0" w:num="1">
            <w:col w:w="10785"/>
          </w:cols>
          <w:pgMar w:left="575" w:top="1440" w:right="539" w:bottom="1440" w:gutter="0" w:footer="0" w:header="0"/>
        </w:sectPr>
      </w:pPr>
    </w:p>
    <w:bookmarkStart w:id="80" w:name="page81"/>
    <w:bookmarkEnd w:id="80"/>
    <w:p>
      <w:pPr>
        <w:spacing w:after="0" w:line="6" w:lineRule="exact"/>
        <w:rPr>
          <w:sz w:val="20"/>
          <w:szCs w:val="20"/>
          <w:color w:val="auto"/>
        </w:rPr>
      </w:pPr>
    </w:p>
    <w:p>
      <w:pPr>
        <w:ind w:left="501" w:hanging="405"/>
        <w:spacing w:after="0" w:line="231" w:lineRule="auto"/>
        <w:tabs>
          <w:tab w:leader="none" w:pos="501"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Vesting; Change in Control</w:t>
      </w:r>
      <w:r>
        <w:rPr>
          <w:rFonts w:ascii="Arial" w:cs="Arial" w:eastAsia="Arial" w:hAnsi="Arial"/>
          <w:sz w:val="16"/>
          <w:szCs w:val="16"/>
          <w:color w:val="auto"/>
        </w:rPr>
        <w:t>. Except as set forth herein, all vesting is subject to the Outside Director’s continued service as a member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each applicable vesting date. Upon an Outside Director’s cessation of service on the Board as a result of (i) death or Disability (as defined in the Plan), the unvested portion of any restricted stock unit award granted in consideration of such Outside Director’s service as a member of the Board shall vest in full effective as of the effective date of the cessation of service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(ii) the resignation by the Outside Director at the end of the Outside Director’s then current term or the removal of the Outside Director other than for cause, the unvested portion of any restricted stock unit award granted in consideration of such Outside Director’s service as a member of the Board shall vest pro-rata based on the portion of the award’s original vesting period during which such Outside Director served prior to the Termination Date, and (iii) the removal of the Outside Director for cause or the resignation by the Outside Director other than at the end of the Outside Director’s then current term, the unvested portion of any restricted stock unit award granted in consideration of such Outside Director’s service as a member of the Board shall be forfeited. Notwithstanding the foregoing, for each Outside Director who remains in continuous service as a member of the Board until immediately prior to the closing of a “Change in Control” (as defined in the Plan), any unvested portion of any restricted stock unit award granted in consideration of such Outside Director’s service as a member of the Board shall vest in full immediately prior to, and contingent upon, the consummation of the Change in Control.</w:t>
      </w:r>
    </w:p>
    <w:p>
      <w:pPr>
        <w:spacing w:after="0" w:line="60" w:lineRule="exact"/>
        <w:rPr>
          <w:rFonts w:ascii="Arial" w:cs="Arial" w:eastAsia="Arial" w:hAnsi="Arial"/>
          <w:sz w:val="16"/>
          <w:szCs w:val="16"/>
          <w:color w:val="auto"/>
        </w:rPr>
      </w:pPr>
    </w:p>
    <w:p>
      <w:pPr>
        <w:ind w:left="501" w:right="60" w:hanging="405"/>
        <w:spacing w:after="0" w:line="234" w:lineRule="auto"/>
        <w:tabs>
          <w:tab w:leader="none" w:pos="501"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Calculation of RSU Value</w:t>
      </w:r>
      <w:r>
        <w:rPr>
          <w:rFonts w:ascii="Arial" w:cs="Arial" w:eastAsia="Arial" w:hAnsi="Arial"/>
          <w:sz w:val="17"/>
          <w:szCs w:val="17"/>
          <w:color w:val="auto"/>
        </w:rPr>
        <w:t>. The “</w:t>
      </w:r>
      <w:r>
        <w:rPr>
          <w:rFonts w:ascii="Arial" w:cs="Arial" w:eastAsia="Arial" w:hAnsi="Arial"/>
          <w:sz w:val="17"/>
          <w:szCs w:val="17"/>
          <w:b w:val="1"/>
          <w:bCs w:val="1"/>
          <w:i w:val="1"/>
          <w:iCs w:val="1"/>
          <w:color w:val="auto"/>
        </w:rPr>
        <w:t>RSU Value</w:t>
      </w:r>
      <w:r>
        <w:rPr>
          <w:rFonts w:ascii="Arial" w:cs="Arial" w:eastAsia="Arial" w:hAnsi="Arial"/>
          <w:sz w:val="17"/>
          <w:szCs w:val="17"/>
          <w:color w:val="auto"/>
        </w:rPr>
        <w:t>” of a restricted stock unit award to be granted under this policy will be calculated with how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calculations are completed by the Company for its employees at the time of grant, as determined by the Board or the Talent and Compensation Committee of the Board from time to time, which calculation, as of the effective date of this Amended and Restated Director Compensation Policy is completed as being equal to the number of Shares subject to the restricted stock unit award multiplied by the 30-trading day average closing price of a Share ending on the trading day prior to the grant date.</w:t>
      </w:r>
    </w:p>
    <w:p>
      <w:pPr>
        <w:spacing w:after="0" w:line="370" w:lineRule="exact"/>
        <w:rPr>
          <w:rFonts w:ascii="Arial" w:cs="Arial" w:eastAsia="Arial" w:hAnsi="Arial"/>
          <w:sz w:val="17"/>
          <w:szCs w:val="17"/>
          <w:color w:val="auto"/>
        </w:rPr>
      </w:pPr>
    </w:p>
    <w:p>
      <w:pPr>
        <w:ind w:left="401" w:right="500" w:hanging="401"/>
        <w:spacing w:after="0" w:line="227" w:lineRule="auto"/>
        <w:tabs>
          <w:tab w:leader="none" w:pos="401"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Discretionary Grants</w:t>
      </w:r>
      <w:r>
        <w:rPr>
          <w:rFonts w:ascii="Arial" w:cs="Arial" w:eastAsia="Arial" w:hAnsi="Arial"/>
          <w:sz w:val="17"/>
          <w:szCs w:val="17"/>
          <w:color w:val="auto"/>
        </w:rPr>
        <w:t>. In addition to the automatic grants described herein, the Board, in its sole discretion, may grant additional equity awards</w:t>
      </w:r>
      <w:r>
        <w:rPr>
          <w:rFonts w:ascii="Arial" w:cs="Arial" w:eastAsia="Arial" w:hAnsi="Arial"/>
          <w:sz w:val="17"/>
          <w:szCs w:val="17"/>
          <w:b w:val="1"/>
          <w:bCs w:val="1"/>
          <w:color w:val="auto"/>
        </w:rPr>
        <w:t xml:space="preserve"> </w:t>
      </w:r>
      <w:r>
        <w:rPr>
          <w:rFonts w:ascii="Arial" w:cs="Arial" w:eastAsia="Arial" w:hAnsi="Arial"/>
          <w:sz w:val="17"/>
          <w:szCs w:val="17"/>
          <w:color w:val="auto"/>
        </w:rPr>
        <w:t>to certain Outside Directors for services to the Company that exceed the</w:t>
      </w:r>
    </w:p>
    <w:p>
      <w:pPr>
        <w:ind w:left="401" w:right="620"/>
        <w:spacing w:after="0" w:line="268" w:lineRule="auto"/>
        <w:rPr>
          <w:rFonts w:ascii="Arial" w:cs="Arial" w:eastAsia="Arial" w:hAnsi="Arial"/>
          <w:sz w:val="17"/>
          <w:szCs w:val="17"/>
          <w:color w:val="auto"/>
        </w:rPr>
      </w:pPr>
      <w:r>
        <w:rPr>
          <w:rFonts w:ascii="Arial" w:cs="Arial" w:eastAsia="Arial" w:hAnsi="Arial"/>
          <w:sz w:val="17"/>
          <w:szCs w:val="17"/>
          <w:color w:val="auto"/>
        </w:rPr>
        <w:t>standard expectations of an Outside Director or for other circumstances determined appropriate by the Board, including, without limitation, an inducement for the Outside Director to remain on the Board.</w:t>
      </w:r>
    </w:p>
    <w:p>
      <w:pPr>
        <w:sectPr>
          <w:pgSz w:w="11900" w:h="16838" w:orient="portrait"/>
          <w:cols w:equalWidth="0" w:num="1">
            <w:col w:w="10881"/>
          </w:cols>
          <w:pgMar w:left="479" w:top="1440" w:right="539" w:bottom="1440" w:gutter="0" w:footer="0" w:header="0"/>
        </w:sectPr>
      </w:pPr>
    </w:p>
    <w:bookmarkStart w:id="81" w:name="page82"/>
    <w:bookmarkEnd w:id="81"/>
    <w:p>
      <w:pPr>
        <w:spacing w:after="0" w:line="304" w:lineRule="exact"/>
        <w:rPr>
          <w:sz w:val="20"/>
          <w:szCs w:val="20"/>
          <w:color w:val="auto"/>
        </w:rPr>
      </w:pPr>
    </w:p>
    <w:p>
      <w:pPr>
        <w:ind w:left="440" w:right="60" w:hanging="421"/>
        <w:spacing w:after="0" w:line="220"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Remaining Terms</w:t>
      </w:r>
      <w:r>
        <w:rPr>
          <w:rFonts w:ascii="Arial" w:cs="Arial" w:eastAsia="Arial" w:hAnsi="Arial"/>
          <w:sz w:val="17"/>
          <w:szCs w:val="17"/>
          <w:color w:val="auto"/>
        </w:rPr>
        <w:t>. The remaining terms and conditions of each restricted stock unit award granted under this policy will be as set forth in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Company’s standard form of restricted stock unit award agreement, as amended from time to time by the Board or the Compensation Committee of the Board, as</w:t>
      </w:r>
    </w:p>
    <w:p>
      <w:pPr>
        <w:spacing w:after="0" w:line="1"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7"/>
          <w:szCs w:val="17"/>
          <w:color w:val="auto"/>
        </w:rPr>
        <w:t>applicable.</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Company will reimburse each Outside Director for ordinary, necessary and reasonable out-of-pocket travel expenses to cover in-person attendance at, and participation in, Board and committee meetings; provided that the Outside Director timely submits to the Company appropriate documentation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substantiating such expenses in accordance with the Company’s travel and expense policy, as in effect from time to time.</w:t>
      </w:r>
    </w:p>
    <w:p>
      <w:pPr>
        <w:sectPr>
          <w:pgSz w:w="11900" w:h="16838" w:orient="portrait"/>
          <w:cols w:equalWidth="0" w:num="1">
            <w:col w:w="10680"/>
          </w:cols>
          <w:pgMar w:left="460" w:top="1440" w:right="75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31.1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Vivek Garipalli, certify that:</w:t>
      </w:r>
    </w:p>
    <w:p>
      <w:pPr>
        <w:spacing w:after="0" w:line="220" w:lineRule="exact"/>
        <w:rPr>
          <w:sz w:val="20"/>
          <w:szCs w:val="20"/>
          <w:color w:val="auto"/>
        </w:rPr>
      </w:pPr>
    </w:p>
    <w:p>
      <w:pPr>
        <w:ind w:left="420" w:hanging="416"/>
        <w:spacing w:after="0"/>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2022, of Clover Health Investments, Corp.;</w:t>
      </w:r>
    </w:p>
    <w:p>
      <w:pPr>
        <w:spacing w:after="0" w:line="219" w:lineRule="exact"/>
        <w:rPr>
          <w:rFonts w:ascii="Arial" w:cs="Arial" w:eastAsia="Arial" w:hAnsi="Arial"/>
          <w:sz w:val="17"/>
          <w:szCs w:val="17"/>
          <w:color w:val="auto"/>
        </w:rPr>
      </w:pPr>
    </w:p>
    <w:p>
      <w:pPr>
        <w:ind w:left="420" w:right="260" w:hanging="416"/>
        <w:spacing w:after="0" w:line="355" w:lineRule="auto"/>
        <w:tabs>
          <w:tab w:leader="none" w:pos="411"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420" w:right="80" w:hanging="416"/>
        <w:spacing w:after="0" w:line="285" w:lineRule="auto"/>
        <w:tabs>
          <w:tab w:leader="none" w:pos="4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420" w:right="60" w:hanging="416"/>
        <w:spacing w:after="0" w:line="270" w:lineRule="auto"/>
        <w:tabs>
          <w:tab w:leader="none" w:pos="4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860" w:right="80" w:hanging="432"/>
        <w:spacing w:after="0" w:line="270" w:lineRule="auto"/>
        <w:tabs>
          <w:tab w:leader="none" w:pos="849"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860" w:right="80" w:hanging="432"/>
        <w:spacing w:after="0" w:line="270" w:lineRule="auto"/>
        <w:tabs>
          <w:tab w:leader="none" w:pos="858"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left="860" w:right="140" w:hanging="432"/>
        <w:spacing w:after="0" w:line="318" w:lineRule="auto"/>
        <w:tabs>
          <w:tab w:leader="none" w:pos="84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6"/>
          <w:szCs w:val="16"/>
          <w:color w:val="auto"/>
        </w:rPr>
      </w:pPr>
    </w:p>
    <w:p>
      <w:pPr>
        <w:ind w:left="860" w:hanging="432"/>
        <w:spacing w:after="0" w:line="270" w:lineRule="auto"/>
        <w:tabs>
          <w:tab w:leader="none" w:pos="858"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420" w:right="480" w:hanging="416"/>
        <w:spacing w:after="0" w:line="318" w:lineRule="auto"/>
        <w:tabs>
          <w:tab w:leader="none" w:pos="4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860" w:right="60" w:hanging="432"/>
        <w:spacing w:after="0" w:line="285" w:lineRule="auto"/>
        <w:tabs>
          <w:tab w:leader="none" w:pos="84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860" w:right="100" w:hanging="432"/>
        <w:spacing w:after="0" w:line="285" w:lineRule="auto"/>
        <w:tabs>
          <w:tab w:leader="none" w:pos="858"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4900" w:val="left"/>
          <w:tab w:leader="none" w:pos="7160" w:val="left"/>
        </w:tabs>
        <w:rPr>
          <w:sz w:val="20"/>
          <w:szCs w:val="20"/>
          <w:color w:val="auto"/>
        </w:rPr>
      </w:pPr>
      <w:r>
        <w:rPr>
          <w:rFonts w:ascii="Arial" w:cs="Arial" w:eastAsia="Arial" w:hAnsi="Arial"/>
          <w:sz w:val="17"/>
          <w:szCs w:val="17"/>
          <w:color w:val="auto"/>
        </w:rPr>
        <w:t>Date: November 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15875</wp:posOffset>
            </wp:positionV>
            <wp:extent cx="31070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2" w:lineRule="exact"/>
        <w:rPr>
          <w:sz w:val="20"/>
          <w:szCs w:val="20"/>
          <w:color w:val="auto"/>
        </w:rPr>
      </w:pPr>
    </w:p>
    <w:p>
      <w:pPr>
        <w:jc w:val="center"/>
        <w:ind w:left="4380"/>
        <w:spacing w:after="0"/>
        <w:rPr>
          <w:sz w:val="20"/>
          <w:szCs w:val="20"/>
          <w:color w:val="auto"/>
        </w:rPr>
      </w:pPr>
      <w:r>
        <w:rPr>
          <w:rFonts w:ascii="Arial" w:cs="Arial" w:eastAsia="Arial" w:hAnsi="Arial"/>
          <w:sz w:val="17"/>
          <w:szCs w:val="17"/>
          <w:b w:val="1"/>
          <w:bCs w:val="1"/>
          <w:color w:val="auto"/>
        </w:rPr>
        <w:t>Vivek Garipalli</w:t>
      </w:r>
    </w:p>
    <w:p>
      <w:pPr>
        <w:spacing w:after="0" w:line="31" w:lineRule="exact"/>
        <w:rPr>
          <w:sz w:val="20"/>
          <w:szCs w:val="20"/>
          <w:color w:val="auto"/>
        </w:rPr>
      </w:pPr>
    </w:p>
    <w:p>
      <w:pPr>
        <w:jc w:val="center"/>
        <w:ind w:left="438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74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31.2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Scott J. Leffler, certify that:</w:t>
      </w:r>
    </w:p>
    <w:p>
      <w:pPr>
        <w:spacing w:after="0" w:line="220" w:lineRule="exact"/>
        <w:rPr>
          <w:sz w:val="20"/>
          <w:szCs w:val="20"/>
          <w:color w:val="auto"/>
        </w:rPr>
      </w:pPr>
    </w:p>
    <w:p>
      <w:pPr>
        <w:ind w:left="420" w:hanging="416"/>
        <w:spacing w:after="0"/>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2022, of Clover Health Investments, Corp.;</w:t>
      </w:r>
    </w:p>
    <w:p>
      <w:pPr>
        <w:spacing w:after="0" w:line="219" w:lineRule="exact"/>
        <w:rPr>
          <w:rFonts w:ascii="Arial" w:cs="Arial" w:eastAsia="Arial" w:hAnsi="Arial"/>
          <w:sz w:val="17"/>
          <w:szCs w:val="17"/>
          <w:color w:val="auto"/>
        </w:rPr>
      </w:pPr>
    </w:p>
    <w:p>
      <w:pPr>
        <w:ind w:left="420" w:right="260" w:hanging="416"/>
        <w:spacing w:after="0" w:line="355" w:lineRule="auto"/>
        <w:tabs>
          <w:tab w:leader="none" w:pos="411"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420" w:right="80" w:hanging="416"/>
        <w:spacing w:after="0" w:line="285" w:lineRule="auto"/>
        <w:tabs>
          <w:tab w:leader="none" w:pos="411"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420" w:right="60" w:hanging="416"/>
        <w:spacing w:after="0" w:line="270" w:lineRule="auto"/>
        <w:tabs>
          <w:tab w:leader="none" w:pos="41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860" w:right="80" w:hanging="432"/>
        <w:spacing w:after="0" w:line="270" w:lineRule="auto"/>
        <w:tabs>
          <w:tab w:leader="none" w:pos="849"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860" w:right="80" w:hanging="432"/>
        <w:spacing w:after="0" w:line="270" w:lineRule="auto"/>
        <w:tabs>
          <w:tab w:leader="none" w:pos="858"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left="860" w:right="140" w:hanging="432"/>
        <w:spacing w:after="0" w:line="318" w:lineRule="auto"/>
        <w:tabs>
          <w:tab w:leader="none" w:pos="849"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6"/>
          <w:szCs w:val="16"/>
          <w:color w:val="auto"/>
        </w:rPr>
      </w:pPr>
    </w:p>
    <w:p>
      <w:pPr>
        <w:ind w:left="860" w:hanging="432"/>
        <w:spacing w:after="0" w:line="270" w:lineRule="auto"/>
        <w:tabs>
          <w:tab w:leader="none" w:pos="858"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420" w:right="480" w:hanging="416"/>
        <w:spacing w:after="0" w:line="318" w:lineRule="auto"/>
        <w:tabs>
          <w:tab w:leader="none" w:pos="4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860" w:right="60" w:hanging="432"/>
        <w:spacing w:after="0" w:line="285" w:lineRule="auto"/>
        <w:tabs>
          <w:tab w:leader="none" w:pos="849"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860" w:right="100" w:hanging="432"/>
        <w:spacing w:after="0" w:line="285" w:lineRule="auto"/>
        <w:tabs>
          <w:tab w:leader="none" w:pos="858"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4900" w:val="left"/>
          <w:tab w:leader="none" w:pos="7180" w:val="left"/>
        </w:tabs>
        <w:rPr>
          <w:sz w:val="20"/>
          <w:szCs w:val="20"/>
          <w:color w:val="auto"/>
        </w:rPr>
      </w:pPr>
      <w:r>
        <w:rPr>
          <w:rFonts w:ascii="Arial" w:cs="Arial" w:eastAsia="Arial" w:hAnsi="Arial"/>
          <w:sz w:val="17"/>
          <w:szCs w:val="17"/>
          <w:color w:val="auto"/>
        </w:rPr>
        <w:t>Date: November 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15875</wp:posOffset>
            </wp:positionV>
            <wp:extent cx="31070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Scott J. Leffler</w:t>
      </w:r>
    </w:p>
    <w:p>
      <w:pPr>
        <w:spacing w:after="0" w:line="18"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Chief Financial Officer (Principal Financial Officer and Principal</w:t>
      </w:r>
    </w:p>
    <w:p>
      <w:pPr>
        <w:ind w:left="7080"/>
        <w:spacing w:after="0"/>
        <w:rPr>
          <w:sz w:val="20"/>
          <w:szCs w:val="20"/>
          <w:color w:val="auto"/>
        </w:rPr>
      </w:pPr>
      <w:r>
        <w:rPr>
          <w:rFonts w:ascii="Arial" w:cs="Arial" w:eastAsia="Arial" w:hAnsi="Arial"/>
          <w:sz w:val="17"/>
          <w:szCs w:val="17"/>
          <w:b w:val="1"/>
          <w:bCs w:val="1"/>
          <w:color w:val="auto"/>
        </w:rPr>
        <w:t>Accounting Officer)</w:t>
      </w:r>
    </w:p>
    <w:p>
      <w:pPr>
        <w:sectPr>
          <w:pgSz w:w="11900" w:h="16838" w:orient="portrait"/>
          <w:cols w:equalWidth="0" w:num="1">
            <w:col w:w="11240"/>
          </w:cols>
          <w:pgMar w:left="320" w:top="74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jc w:val="both"/>
        <w:ind w:right="80" w:firstLine="424"/>
        <w:spacing w:after="0" w:line="270" w:lineRule="auto"/>
        <w:rPr>
          <w:sz w:val="20"/>
          <w:szCs w:val="20"/>
          <w:color w:val="auto"/>
        </w:rPr>
      </w:pPr>
      <w:r>
        <w:rPr>
          <w:rFonts w:ascii="Arial" w:cs="Arial" w:eastAsia="Arial" w:hAnsi="Arial"/>
          <w:sz w:val="17"/>
          <w:szCs w:val="17"/>
          <w:color w:val="auto"/>
        </w:rPr>
        <w:t>In connection with the Quarterly Report on Form 10-Q of Clover Health Investments, Corp. (the “Company”) for the period ended September 30, 2022,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860" w:hanging="432"/>
        <w:spacing w:after="0"/>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860" w:hanging="432"/>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ind w:left="20"/>
        <w:spacing w:after="0"/>
        <w:tabs>
          <w:tab w:leader="none" w:pos="4900" w:val="left"/>
          <w:tab w:leader="none" w:pos="7160" w:val="left"/>
        </w:tabs>
        <w:rPr>
          <w:sz w:val="20"/>
          <w:szCs w:val="20"/>
          <w:color w:val="auto"/>
        </w:rPr>
      </w:pPr>
      <w:r>
        <w:rPr>
          <w:rFonts w:ascii="Arial" w:cs="Arial" w:eastAsia="Arial" w:hAnsi="Arial"/>
          <w:sz w:val="17"/>
          <w:szCs w:val="17"/>
          <w:color w:val="auto"/>
        </w:rPr>
        <w:t>Dated: November 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15875</wp:posOffset>
            </wp:positionV>
            <wp:extent cx="31070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2" w:lineRule="exact"/>
        <w:rPr>
          <w:sz w:val="20"/>
          <w:szCs w:val="20"/>
          <w:color w:val="auto"/>
        </w:rPr>
      </w:pPr>
    </w:p>
    <w:p>
      <w:pPr>
        <w:jc w:val="center"/>
        <w:ind w:left="4380"/>
        <w:spacing w:after="0"/>
        <w:rPr>
          <w:sz w:val="20"/>
          <w:szCs w:val="20"/>
          <w:color w:val="auto"/>
        </w:rPr>
      </w:pPr>
      <w:r>
        <w:rPr>
          <w:rFonts w:ascii="Arial" w:cs="Arial" w:eastAsia="Arial" w:hAnsi="Arial"/>
          <w:sz w:val="17"/>
          <w:szCs w:val="17"/>
          <w:b w:val="1"/>
          <w:bCs w:val="1"/>
          <w:color w:val="auto"/>
        </w:rPr>
        <w:t>Vivek Garipalli</w:t>
      </w:r>
    </w:p>
    <w:p>
      <w:pPr>
        <w:spacing w:after="0" w:line="31" w:lineRule="exact"/>
        <w:rPr>
          <w:sz w:val="20"/>
          <w:szCs w:val="20"/>
          <w:color w:val="auto"/>
        </w:rPr>
      </w:pPr>
    </w:p>
    <w:p>
      <w:pPr>
        <w:jc w:val="center"/>
        <w:ind w:left="438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74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32.2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jc w:val="both"/>
        <w:ind w:right="80" w:firstLine="424"/>
        <w:spacing w:after="0" w:line="270" w:lineRule="auto"/>
        <w:rPr>
          <w:sz w:val="20"/>
          <w:szCs w:val="20"/>
          <w:color w:val="auto"/>
        </w:rPr>
      </w:pPr>
      <w:r>
        <w:rPr>
          <w:rFonts w:ascii="Arial" w:cs="Arial" w:eastAsia="Arial" w:hAnsi="Arial"/>
          <w:sz w:val="17"/>
          <w:szCs w:val="17"/>
          <w:color w:val="auto"/>
        </w:rPr>
        <w:t>In connection with the Quarterly Report on Form 10-Q of Clover Health Investments, Corp. (the “Company”) for the period ended September 30, 2022,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860" w:hanging="432"/>
        <w:spacing w:after="0"/>
        <w:tabs>
          <w:tab w:leader="none" w:pos="8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860" w:hanging="432"/>
        <w:spacing w:after="0"/>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ind w:left="20"/>
        <w:spacing w:after="0"/>
        <w:tabs>
          <w:tab w:leader="none" w:pos="4900" w:val="left"/>
          <w:tab w:leader="none" w:pos="7180" w:val="left"/>
        </w:tabs>
        <w:rPr>
          <w:sz w:val="20"/>
          <w:szCs w:val="20"/>
          <w:color w:val="auto"/>
        </w:rPr>
      </w:pPr>
      <w:r>
        <w:rPr>
          <w:rFonts w:ascii="Arial" w:cs="Arial" w:eastAsia="Arial" w:hAnsi="Arial"/>
          <w:sz w:val="17"/>
          <w:szCs w:val="17"/>
          <w:color w:val="auto"/>
        </w:rPr>
        <w:t>Dated: November 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15875</wp:posOffset>
            </wp:positionV>
            <wp:extent cx="31070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Scott J. Leffler</w:t>
      </w:r>
    </w:p>
    <w:p>
      <w:pPr>
        <w:spacing w:after="0" w:line="18"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Chief Financial Officer (Principal Financial Officer and Principal</w:t>
      </w:r>
    </w:p>
    <w:p>
      <w:pPr>
        <w:ind w:left="7080"/>
        <w:spacing w:after="0"/>
        <w:rPr>
          <w:sz w:val="20"/>
          <w:szCs w:val="20"/>
          <w:color w:val="auto"/>
        </w:rPr>
      </w:pPr>
      <w:r>
        <w:rPr>
          <w:rFonts w:ascii="Arial" w:cs="Arial" w:eastAsia="Arial" w:hAnsi="Arial"/>
          <w:sz w:val="17"/>
          <w:szCs w:val="17"/>
          <w:b w:val="1"/>
          <w:bCs w:val="1"/>
          <w:color w:val="auto"/>
        </w:rPr>
        <w:t>Accounting Officer)</w:t>
      </w:r>
    </w:p>
    <w:sectPr>
      <w:pgSz w:w="11900" w:h="16838" w:orient="portrait"/>
      <w:cols w:equalWidth="0" w:num="1">
        <w:col w:w="11240"/>
      </w:cols>
      <w:pgMar w:left="320" w:top="7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lvl w:ilvl="1">
      <w:lvlJc w:val="left"/>
      <w:lvlText w:val="%2."/>
      <w:numFmt w:val="lowerLetter"/>
      <w:start w:val="1"/>
    </w:lvl>
  </w:abstractNum>
  <w:abstractNum w:abstractNumId="14">
    <w:nsid w:val="2463B9EA"/>
    <w:multiLevelType w:val="hybridMultilevel"/>
    <w:lvl w:ilvl="0">
      <w:lvlJc w:val="left"/>
      <w:lvlText w:val="%1"/>
      <w:numFmt w:val="decimal"/>
      <w:start w:val="1"/>
    </w:lvl>
    <w:lvl w:ilvl="1">
      <w:lvlJc w:val="left"/>
      <w:lvlText w:val="%2."/>
      <w:numFmt w:val="lowerLetter"/>
      <w:start w:val="1"/>
    </w:lvl>
  </w:abstractNum>
  <w:abstractNum w:abstractNumId="15">
    <w:nsid w:val="5E884ADC"/>
    <w:multiLevelType w:val="hybridMultilevel"/>
    <w:lvl w:ilvl="0">
      <w:lvlJc w:val="left"/>
      <w:lvlText w:val="%1."/>
      <w:numFmt w:val="decimal"/>
      <w:start w:val="2"/>
    </w:lvl>
    <w:lvl w:ilvl="1">
      <w:lvlJc w:val="left"/>
      <w:lvlText w:val="%2."/>
      <w:numFmt w:val="lowerLetter"/>
      <w:start w:val="2"/>
    </w:lvl>
  </w:abstractNum>
  <w:abstractNum w:abstractNumId="16">
    <w:nsid w:val="51EAD36B"/>
    <w:multiLevelType w:val="hybridMultilevel"/>
    <w:lvl w:ilvl="0">
      <w:lvlJc w:val="left"/>
      <w:lvlText w:val="%1."/>
      <w:numFmt w:val="lowerLetter"/>
      <w:start w:val="4"/>
    </w:lvl>
    <w:lvl w:ilvl="1">
      <w:lvlJc w:val="left"/>
      <w:lvlText w:val="(%2)"/>
      <w:numFmt w:val="lowerRoman"/>
      <w:start w:val="1"/>
    </w:lvl>
  </w:abstractNum>
  <w:abstractNum w:abstractNumId="17">
    <w:nsid w:val="2D517796"/>
    <w:multiLevelType w:val="hybridMultilevel"/>
    <w:lvl w:ilvl="0">
      <w:lvlJc w:val="left"/>
      <w:lvlText w:val="%1."/>
      <w:numFmt w:val="decimal"/>
      <w:start w:val="3"/>
    </w:lvl>
  </w:abstractNum>
  <w:abstractNum w:abstractNumId="18">
    <w:nsid w:val="580BD78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
    <w:nsid w:val="153EA438"/>
    <w:multiLevelType w:val="hybridMultilevel"/>
    <w:lvl w:ilvl="0">
      <w:lvlJc w:val="left"/>
      <w:lvlText w:val="%1"/>
      <w:numFmt w:val="lowerLetter"/>
      <w:start w:val="1"/>
    </w:lvl>
    <w:lvl w:ilvl="1">
      <w:lvlJc w:val="left"/>
      <w:lvlText w:val="%2."/>
      <w:numFmt w:val="lowerRoman"/>
      <w:start w:val="4"/>
    </w:lvl>
  </w:abstractNum>
  <w:abstractNum w:abstractNumId="20">
    <w:nsid w:val="3855585C"/>
    <w:multiLevelType w:val="hybridMultilevel"/>
    <w:lvl w:ilvl="0">
      <w:lvlJc w:val="left"/>
      <w:lvlText w:val="%1."/>
      <w:numFmt w:val="lowerLetter"/>
      <w:start w:val="5"/>
    </w:lvl>
    <w:lvl w:ilvl="1">
      <w:lvlJc w:val="left"/>
      <w:lvlText w:val="%2."/>
      <w:numFmt w:val="lowerRoman"/>
      <w:start w:val="5"/>
    </w:lvl>
  </w:abstractNum>
  <w:abstractNum w:abstractNumId="21">
    <w:nsid w:val="70A64E2A"/>
    <w:multiLevelType w:val="hybridMultilevel"/>
    <w:lvl w:ilvl="0">
      <w:lvlJc w:val="left"/>
      <w:lvlText w:val="%1"/>
      <w:numFmt w:val="lowerLetter"/>
      <w:start w:val="1"/>
    </w:lvl>
    <w:lvl w:ilvl="1">
      <w:lvlJc w:val="left"/>
      <w:lvlText w:val="%2."/>
      <w:numFmt w:val="lowerRoman"/>
      <w:start w:val="8"/>
    </w:lvl>
  </w:abstractNum>
  <w:abstractNum w:abstractNumId="22">
    <w:nsid w:val="6A2342EC"/>
    <w:multiLevelType w:val="hybridMultilevel"/>
    <w:lvl w:ilvl="0">
      <w:lvlJc w:val="left"/>
      <w:lvlText w:val="%1."/>
      <w:numFmt w:val="lowerLetter"/>
      <w:start w:val="2"/>
    </w:lvl>
    <w:lvl w:ilvl="1">
      <w:lvlJc w:val="left"/>
      <w:lvlText w:val="%2"/>
      <w:numFmt w:val="lowerRoman"/>
      <w:start w:val="1"/>
    </w:lvl>
  </w:abstractNum>
  <w:abstractNum w:abstractNumId="23">
    <w:nsid w:val="2A487CB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4">
    <w:nsid w:val="1D4ED43B"/>
    <w:multiLevelType w:val="hybridMultilevel"/>
    <w:lvl w:ilvl="0">
      <w:lvlJc w:val="left"/>
      <w:lvlText w:val="%1."/>
      <w:numFmt w:val="decimal"/>
      <w:start w:val="7"/>
    </w:lvl>
    <w:lvl w:ilvl="1">
      <w:lvlJc w:val="left"/>
      <w:lvlText w:val="%2."/>
      <w:numFmt w:val="lowerLetter"/>
      <w:start w:val="6"/>
    </w:lvl>
    <w:lvl w:ilvl="2">
      <w:lvlJc w:val="left"/>
      <w:lvlText w:val="%3."/>
      <w:numFmt w:val="lowerLetter"/>
      <w:start w:val="9"/>
    </w:lvl>
  </w:abstractNum>
  <w:abstractNum w:abstractNumId="25">
    <w:nsid w:val="725A06FB"/>
    <w:multiLevelType w:val="hybridMultilevel"/>
    <w:lvl w:ilvl="0">
      <w:lvlJc w:val="left"/>
      <w:lvlText w:val="%1."/>
      <w:numFmt w:val="lowerRoman"/>
      <w:start w:val="2"/>
    </w:lvl>
  </w:abstractNum>
  <w:abstractNum w:abstractNumId="26">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decimal"/>
      <w:start w:val="1"/>
    </w:lvl>
  </w:abstractNum>
  <w:abstractNum w:abstractNumId="27">
    <w:nsid w:val="57E4CCA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decimal"/>
      <w:start w:val="30"/>
    </w:lvl>
  </w:abstractNum>
  <w:abstractNum w:abstractNumId="28">
    <w:nsid w:val="7A6D8D3C"/>
    <w:multiLevelType w:val="hybridMultilevel"/>
    <w:lvl w:ilvl="0">
      <w:lvlJc w:val="left"/>
      <w:lvlText w:val="%1"/>
      <w:numFmt w:val="lowerLetter"/>
      <w:start w:val="1"/>
    </w:lvl>
    <w:lvl w:ilvl="1">
      <w:lvlJc w:val="left"/>
      <w:lvlText w:val="%2."/>
      <w:numFmt w:val="lowerRoman"/>
      <w:start w:val="6"/>
    </w:lvl>
  </w:abstractNum>
  <w:abstractNum w:abstractNumId="29">
    <w:nsid w:val="4B588F54"/>
    <w:multiLevelType w:val="hybridMultilevel"/>
    <w:lvl w:ilvl="0">
      <w:lvlJc w:val="left"/>
      <w:lvlText w:val="%1."/>
      <w:numFmt w:val="lowerLetter"/>
      <w:start w:val="2"/>
    </w:lvl>
    <w:lvl w:ilvl="1">
      <w:lvlJc w:val="left"/>
      <w:lvlText w:val="%2."/>
      <w:numFmt w:val="lowerRoman"/>
      <w:start w:val="1"/>
    </w:lvl>
  </w:abstractNum>
  <w:abstractNum w:abstractNumId="30">
    <w:nsid w:val="542289EC"/>
    <w:multiLevelType w:val="hybridMultilevel"/>
    <w:lvl w:ilvl="0">
      <w:lvlJc w:val="left"/>
      <w:lvlText w:val="%1."/>
      <w:numFmt w:val="lowerRoman"/>
      <w:start w:val="5"/>
    </w:lvl>
  </w:abstractNum>
  <w:abstractNum w:abstractNumId="31">
    <w:nsid w:val="6DE91B1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2">
    <w:nsid w:val="38437FD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3">
    <w:nsid w:val="7644A45C"/>
    <w:multiLevelType w:val="hybridMultilevel"/>
    <w:lvl w:ilvl="0">
      <w:lvlJc w:val="left"/>
      <w:lvlText w:val="%1"/>
      <w:numFmt w:val="decimal"/>
      <w:start w:val="1"/>
    </w:lvl>
    <w:lvl w:ilvl="1">
      <w:lvlJc w:val="left"/>
      <w:lvlText w:val="%2."/>
      <w:numFmt w:val="lowerLetter"/>
      <w:start w:val="2"/>
    </w:lvl>
  </w:abstractNum>
  <w:abstractNum w:abstractNumId="34">
    <w:nsid w:val="32FFF902"/>
    <w:multiLevelType w:val="hybridMultilevel"/>
    <w:lvl w:ilvl="0">
      <w:lvlJc w:val="left"/>
      <w:lvlText w:val="%1."/>
      <w:numFmt w:val="decimal"/>
      <w:start w:val="10"/>
    </w:lvl>
    <w:lvl w:ilvl="1">
      <w:lvlJc w:val="left"/>
      <w:lvlText w:val="%2"/>
      <w:numFmt w:val="lowerLetter"/>
      <w:start w:val="1"/>
    </w:lvl>
  </w:abstractNum>
  <w:abstractNum w:abstractNumId="35">
    <w:nsid w:val="684A481A"/>
    <w:multiLevelType w:val="hybridMultilevel"/>
    <w:lvl w:ilvl="0">
      <w:lvlJc w:val="left"/>
      <w:lvlText w:val="%1."/>
      <w:numFmt w:val="decimal"/>
      <w:start w:val="11"/>
    </w:lvl>
    <w:lvl w:ilvl="1">
      <w:lvlJc w:val="left"/>
      <w:lvlText w:val="%2"/>
      <w:numFmt w:val="lowerLetter"/>
      <w:start w:val="1"/>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lowerLetter"/>
      <w:start w:val="4"/>
    </w:lvl>
  </w:abstractNum>
  <w:abstractNum w:abstractNumId="38">
    <w:nsid w:val="3DC240FB"/>
    <w:multiLevelType w:val="hybridMultilevel"/>
    <w:lvl w:ilvl="0">
      <w:lvlJc w:val="left"/>
      <w:lvlText w:val="%1."/>
      <w:numFmt w:val="decimal"/>
      <w:start w:val="13"/>
    </w:lvl>
    <w:lvl w:ilvl="1">
      <w:lvlJc w:val="left"/>
      <w:lvlText w:val="%2."/>
      <w:numFmt w:val="lowerLetter"/>
      <w:start w:val="8"/>
    </w:lvl>
    <w:lvl w:ilvl="2">
      <w:lvlJc w:val="left"/>
      <w:lvlText w:val="%3"/>
      <w:numFmt w:val="lowerRoman"/>
      <w:start w:val="1"/>
    </w:lvl>
  </w:abstractNum>
  <w:abstractNum w:abstractNumId="39">
    <w:nsid w:val="1BA026F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0">
    <w:nsid w:val="79A1DEAA"/>
    <w:multiLevelType w:val="hybridMultilevel"/>
    <w:lvl w:ilvl="0">
      <w:lvlJc w:val="left"/>
      <w:lvlText w:val="%1."/>
      <w:numFmt w:val="lowerLetter"/>
      <w:start w:val="13"/>
    </w:lvl>
    <w:lvl w:ilvl="1">
      <w:lvlJc w:val="left"/>
      <w:lvlText w:val="%2."/>
      <w:numFmt w:val="lowerRoman"/>
      <w:start w:val="1"/>
    </w:lvl>
  </w:abstractNum>
  <w:abstractNum w:abstractNumId="41">
    <w:nsid w:val="75C6C33A"/>
    <w:multiLevelType w:val="hybridMultilevel"/>
    <w:lvl w:ilvl="0">
      <w:lvlJc w:val="left"/>
      <w:lvlText w:val="%1."/>
      <w:numFmt w:val="lowerLetter"/>
      <w:start w:val="17"/>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2"/>
    </w:lvl>
    <w:lvl w:ilvl="1">
      <w:lvlJc w:val="left"/>
      <w:lvlText w:val="%2."/>
      <w:numFmt w:val="lowerLetter"/>
      <w:start w:val="1"/>
    </w:lvl>
  </w:abstractNum>
  <w:abstractNum w:abstractNumId="44">
    <w:nsid w:val="520EEDD1"/>
    <w:multiLevelType w:val="hybridMultilevel"/>
    <w:lvl w:ilvl="0">
      <w:lvlJc w:val="left"/>
      <w:lvlText w:val="%1"/>
      <w:numFmt w:val="decimal"/>
      <w:start w:val="1"/>
    </w:lvl>
    <w:lvl w:ilvl="1">
      <w:lvlJc w:val="left"/>
      <w:lvlText w:val="%2."/>
      <w:numFmt w:val="lowerLetter"/>
      <w:start w:val="1"/>
    </w:lvl>
  </w:abstractNum>
  <w:abstractNum w:abstractNumId="45">
    <w:nsid w:val="374A3FE6"/>
    <w:multiLevelType w:val="hybridMultilevel"/>
    <w:lvl w:ilvl="0">
      <w:lvlJc w:val="left"/>
      <w:lvlText w:val="%1."/>
      <w:numFmt w:val="decimal"/>
      <w:start w:val="3"/>
    </w:lvl>
    <w:lvl w:ilvl="1">
      <w:lvlJc w:val="left"/>
      <w:lvlText w:val="%2."/>
      <w:numFmt w:val="lowerLetter"/>
      <w:start w:val="2"/>
    </w:lvl>
  </w:abstractNum>
  <w:abstractNum w:abstractNumId="46">
    <w:nsid w:val="4F4EF005"/>
    <w:multiLevelType w:val="hybridMultilevel"/>
    <w:lvl w:ilvl="0">
      <w:lvlJc w:val="left"/>
      <w:lvlText w:val="(%1)"/>
      <w:numFmt w:val="lowerRoman"/>
      <w:start w:val="3"/>
    </w:lvl>
  </w:abstractNum>
  <w:abstractNum w:abstractNumId="47">
    <w:nsid w:val="23F9C13C"/>
    <w:multiLevelType w:val="hybridMultilevel"/>
    <w:lvl w:ilvl="0">
      <w:lvlJc w:val="left"/>
      <w:lvlText w:val="%1."/>
      <w:numFmt w:val="decimal"/>
      <w:start w:val="4"/>
    </w:lvl>
  </w:abstractNum>
  <w:abstractNum w:abstractNumId="48">
    <w:nsid w:val="649BB77C"/>
    <w:multiLevelType w:val="hybridMultilevel"/>
    <w:lvl w:ilvl="0">
      <w:lvlJc w:val="left"/>
      <w:lvlText w:val="%1."/>
      <w:numFmt w:val="decimal"/>
      <w:start w:val="5"/>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decimal"/>
      <w:start w:val="1"/>
    </w:lvl>
    <w:lvl w:ilvl="1">
      <w:lvlJc w:val="left"/>
      <w:lvlText w:val="%2."/>
      <w:numFmt w:val="lowerLetter"/>
      <w:start w:val="1"/>
    </w:lvl>
  </w:abstractNum>
  <w:abstractNum w:abstractNumId="51">
    <w:nsid w:val="1CF10FD8"/>
    <w:multiLevelType w:val="hybridMultilevel"/>
    <w:lvl w:ilvl="0">
      <w:lvlJc w:val="left"/>
      <w:lvlText w:val="%1."/>
      <w:numFmt w:val="decimal"/>
      <w:start w:val="3"/>
    </w:lvl>
    <w:lvl w:ilvl="1">
      <w:lvlJc w:val="left"/>
      <w:lvlText w:val="%2."/>
      <w:numFmt w:val="lowerLetter"/>
      <w:start w:val="1"/>
    </w:lvl>
  </w:abstractNum>
  <w:abstractNum w:abstractNumId="52">
    <w:nsid w:val="180115BE"/>
    <w:multiLevelType w:val="hybridMultilevel"/>
    <w:lvl w:ilvl="0">
      <w:lvlJc w:val="left"/>
      <w:lvlText w:val="%1."/>
      <w:numFmt w:val="decimal"/>
      <w:start w:val="1"/>
    </w:lvl>
    <w:lvl w:ilvl="1">
      <w:lvlJc w:val="left"/>
      <w:lvlText w:val="%2."/>
      <w:numFmt w:val="lowerLetter"/>
      <w:start w:val="1"/>
    </w:lvl>
  </w:abstractNum>
  <w:abstractNum w:abstractNumId="53">
    <w:nsid w:val="235BA861"/>
    <w:multiLevelType w:val="hybridMultilevel"/>
    <w:lvl w:ilvl="0">
      <w:lvlJc w:val="left"/>
      <w:lvlText w:val="%1"/>
      <w:numFmt w:val="decimal"/>
      <w:start w:val="1"/>
    </w:lvl>
    <w:lvl w:ilvl="1">
      <w:lvlJc w:val="left"/>
      <w:lvlText w:val="%2."/>
      <w:numFmt w:val="lowerLetter"/>
      <w:start w:val="2"/>
    </w:lvl>
  </w:abstractNum>
  <w:abstractNum w:abstractNumId="54">
    <w:nsid w:val="47398C89"/>
    <w:multiLevelType w:val="hybridMultilevel"/>
    <w:lvl w:ilvl="0">
      <w:lvlJc w:val="left"/>
      <w:lvlText w:val="%1."/>
      <w:numFmt w:val="decimal"/>
      <w:start w:val="2"/>
    </w:lvl>
    <w:lvl w:ilvl="1">
      <w:lvlJc w:val="left"/>
      <w:lvlText w:val="%2"/>
      <w:numFmt w:val="lowerLetter"/>
      <w:start w:val="1"/>
    </w:lvl>
  </w:abstractNum>
  <w:abstractNum w:abstractNumId="55">
    <w:nsid w:val="354FE9F9"/>
    <w:multiLevelType w:val="hybridMultilevel"/>
    <w:lvl w:ilvl="0">
      <w:lvlJc w:val="left"/>
      <w:lvlText w:val="%1"/>
      <w:numFmt w:val="decimal"/>
      <w:start w:val="1"/>
    </w:lvl>
    <w:lvl w:ilvl="1">
      <w:lvlJc w:val="left"/>
      <w:lvlText w:val="%2."/>
      <w:numFmt w:val="decimal"/>
      <w:start w:val="3"/>
    </w:lvl>
  </w:abstractNum>
  <w:abstractNum w:abstractNumId="56">
    <w:nsid w:val="15B5AF5C"/>
    <w:multiLevelType w:val="hybridMultilevel"/>
    <w:lvl w:ilvl="0">
      <w:lvlJc w:val="left"/>
      <w:lvlText w:val="%1."/>
      <w:numFmt w:val="decimal"/>
      <w:start w:val="5"/>
    </w:lvl>
    <w:lvl w:ilvl="1">
      <w:lvlJc w:val="left"/>
      <w:lvlText w:val="%2"/>
      <w:numFmt w:val="decimal"/>
      <w:start w:val="1"/>
    </w:lvl>
  </w:abstractNum>
  <w:abstractNum w:abstractNumId="57">
    <w:nsid w:val="741226BB"/>
    <w:multiLevelType w:val="hybridMultilevel"/>
    <w:lvl w:ilvl="0">
      <w:lvlJc w:val="left"/>
      <w:lvlText w:val="%1."/>
      <w:numFmt w:val="decimal"/>
      <w:start w:val="6"/>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2022-11-07T15:45:18Z</dcterms:created>
  <dcterms:modified xsi:type="dcterms:W3CDTF">2022-11-07T15:45:18Z</dcterms:modified>
</cp:coreProperties>
</file>