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686.xml.htm"/>
      <w:bookmarkStart w:id="1" w:name="kswkform4_17842346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Soares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NOT APPLICABLE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706"/>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10,519</w:t>
            </w:r>
            <w:r>
              <w:rPr>
                <w:rFonts w:ascii="Times;serif" w:hAnsi="Times;serif"/>
                <w:color w:val="008000"/>
                <w:position w:val="7"/>
                <w:sz w:val="16"/>
                <w:sz w:val="20"/>
                <w:shd w:fill="FFFFFF" w:val="clear"/>
              </w:rPr>
              <w:t>(1)</w:t>
            </w:r>
            <w:r>
              <w:rPr/>
              <w:t xml:space="preserve"> </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r>
              <w:rPr>
                <w:rFonts w:ascii="Times;serif" w:hAnsi="Times;serif"/>
                <w:color w:val="008000"/>
                <w:position w:val="7"/>
                <w:sz w:val="16"/>
                <w:sz w:val="20"/>
                <w:shd w:fill="FFFFFF" w:val="clear"/>
              </w:rPr>
              <w:t>(2)</w:t>
            </w:r>
            <w:r>
              <w:rPr/>
              <w:t xml:space="preserve"> </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1,557,222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Common Stock required to be sold by the Reporting Person to cover tax withholding obligations in connection with the vesting of restricted stock units ("RSUs") originally granted to the Reporting Person on October 15, 2024. The remaining RSUs vest quarterly in equal installments of 6.25%, with the final vesting date occurring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$4.73,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Karen M. Soares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08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771</Words>
  <Characters>4147</Characters>
  <CharactersWithSpaces>4856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