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600075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624840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38"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440" w:hanging="419"/>
        <w:spacing w:after="0"/>
        <w:tabs>
          <w:tab w:leader="none" w:pos="4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1" w:lineRule="exact"/>
        <w:rPr>
          <w:sz w:val="24"/>
          <w:szCs w:val="24"/>
          <w:color w:val="auto"/>
        </w:rPr>
      </w:pPr>
    </w:p>
    <w:p>
      <w:pPr>
        <w:ind w:left="440" w:hanging="419"/>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 to 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001-39252</w:t>
      </w:r>
    </w:p>
    <w:p>
      <w:pPr>
        <w:spacing w:after="0" w:line="29"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Clover Health Investments, Corp.</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40" w:lineRule="exact"/>
        <w:rPr>
          <w:sz w:val="24"/>
          <w:szCs w:val="24"/>
          <w:color w:val="auto"/>
        </w:rPr>
      </w:pPr>
    </w:p>
    <w:tbl>
      <w:tblPr>
        <w:tblLayout w:type="fixed"/>
        <w:tblInd w:w="2460" w:type="dxa"/>
        <w:tblCellMar>
          <w:top w:w="0" w:type="dxa"/>
          <w:left w:w="0" w:type="dxa"/>
          <w:bottom w:w="0" w:type="dxa"/>
          <w:right w:w="0" w:type="dxa"/>
        </w:tblCellMar>
      </w:tblP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98-1515192</w:t>
            </w:r>
          </w:p>
        </w:tc>
      </w:tr>
    </w:tbl>
    <w:p>
      <w:pPr>
        <w:spacing w:after="0" w:line="6" w:lineRule="exact"/>
        <w:rPr>
          <w:sz w:val="24"/>
          <w:szCs w:val="24"/>
          <w:color w:val="auto"/>
        </w:rPr>
      </w:pPr>
    </w:p>
    <w:p>
      <w:pPr>
        <w:sectPr>
          <w:pgSz w:w="11900" w:h="16838" w:orient="portrait"/>
          <w:cols w:equalWidth="0" w:num="1">
            <w:col w:w="11240"/>
          </w:cols>
          <w:pgMar w:left="320" w:top="1144" w:right="339" w:bottom="146" w:gutter="0" w:footer="0" w:header="0"/>
        </w:sectPr>
      </w:pPr>
    </w:p>
    <w:p>
      <w:pPr>
        <w:ind w:left="20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32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3401 Mallory Lane</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Suite 210</w:t>
      </w:r>
    </w:p>
    <w:p>
      <w:pPr>
        <w:spacing w:after="0" w:line="4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Franklin</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Tennessee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37067</w:t>
      </w:r>
    </w:p>
    <w:p>
      <w:pPr>
        <w:spacing w:after="0" w:line="33" w:lineRule="exact"/>
        <w:rPr>
          <w:sz w:val="24"/>
          <w:szCs w:val="24"/>
          <w:color w:val="auto"/>
        </w:rPr>
      </w:pPr>
    </w:p>
    <w:p>
      <w:pPr>
        <w:sectPr>
          <w:pgSz w:w="11900" w:h="16838" w:orient="portrait"/>
          <w:cols w:equalWidth="0" w:num="2">
            <w:col w:w="7240" w:space="720"/>
            <w:col w:w="3280"/>
          </w:cols>
          <w:pgMar w:left="320" w:top="1144" w:right="339" w:bottom="146" w:gutter="0" w:footer="0" w:header="0"/>
          <w:type w:val="continuous"/>
        </w:sectPr>
      </w:pPr>
    </w:p>
    <w:p>
      <w:pPr>
        <w:ind w:left="1820"/>
        <w:spacing w:after="0"/>
        <w:tabs>
          <w:tab w:leader="none" w:pos="8140" w:val="left"/>
        </w:tabs>
        <w:rPr>
          <w:sz w:val="20"/>
          <w:szCs w:val="20"/>
          <w:color w:val="auto"/>
        </w:rPr>
      </w:pPr>
      <w:r>
        <w:rPr>
          <w:rFonts w:ascii="Times New Roman" w:cs="Times New Roman" w:eastAsia="Times New Roman" w:hAnsi="Times New Roman"/>
          <w:sz w:val="12"/>
          <w:szCs w:val="12"/>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(201) 432-2133</w:t>
      </w:r>
    </w:p>
    <w:p>
      <w:pPr>
        <w:spacing w:after="0" w:line="123"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9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4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Borders>
              <w:bottom w:val="single" w:sz="8" w:color="auto"/>
            </w:tcBorders>
            <w:gridSpan w:val="4"/>
          </w:tcPr>
          <w:p>
            <w:pPr>
              <w:spacing w:after="0" w:line="20" w:lineRule="exact"/>
              <w:rPr>
                <w:sz w:val="1"/>
                <w:szCs w:val="1"/>
                <w:color w:val="auto"/>
              </w:rPr>
            </w:pPr>
          </w:p>
        </w:tc>
      </w:tr>
      <w:tr>
        <w:trPr>
          <w:trHeight w:val="198"/>
        </w:trPr>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 par value $0.0001 per share</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CLOV</w:t>
            </w:r>
          </w:p>
        </w:tc>
        <w:tc>
          <w:tcPr>
            <w:tcW w:w="80" w:type="dxa"/>
            <w:vAlign w:val="bottom"/>
          </w:tcPr>
          <w:p>
            <w:pPr>
              <w:spacing w:after="0"/>
              <w:rPr>
                <w:sz w:val="17"/>
                <w:szCs w:val="17"/>
                <w:color w:val="auto"/>
              </w:rPr>
            </w:pPr>
          </w:p>
        </w:tc>
        <w:tc>
          <w:tcPr>
            <w:tcW w:w="45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 NASDAQ Stock Market LLC</w:t>
            </w:r>
          </w:p>
        </w:tc>
      </w:tr>
      <w:tr>
        <w:trPr>
          <w:trHeight w:val="386"/>
        </w:trPr>
        <w:tc>
          <w:tcPr>
            <w:tcW w:w="828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w w:val="97"/>
              </w:rPr>
              <w:t>Indicate by check mark if the registrant is a well-known seasoned issuer, as defined in Rule 405 of the Securities Act. Yes</w:t>
            </w:r>
          </w:p>
        </w:tc>
        <w:tc>
          <w:tcPr>
            <w:tcW w:w="260" w:type="dxa"/>
            <w:vAlign w:val="bottom"/>
          </w:tcPr>
          <w:p>
            <w:pPr>
              <w:ind w:left="40"/>
              <w:spacing w:after="0"/>
              <w:rPr>
                <w:sz w:val="20"/>
                <w:szCs w:val="20"/>
                <w:color w:val="auto"/>
              </w:rPr>
            </w:pPr>
            <w:r>
              <w:rPr>
                <w:rFonts w:ascii="Wingdings" w:cs="Wingdings" w:eastAsia="Wingdings" w:hAnsi="Wingdings"/>
                <w:sz w:val="16"/>
                <w:szCs w:val="16"/>
                <w:b w:val="1"/>
                <w:bCs w:val="1"/>
                <w:color w:val="auto"/>
              </w:rPr>
              <w:t>o</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w:t>
            </w:r>
          </w:p>
        </w:tc>
        <w:tc>
          <w:tcPr>
            <w:tcW w:w="2380" w:type="dxa"/>
            <w:vAlign w:val="bottom"/>
          </w:tcPr>
          <w:p>
            <w:pPr>
              <w:jc w:val="center"/>
              <w:ind w:right="2062"/>
              <w:spacing w:after="0"/>
              <w:rPr>
                <w:sz w:val="20"/>
                <w:szCs w:val="20"/>
                <w:color w:val="auto"/>
              </w:rPr>
            </w:pPr>
            <w:r>
              <w:rPr>
                <w:rFonts w:ascii="Wingdings" w:cs="Wingdings" w:eastAsia="Wingdings" w:hAnsi="Wingdings"/>
                <w:sz w:val="16"/>
                <w:szCs w:val="16"/>
                <w:b w:val="1"/>
                <w:bCs w:val="1"/>
                <w:color w:val="auto"/>
                <w:w w:val="94"/>
              </w:rPr>
              <w:t>x</w:t>
            </w:r>
          </w:p>
        </w:tc>
      </w:tr>
      <w:tr>
        <w:trPr>
          <w:trHeight w:val="286"/>
        </w:trPr>
        <w:tc>
          <w:tcPr>
            <w:tcW w:w="828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 of the Act.  Yes</w:t>
            </w:r>
          </w:p>
        </w:tc>
        <w:tc>
          <w:tcPr>
            <w:tcW w:w="260" w:type="dxa"/>
            <w:vAlign w:val="bottom"/>
          </w:tcPr>
          <w:p>
            <w:pPr>
              <w:ind w:left="40"/>
              <w:spacing w:after="0"/>
              <w:rPr>
                <w:sz w:val="20"/>
                <w:szCs w:val="20"/>
                <w:color w:val="auto"/>
              </w:rPr>
            </w:pPr>
            <w:r>
              <w:rPr>
                <w:rFonts w:ascii="Wingdings" w:cs="Wingdings" w:eastAsia="Wingdings" w:hAnsi="Wingdings"/>
                <w:sz w:val="16"/>
                <w:szCs w:val="16"/>
                <w:b w:val="1"/>
                <w:bCs w:val="1"/>
                <w:color w:val="auto"/>
              </w:rPr>
              <w:t>o</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w:t>
            </w:r>
          </w:p>
        </w:tc>
        <w:tc>
          <w:tcPr>
            <w:tcW w:w="2380" w:type="dxa"/>
            <w:vAlign w:val="bottom"/>
          </w:tcPr>
          <w:p>
            <w:pPr>
              <w:jc w:val="center"/>
              <w:ind w:right="2062"/>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96" w:lineRule="exact"/>
        <w:rPr>
          <w:sz w:val="24"/>
          <w:szCs w:val="24"/>
          <w:color w:val="auto"/>
        </w:rPr>
      </w:pPr>
    </w:p>
    <w:p>
      <w:pPr>
        <w:jc w:val="both"/>
        <w:ind w:right="440" w:firstLine="623"/>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93" w:lineRule="exact"/>
        <w:rPr>
          <w:sz w:val="24"/>
          <w:szCs w:val="24"/>
          <w:color w:val="auto"/>
        </w:rPr>
      </w:pPr>
    </w:p>
    <w:p>
      <w:pPr>
        <w:ind w:right="200" w:firstLine="623"/>
        <w:spacing w:after="0" w:line="26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0" w:lineRule="exact"/>
        <w:rPr>
          <w:sz w:val="24"/>
          <w:szCs w:val="24"/>
          <w:color w:val="auto"/>
        </w:rPr>
      </w:pPr>
    </w:p>
    <w:p>
      <w:pPr>
        <w:ind w:right="160" w:firstLine="623"/>
        <w:spacing w:after="0" w:line="33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vMerge w:val="restart"/>
          </w:tcPr>
          <w:p>
            <w:pPr>
              <w:ind w:left="360"/>
              <w:spacing w:after="0"/>
              <w:rPr>
                <w:sz w:val="20"/>
                <w:szCs w:val="20"/>
                <w:color w:val="auto"/>
              </w:rPr>
            </w:pPr>
            <w:r>
              <w:rPr>
                <w:rFonts w:ascii="Wingdings" w:cs="Wingdings" w:eastAsia="Wingdings" w:hAnsi="Wingdings"/>
                <w:sz w:val="16"/>
                <w:szCs w:val="16"/>
                <w:b w:val="1"/>
                <w:bCs w:val="1"/>
                <w:color w:val="auto"/>
              </w:rPr>
              <w:t>x</w:t>
            </w:r>
          </w:p>
        </w:tc>
        <w:tc>
          <w:tcPr>
            <w:tcW w:w="504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103"/>
        </w:trPr>
        <w:tc>
          <w:tcPr>
            <w:tcW w:w="2060" w:type="dxa"/>
            <w:vAlign w:val="bottom"/>
          </w:tcPr>
          <w:p>
            <w:pPr>
              <w:spacing w:after="0"/>
              <w:rPr>
                <w:sz w:val="8"/>
                <w:szCs w:val="8"/>
                <w:color w:val="auto"/>
              </w:rPr>
            </w:pPr>
          </w:p>
        </w:tc>
        <w:tc>
          <w:tcPr>
            <w:tcW w:w="3500" w:type="dxa"/>
            <w:vAlign w:val="bottom"/>
            <w:vMerge w:val="continue"/>
          </w:tcPr>
          <w:p>
            <w:pPr>
              <w:spacing w:after="0"/>
              <w:rPr>
                <w:sz w:val="8"/>
                <w:szCs w:val="8"/>
                <w:color w:val="auto"/>
              </w:rPr>
            </w:pPr>
          </w:p>
        </w:tc>
        <w:tc>
          <w:tcPr>
            <w:tcW w:w="5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504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5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firstLine="623"/>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firstLine="623"/>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8" w:lineRule="exact"/>
        <w:rPr>
          <w:sz w:val="24"/>
          <w:szCs w:val="24"/>
          <w:color w:val="auto"/>
        </w:rPr>
      </w:pPr>
    </w:p>
    <w:p>
      <w:pPr>
        <w:ind w:firstLine="623"/>
        <w:spacing w:after="0" w:line="26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210" w:lineRule="exact"/>
        <w:rPr>
          <w:sz w:val="24"/>
          <w:szCs w:val="24"/>
          <w:color w:val="auto"/>
        </w:rPr>
      </w:pPr>
    </w:p>
    <w:p>
      <w:pPr>
        <w:ind w:firstLine="623"/>
        <w:spacing w:after="0" w:line="26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97" w:lineRule="exact"/>
        <w:rPr>
          <w:sz w:val="24"/>
          <w:szCs w:val="24"/>
          <w:color w:val="auto"/>
        </w:rPr>
      </w:pPr>
    </w:p>
    <w:p>
      <w:pPr>
        <w:ind w:left="620"/>
        <w:spacing w:after="0"/>
        <w:tabs>
          <w:tab w:leader="none" w:pos="7880" w:val="left"/>
          <w:tab w:leader="none" w:pos="8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At June 30, 2022 the aggregate market value of common stock held by non-affiliates was approximately $839,182,523, based on a closing price of $2.14.</w:t>
      </w:r>
    </w:p>
    <w:p>
      <w:pPr>
        <w:spacing w:after="0" w:line="102" w:lineRule="exact"/>
        <w:rPr>
          <w:sz w:val="24"/>
          <w:szCs w:val="24"/>
          <w:color w:val="auto"/>
        </w:rPr>
      </w:pPr>
    </w:p>
    <w:p>
      <w:pPr>
        <w:ind w:firstLine="623"/>
        <w:spacing w:after="0" w:line="261" w:lineRule="auto"/>
        <w:rPr>
          <w:sz w:val="20"/>
          <w:szCs w:val="20"/>
          <w:color w:val="auto"/>
        </w:rPr>
      </w:pPr>
      <w:r>
        <w:rPr>
          <w:rFonts w:ascii="Times New Roman" w:cs="Times New Roman" w:eastAsia="Times New Roman" w:hAnsi="Times New Roman"/>
          <w:sz w:val="16"/>
          <w:szCs w:val="16"/>
          <w:color w:val="auto"/>
        </w:rPr>
        <w:t>At February 20, 2023, the registrant had 392,824,475 shares of Class A Common Stock, $0.0001 par value per share, and 86,722,389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117475</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44" w:right="339" w:bottom="146"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use in connection with its 2023 annual meeting of stockholders will be filed with the U.S. Securities and Exchange Commission within 120 days after the close of registrant's fiscal year and are incorporated by reference into Part III hereof.</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15"/>
          </w:tcPr>
          <w:p>
            <w:pPr>
              <w:ind w:left="72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415"/>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9"/>
          </w:tcPr>
          <w:p>
            <w:pPr>
              <w:jc w:val="center"/>
              <w:ind w:right="2820"/>
              <w:spacing w:after="0"/>
              <w:rPr>
                <w:sz w:val="20"/>
                <w:szCs w:val="20"/>
                <w:color w:val="auto"/>
              </w:rPr>
            </w:pPr>
            <w:r>
              <w:rPr>
                <w:rFonts w:ascii="Times New Roman" w:cs="Times New Roman" w:eastAsia="Times New Roman" w:hAnsi="Times New Roman"/>
                <w:sz w:val="17"/>
                <w:szCs w:val="17"/>
                <w:b w:val="1"/>
                <w:bCs w:val="1"/>
                <w:color w:val="0000FF"/>
              </w:rPr>
              <w:t>PART I</w:t>
            </w:r>
          </w:p>
        </w:tc>
      </w:tr>
      <w:tr>
        <w:trPr>
          <w:trHeight w:val="214"/>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1.</w:t>
            </w:r>
          </w:p>
        </w:tc>
        <w:tc>
          <w:tcPr>
            <w:tcW w:w="300" w:type="dxa"/>
            <w:vAlign w:val="bottom"/>
            <w:gridSpan w:val="2"/>
          </w:tcPr>
          <w:p>
            <w:pPr>
              <w:spacing w:after="0"/>
              <w:rPr>
                <w:sz w:val="18"/>
                <w:szCs w:val="18"/>
                <w:color w:val="auto"/>
              </w:rPr>
            </w:pPr>
          </w:p>
        </w:tc>
        <w:tc>
          <w:tcPr>
            <w:tcW w:w="4640" w:type="dxa"/>
            <w:vAlign w:val="bottom"/>
            <w:gridSpan w:val="18"/>
          </w:tcPr>
          <w:p>
            <w:pPr>
              <w:ind w:left="300"/>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tcBorders>
            <w:gridSpan w:val="2"/>
          </w:tcPr>
          <w:p>
            <w:pPr>
              <w:spacing w:after="0"/>
              <w:rPr>
                <w:sz w:val="18"/>
                <w:szCs w:val="18"/>
                <w:color w:val="auto"/>
              </w:rPr>
            </w:pPr>
          </w:p>
        </w:tc>
        <w:tc>
          <w:tcPr>
            <w:tcW w:w="2840" w:type="dxa"/>
            <w:vAlign w:val="bottom"/>
            <w:gridSpan w:val="7"/>
          </w:tcPr>
          <w:p>
            <w:pPr>
              <w:spacing w:after="0"/>
              <w:rPr>
                <w:sz w:val="18"/>
                <w:szCs w:val="18"/>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1A.</w:t>
            </w:r>
          </w:p>
        </w:tc>
        <w:tc>
          <w:tcPr>
            <w:tcW w:w="160" w:type="dxa"/>
            <w:vAlign w:val="bottom"/>
          </w:tcPr>
          <w:p>
            <w:pPr>
              <w:spacing w:after="0"/>
              <w:rPr>
                <w:sz w:val="20"/>
                <w:szCs w:val="20"/>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1B.</w:t>
            </w:r>
          </w:p>
        </w:tc>
        <w:tc>
          <w:tcPr>
            <w:tcW w:w="160" w:type="dxa"/>
            <w:vAlign w:val="bottom"/>
          </w:tcPr>
          <w:p>
            <w:pPr>
              <w:spacing w:after="0"/>
              <w:rPr>
                <w:sz w:val="20"/>
                <w:szCs w:val="20"/>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Unresolved Staff Comments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Properties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3.</w:t>
            </w:r>
          </w:p>
        </w:tc>
        <w:tc>
          <w:tcPr>
            <w:tcW w:w="300" w:type="dxa"/>
            <w:vAlign w:val="bottom"/>
            <w:gridSpan w:val="2"/>
          </w:tcPr>
          <w:p>
            <w:pPr>
              <w:spacing w:after="0"/>
              <w:rPr>
                <w:sz w:val="20"/>
                <w:szCs w:val="20"/>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Legal Proceedings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4.</w:t>
            </w:r>
          </w:p>
        </w:tc>
        <w:tc>
          <w:tcPr>
            <w:tcW w:w="300" w:type="dxa"/>
            <w:vAlign w:val="bottom"/>
            <w:gridSpan w:val="2"/>
          </w:tcPr>
          <w:p>
            <w:pPr>
              <w:spacing w:after="0"/>
              <w:rPr>
                <w:sz w:val="20"/>
                <w:szCs w:val="20"/>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434"/>
        </w:trPr>
        <w:tc>
          <w:tcPr>
            <w:tcW w:w="4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gridSpan w:val="10"/>
          </w:tcPr>
          <w:p>
            <w:pPr>
              <w:jc w:val="center"/>
              <w:ind w:right="2800"/>
              <w:spacing w:after="0"/>
              <w:rPr>
                <w:sz w:val="20"/>
                <w:szCs w:val="20"/>
                <w:color w:val="auto"/>
              </w:rPr>
            </w:pPr>
            <w:r>
              <w:rPr>
                <w:rFonts w:ascii="Times New Roman" w:cs="Times New Roman" w:eastAsia="Times New Roman" w:hAnsi="Times New Roman"/>
                <w:sz w:val="17"/>
                <w:szCs w:val="17"/>
                <w:b w:val="1"/>
                <w:bCs w:val="1"/>
                <w:color w:val="0000FF"/>
                <w:w w:val="97"/>
              </w:rPr>
              <w:t>PART II</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08"/>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5.</w:t>
            </w:r>
          </w:p>
        </w:tc>
        <w:tc>
          <w:tcPr>
            <w:tcW w:w="300" w:type="dxa"/>
            <w:vAlign w:val="bottom"/>
            <w:gridSpan w:val="2"/>
          </w:tcPr>
          <w:p>
            <w:pPr>
              <w:spacing w:after="0"/>
              <w:rPr>
                <w:sz w:val="24"/>
                <w:szCs w:val="24"/>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r>
      <w:tr>
        <w:trPr>
          <w:trHeight w:val="20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6.</w:t>
            </w:r>
          </w:p>
        </w:tc>
        <w:tc>
          <w:tcPr>
            <w:tcW w:w="300" w:type="dxa"/>
            <w:vAlign w:val="bottom"/>
            <w:gridSpan w:val="2"/>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Reserved</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90"/>
              </w:rPr>
              <w:t>Item 7</w:t>
            </w:r>
          </w:p>
        </w:tc>
        <w:tc>
          <w:tcPr>
            <w:tcW w:w="300" w:type="dxa"/>
            <w:vAlign w:val="bottom"/>
            <w:gridSpan w:val="2"/>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7A.</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4"/>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9.</w:t>
            </w:r>
          </w:p>
        </w:tc>
        <w:tc>
          <w:tcPr>
            <w:tcW w:w="300" w:type="dxa"/>
            <w:vAlign w:val="bottom"/>
            <w:gridSpan w:val="2"/>
          </w:tcPr>
          <w:p>
            <w:pPr>
              <w:spacing w:after="0"/>
              <w:rPr>
                <w:sz w:val="19"/>
                <w:szCs w:val="19"/>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9A.</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Controls and Procedures</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9B.</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Other Information</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9C.</w:t>
            </w: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w w:val="99"/>
              </w:rPr>
              <w:t>PART III</w:t>
            </w:r>
          </w:p>
        </w:tc>
        <w:tc>
          <w:tcPr>
            <w:tcW w:w="2740" w:type="dxa"/>
            <w:vAlign w:val="bottom"/>
            <w:gridSpan w:val="4"/>
          </w:tcPr>
          <w:p>
            <w:pPr>
              <w:spacing w:after="0"/>
              <w:rPr>
                <w:sz w:val="24"/>
                <w:szCs w:val="24"/>
                <w:color w:val="auto"/>
              </w:rPr>
            </w:pPr>
          </w:p>
        </w:tc>
      </w:tr>
      <w:tr>
        <w:trPr>
          <w:trHeight w:val="42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10.</w:t>
            </w:r>
          </w:p>
        </w:tc>
        <w:tc>
          <w:tcPr>
            <w:tcW w:w="160" w:type="dxa"/>
            <w:vAlign w:val="bottom"/>
          </w:tcPr>
          <w:p>
            <w:pPr>
              <w:spacing w:after="0"/>
              <w:rPr>
                <w:sz w:val="24"/>
                <w:szCs w:val="24"/>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7"/>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160" w:type="dxa"/>
            <w:vAlign w:val="bottom"/>
          </w:tcPr>
          <w:p>
            <w:pPr>
              <w:spacing w:after="0"/>
              <w:rPr>
                <w:sz w:val="19"/>
                <w:szCs w:val="19"/>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Executive Compensation</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12.</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13.</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14.</w:t>
            </w:r>
          </w:p>
        </w:tc>
        <w:tc>
          <w:tcPr>
            <w:tcW w:w="160" w:type="dxa"/>
            <w:vAlign w:val="bottom"/>
          </w:tcPr>
          <w:p>
            <w:pPr>
              <w:spacing w:after="0"/>
              <w:rPr>
                <w:sz w:val="17"/>
                <w:szCs w:val="17"/>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Principal Accounting Fees and Services</w:t>
            </w:r>
          </w:p>
        </w:tc>
      </w:tr>
      <w:tr>
        <w:trPr>
          <w:trHeight w:val="408"/>
        </w:trPr>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0000FF"/>
                <w:w w:val="97"/>
              </w:rPr>
              <w:t>PART IV</w:t>
            </w:r>
          </w:p>
        </w:tc>
        <w:tc>
          <w:tcPr>
            <w:tcW w:w="2760" w:type="dxa"/>
            <w:vAlign w:val="bottom"/>
            <w:gridSpan w:val="5"/>
          </w:tcPr>
          <w:p>
            <w:pPr>
              <w:spacing w:after="0"/>
              <w:rPr>
                <w:sz w:val="24"/>
                <w:szCs w:val="24"/>
                <w:color w:val="auto"/>
              </w:rPr>
            </w:pPr>
          </w:p>
        </w:tc>
      </w:tr>
      <w:tr>
        <w:trPr>
          <w:trHeight w:val="214"/>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15.</w:t>
            </w:r>
          </w:p>
        </w:tc>
        <w:tc>
          <w:tcPr>
            <w:tcW w:w="160" w:type="dxa"/>
            <w:vAlign w:val="bottom"/>
          </w:tcPr>
          <w:p>
            <w:pPr>
              <w:spacing w:after="0"/>
              <w:rPr>
                <w:sz w:val="18"/>
                <w:szCs w:val="18"/>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4700" w:type="dxa"/>
            <w:vAlign w:val="bottom"/>
            <w:gridSpan w:val="16"/>
          </w:tcPr>
          <w:p>
            <w:pPr>
              <w:spacing w:after="0" w:line="20" w:lineRule="exact"/>
              <w:rPr>
                <w:sz w:val="1"/>
                <w:szCs w:val="1"/>
                <w:color w:val="auto"/>
              </w:rPr>
            </w:pPr>
          </w:p>
        </w:tc>
      </w:tr>
      <w:tr>
        <w:trPr>
          <w:trHeight w:val="227"/>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16.</w:t>
            </w:r>
          </w:p>
        </w:tc>
        <w:tc>
          <w:tcPr>
            <w:tcW w:w="160" w:type="dxa"/>
            <w:vAlign w:val="bottom"/>
          </w:tcPr>
          <w:p>
            <w:pPr>
              <w:spacing w:after="0"/>
              <w:rPr>
                <w:sz w:val="19"/>
                <w:szCs w:val="19"/>
                <w:color w:val="auto"/>
              </w:rPr>
            </w:pPr>
          </w:p>
        </w:tc>
        <w:tc>
          <w:tcPr>
            <w:tcW w:w="8040" w:type="dxa"/>
            <w:vAlign w:val="bottom"/>
            <w:gridSpan w:val="27"/>
          </w:tcPr>
          <w:p>
            <w:pPr>
              <w:ind w:left="300"/>
              <w:spacing w:after="0"/>
              <w:rPr>
                <w:sz w:val="20"/>
                <w:szCs w:val="20"/>
                <w:color w:val="auto"/>
              </w:rPr>
            </w:pPr>
            <w:r>
              <w:rPr>
                <w:rFonts w:ascii="Times New Roman" w:cs="Times New Roman" w:eastAsia="Times New Roman" w:hAnsi="Times New Roman"/>
                <w:sz w:val="17"/>
                <w:szCs w:val="17"/>
                <w:color w:val="0000FF"/>
              </w:rPr>
              <w:t>Form 10-K Summary</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4"/>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36830</wp:posOffset>
            </wp:positionV>
            <wp:extent cx="577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u w:val="single" w:color="auto"/>
          <w:color w:val="0000FF"/>
        </w:rPr>
        <w:t>6</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19</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53</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54</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55</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69</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u w:val="single" w:color="auto"/>
          <w:color w:val="0000FF"/>
        </w:rPr>
        <w:t>69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124</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125</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126</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126</w:t>
      </w:r>
    </w:p>
    <w:p>
      <w:pPr>
        <w:sectPr>
          <w:pgSz w:w="11900" w:h="16838" w:orient="portrait"/>
          <w:cols w:equalWidth="0" w:num="2">
            <w:col w:w="9900" w:space="720"/>
            <w:col w:w="300"/>
          </w:cols>
          <w:pgMar w:left="340" w:top="950" w:right="639" w:bottom="1440" w:gutter="0" w:footer="0" w:header="0"/>
        </w:sectPr>
      </w:pPr>
    </w:p>
    <w:bookmarkStart w:id="3" w:name="page4"/>
    <w:bookmarkEnd w:id="3"/>
    <w:p>
      <w:pPr>
        <w:jc w:val="center"/>
        <w:ind w:left="340" w:right="20"/>
        <w:spacing w:after="0" w:line="279" w:lineRule="auto"/>
        <w:rPr>
          <w:sz w:val="20"/>
          <w:szCs w:val="20"/>
          <w:color w:val="auto"/>
        </w:rPr>
      </w:pPr>
      <w:r>
        <w:rPr>
          <w:rFonts w:ascii="Times New Roman" w:cs="Times New Roman" w:eastAsia="Times New Roman" w:hAnsi="Times New Roman"/>
          <w:sz w:val="17"/>
          <w:szCs w:val="17"/>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this Form 10-K .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10-K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210" w:lineRule="exact"/>
        <w:rPr>
          <w:sz w:val="20"/>
          <w:szCs w:val="20"/>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results of operations, financial condition, and cash flows;</w:t>
      </w:r>
    </w:p>
    <w:p>
      <w:pPr>
        <w:spacing w:after="0" w:line="19"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and expansion of our Insurance and Non-Insurance businesses;</w:t>
      </w:r>
    </w:p>
    <w:p>
      <w:pPr>
        <w:ind w:left="620" w:hanging="305"/>
        <w:spacing w:after="0" w:line="22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enter new service markets and manage our operations;</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and challenges in our business and in the markets in which we operate;</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beneficiary base and provider network;</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adoption and use of Clover Assistant;</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benefits associated with the use of Clover Assistant, including our ability to utilize the platform to manage our medical care ratios;</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features and functionality that meet market needs and achieve market acceptance;</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hire necessary employees and staff our operations appropriately;</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certain investments in growth;</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ind w:left="620" w:hanging="305"/>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 pending, or future legislation, regulations, or policies that could have a negative effect on our revenues and businesses, including rules, regulations, and policies relating to healthcare and Medicare;</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improve our Star Ratings or otherwise continue to improve the financial performance of our business;</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ind w:left="620" w:hanging="305"/>
        <w:spacing w:after="0" w:line="22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uncertainty, including the societal and economic impact of the COVID-19 pandemic and its variants and inflation; and</w:t>
      </w: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uncertainty and instability</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Form 10-K or to conform these statements to actual results or revised expectations.</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Form 10-K contains estimates, projections, and other information concerning our industry, our business, and the markets for our products. We obtained the industry, market, and similar data set forth in this Form 10-K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a result of a number of known and unknown risks and uncertainties, including without limitation, the important factors described in the "Risk Factors" section in this Form 10-K, our actual results or performance may be materially different from those expressed or implied by these forward-looking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Factor Summary</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risks highlighted in the section titled "Risk Factors," that represent challenges that we face in connection with our business. The occurrence of one or more of the events or circumstances described in the section titled "Risk Factors," alone or in combination with other events or circumstances, may have an adverse effect on our business, financial condition, results of operations, and prospects. These risks include, among others, the following, which we consider to be our most material risks:</w:t>
      </w:r>
    </w:p>
    <w:p>
      <w:pPr>
        <w:spacing w:after="0" w:line="65" w:lineRule="exact"/>
        <w:rPr>
          <w:sz w:val="20"/>
          <w:szCs w:val="20"/>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the past, and we may not be able to achieve or maintain profitability.</w:t>
      </w:r>
    </w:p>
    <w:p>
      <w:pPr>
        <w:spacing w:after="0" w:line="11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relatively limited experience with Clover Assistant, and initial results may not be indicative of future performance.</w:t>
      </w:r>
    </w:p>
    <w:p>
      <w:pPr>
        <w:spacing w:after="0" w:line="11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Non-Insurance business and continued participation in the Medicare fee-for-service market presents unique risks to our business.</w:t>
      </w:r>
    </w:p>
    <w:p>
      <w:pPr>
        <w:spacing w:after="0" w:line="116" w:lineRule="exact"/>
        <w:rPr>
          <w:rFonts w:ascii="Times New Roman" w:cs="Times New Roman" w:eastAsia="Times New Roman" w:hAnsi="Times New Roman"/>
          <w:sz w:val="17"/>
          <w:szCs w:val="17"/>
          <w:color w:val="auto"/>
        </w:rPr>
      </w:pPr>
    </w:p>
    <w:p>
      <w:pPr>
        <w:jc w:val="both"/>
        <w:ind w:left="620" w:hanging="305"/>
        <w:spacing w:after="0" w:line="273" w:lineRule="auto"/>
        <w:tabs>
          <w:tab w:leader="none" w:pos="616" w:val="left"/>
        </w:tabs>
        <w:numPr>
          <w:ilvl w:val="0"/>
          <w:numId w:val="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Our future performance depends in part on increasing the lifetime value of enrollments, which are realized over several years, and utilizing our clinical care capabilities to improve the quality of care for our beneficiaries. And any failure to do so could negatively affect our financial condition and results of operations, including our ability to achieve or increase profitability.</w:t>
      </w:r>
    </w:p>
    <w:p>
      <w:pPr>
        <w:spacing w:after="0" w:line="59" w:lineRule="exact"/>
        <w:rPr>
          <w:rFonts w:ascii="Times New Roman" w:cs="Times New Roman" w:eastAsia="Times New Roman" w:hAnsi="Times New Roman"/>
          <w:sz w:val="17"/>
          <w:szCs w:val="17"/>
          <w:b w:val="1"/>
          <w:bCs w:val="1"/>
          <w:i w:val="1"/>
          <w:iCs w:val="1"/>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adoption and use of Clover Assistant is lower than we expect, our growth may slow or stall. We may experience a decline in our Lives under Clover Management, and our results of operations could be adversely affected.</w:t>
      </w:r>
    </w:p>
    <w:p>
      <w:pPr>
        <w:spacing w:after="0" w:line="212" w:lineRule="exact"/>
        <w:rPr>
          <w:rFonts w:ascii="Times New Roman" w:cs="Times New Roman" w:eastAsia="Times New Roman" w:hAnsi="Times New Roman"/>
          <w:sz w:val="17"/>
          <w:szCs w:val="17"/>
          <w:color w:val="auto"/>
        </w:rPr>
      </w:pPr>
    </w:p>
    <w:p>
      <w:pPr>
        <w:ind w:left="620" w:hanging="305"/>
        <w:spacing w:after="0" w:line="238"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estimate, price for and manage medical expenses in an effective manner, the profitability of our Insurance and Non-Insurance businesses could decline, which could materially and adversely affect our results of operations, financial condition, and cash flows.</w:t>
      </w:r>
    </w:p>
    <w:p>
      <w:pPr>
        <w:spacing w:after="0" w:line="85" w:lineRule="exact"/>
        <w:rPr>
          <w:rFonts w:ascii="Arial" w:cs="Arial" w:eastAsia="Arial" w:hAnsi="Arial"/>
          <w:sz w:val="21"/>
          <w:szCs w:val="21"/>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Centers for Medicare &amp; Medicaid Services' risk adjustment payment system makes our revenue and profitability difficult to predict and could result in material retroactive adjustments to our results of operations.</w:t>
      </w:r>
    </w:p>
    <w:p>
      <w:pPr>
        <w:spacing w:after="0" w:line="17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require additional capital to support business growth, and this capital might not be available on acceptable terms, or at all.</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and uncertainties related to the global COVID-19 pandemic and other public health emergencies, which could have a material adverse effect on our business, results of operations, financial condition, and financial performance.</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succeed in expanding our Lives under Clover Management, or if our future growth is limited, our business, financial condition, and results of operations would be harmed.</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members and Non-Insurance Beneficiaries remain concentrated in certain geographic areas and populations, which exposes us to unfavorable changes in local benefit costs, reimbursement rates, competition, and economic conditions.</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new markets, particularly rural markets, may not be as profitable to serve as our existing markets.</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may be adversely affected if we are unable to grow our provider networks or contract with providers, medical facilities, and other entities on competitive terms.</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effectively manage our growth, which could have a material adverse effect on our business, financial condition, and results of operations.</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pose certain risks to our business that may be different from risks associated with our domestic operations.</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and may in the future be, subject to investigations and litigation, which could be costly and time-consuming to defend. The outcomes of these matters cannot be predicted.</w:t>
      </w:r>
    </w:p>
    <w:p>
      <w:pPr>
        <w:spacing w:after="0" w:line="43" w:lineRule="exact"/>
        <w:rPr>
          <w:rFonts w:ascii="Times New Roman" w:cs="Times New Roman" w:eastAsia="Times New Roman" w:hAnsi="Times New Roman"/>
          <w:sz w:val="17"/>
          <w:szCs w:val="17"/>
          <w:color w:val="auto"/>
        </w:rPr>
      </w:pPr>
    </w:p>
    <w:p>
      <w:pPr>
        <w:jc w:val="both"/>
        <w:ind w:left="620" w:hanging="305"/>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substantially all of our Total revenues from Medicare Advantage premiums and Non-insurance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64"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could impair our ability to protect our internally-developed technology and our brand, and our business may be adversely affected.</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obtain or maintain the right to use certain of our intellectual property could negatively affect our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 w:name="page6"/>
    <w:bookmarkEnd w:id="5"/>
    <w:p>
      <w:pPr>
        <w:ind w:left="305" w:right="20" w:hanging="305"/>
        <w:spacing w:after="0" w:line="292"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prices and trading volume of our shares of Class A common stock have experienced periods of extreme volatility and steep declines. Volatility could return and price declines could continue going forward in ways that may be unrelated, or disproportionate, to our operating performance.</w:t>
      </w:r>
    </w:p>
    <w:p>
      <w:pPr>
        <w:spacing w:after="0" w:line="43" w:lineRule="exact"/>
        <w:rPr>
          <w:rFonts w:ascii="Times New Roman" w:cs="Times New Roman" w:eastAsia="Times New Roman" w:hAnsi="Times New Roman"/>
          <w:sz w:val="17"/>
          <w:szCs w:val="17"/>
          <w:color w:val="auto"/>
        </w:rPr>
      </w:pPr>
    </w:p>
    <w:p>
      <w:pPr>
        <w:ind w:left="305" w:hanging="305"/>
        <w:spacing w:after="0"/>
        <w:tabs>
          <w:tab w:leader="none" w:pos="30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Class A common stock price declines from current levels, our Class A common stock may be subject to delisting from NASDAQ.</w:t>
      </w:r>
    </w:p>
    <w:p>
      <w:pPr>
        <w:spacing w:after="0" w:line="116" w:lineRule="exact"/>
        <w:rPr>
          <w:rFonts w:ascii="Times New Roman" w:cs="Times New Roman" w:eastAsia="Times New Roman" w:hAnsi="Times New Roman"/>
          <w:sz w:val="17"/>
          <w:szCs w:val="17"/>
          <w:color w:val="auto"/>
        </w:rPr>
      </w:pPr>
    </w:p>
    <w:p>
      <w:pPr>
        <w:ind w:left="305" w:hanging="305"/>
        <w:spacing w:after="0" w:line="292"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our securities in the public markets, or the perception that they might occur, could cause the market price of our Class A common stock to decline.</w:t>
      </w:r>
    </w:p>
    <w:p>
      <w:pPr>
        <w:spacing w:after="0" w:line="43" w:lineRule="exact"/>
        <w:rPr>
          <w:rFonts w:ascii="Times New Roman" w:cs="Times New Roman" w:eastAsia="Times New Roman" w:hAnsi="Times New Roman"/>
          <w:sz w:val="17"/>
          <w:szCs w:val="17"/>
          <w:color w:val="auto"/>
        </w:rPr>
      </w:pPr>
    </w:p>
    <w:p>
      <w:pPr>
        <w:jc w:val="both"/>
        <w:ind w:left="305" w:hanging="305"/>
        <w:spacing w:after="0" w:line="266"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power with certain stockholders, including our directors and executive officers and their respective affiliates, who held in the aggregate 66.5% of the voting power of our capital stock at December 31, 2022.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75" w:lineRule="exact"/>
        <w:rPr>
          <w:rFonts w:ascii="Times New Roman" w:cs="Times New Roman" w:eastAsia="Times New Roman" w:hAnsi="Times New Roman"/>
          <w:sz w:val="17"/>
          <w:szCs w:val="17"/>
          <w:color w:val="auto"/>
        </w:rPr>
      </w:pPr>
    </w:p>
    <w:p>
      <w:pPr>
        <w:ind w:left="305" w:hanging="305"/>
        <w:spacing w:after="0" w:line="292"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provisions in our corporate charter documents and under Delaware law may prevent or hinder attempts by our stockholders to change our management or to acquire a controlling interest in us. The trading price of our Class A common stock may be lower as a result.</w:t>
      </w:r>
    </w:p>
    <w:p>
      <w:pPr>
        <w:spacing w:after="0" w:line="355"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25"/>
          </w:cols>
          <w:pgMar w:left="635" w:top="84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Clover Health, our vision is to empower Medicare physicians to identify and manage chronic diseases early. Our strategy is to improve the care of our Medicare beneficiaries,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our Insurance segment, we leverage Clover Assistant to provide America's Medicare-eligible seniors with Preferred Provider Organization ("PPO") and Health Maintenance Organization ("HMO") plans. We aim to provide affordable, high-quality healthcare and we offer most of our members (referred to as "members") in our Medicare Advantage ("MA") plans among the lowest average out-of-pocket costs for primary care provider ("PCP") and specialist co-pays, as well as competitive drug deductibles and drug costs, in their respective markets and plan types. We strongly believe in providing our members with provider choice and we consider our PPO plan to be our flagship insurance product. An important feature of our MA product is its wide physician network. We often offer the same cost-sharing (co-pays and deductibles) for visits with primary care providers who are in-network and out-of-network. We manage care on our wide network by empowering providers with data-driven, personalized insights for their patients (our members) through the use of Clover Assistant. We believe this enables providers to make improved clinical decisions. We reach a broad array of consumers, including traditionally underserved markets. At January 1, 2023, we operated our MA plans in eight states and 220 counties.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2021, we expanded into our Non-Insurance segment when we made Clover Assistant available in Medicare fee-for-service through the Global and Professional Direct Contracting Model ("DC Model") of the Centers for Medicare &amp; Medicaid Services ("CMS"). CMS redesigned the DC Model and renamed it the Accountable Care Organization ("ACO") Realizing Equity, Access, and Community Health ("REACH") ("ACO REACH Model" or "ACO REACH") Model effective January 1, 2023. Through our Direct Contracting Entity ("DCE") under the DC Model, which launched on April 1, 2021, we enabled providers to use Clover Assistant when they are treating patients who are enrolled in Original Medicare, which is the largest segment of Medicare subscribers. The majority of Original Medicare beneficiaries aligned to our DCE (the "DCE Beneficiaries" and, together with our members, the "beneficiaries" or "Lives under Clover Management"), were aligned to our DCE when CMS' attribution model attributes them to a provider with whom Clover contracted as a "DC Participant" provider. Expanding into Original Medicare was a strategic milestone for Clover and it demonstrated the scalability of Clover Assistant into our Non-Insurance segment. We believe our technology-centric strategy enables us to quickly and cost effectively deploy software to providers nationwide, including in historically underserved markets. At December 31, 2022, we had approximately 1,560 contracted participant providers who manage primary care for our Non-Insurance Beneficiaries in 21 states. Additionally, at December 31, 2022, we had approximately 1,675 preferred providers and preferred facilities in our DCE network. In connection with the 2023 performance year, we strategically reduced the number of ACO REACH participant physicians, which resulted in a shift in our beneficiary alignment.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Effective January 1, 2023, after the redesign of the DC Model to the ACO REACH Model, DCE is now known as the ACO. We believe that offering providers multiple options within CMS' "Pathways to Success" will help us be more accessible to practices. Beyond ACO REACH, we are exploring other additional plans such as MSSP-A ("Medicare Shared Savings Program BASIC level A") and Medicare Shared Savings Plan ENHANCED ("MSSP Enhanced"), which would diversify the portfolio, allow for potential growth in lives under management, and provide an opportunity for better balancing the overall risk profile of the business.</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Provider use of Clover Assistant enables data-driven decision-making for our beneficiaries and drives rapid software iteration: the more that providers use Clover Assistant, the more it learns and furthers the precision of personalized data-driven recommendations. We combine our beneficiary data with provider-generated data and use this powerful closed feedback loop to continuously fine-tune our clinical rules and machine learning models, as well as to select and prioritize future software capabilities. We believe the use and continuous improvement of Clover Assistant has resulted in not only improved clinical decision-making but also enhanced MA plan performance. The platform facilitates identifying and engaging with our most at-risk members for our clinical programs. These programs are designed to provide additional targeted care support and to further drive better plan performance. We believe that this framework, through our participation in the ACO REACH Model, will allow us to bring improvements to care and costs across a larger patient population, especially as it empowers our contracted providers to drive improved clinical outcomes.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 w:name="page8"/>
    <w:bookmarkEnd w:id="7"/>
    <w:p>
      <w:pPr>
        <w:jc w:val="both"/>
        <w:spacing w:after="0" w:line="264" w:lineRule="auto"/>
        <w:rPr>
          <w:sz w:val="20"/>
          <w:szCs w:val="20"/>
          <w:color w:val="auto"/>
        </w:rPr>
      </w:pPr>
      <w:r>
        <w:rPr>
          <w:rFonts w:ascii="Times New Roman" w:cs="Times New Roman" w:eastAsia="Times New Roman" w:hAnsi="Times New Roman"/>
          <w:sz w:val="17"/>
          <w:szCs w:val="17"/>
          <w:color w:val="auto"/>
        </w:rPr>
        <w:t>We complement our contracted healthcare providers and their patients with our in-home primary care program, Clover Home Care. This program covers the most medically complex patients, often with advanced comorbidities. We believe Clover Assistant makes home care for high-risk individuals more scalable than fixed-site-based care. It permits technology deployment to enhance care and outcomes directly where patients live because our value proposition is centered around software. Clover Home Care seeks to preserve the PCP-to-patient relationship through collaboration, which aims to improve health outcomes and reduce medical expenses.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have made it a priority to work with Medicare beneficiaries in underserved markets. This includes Medicare Advantage members who self-report their race or ethnicity and identify as people of color, members diagnosed with at least two chronic diseases, and members living in communities that fall within the top five deciles of what the government defines as areas of socioeconomic deprivation. We are heavily invested in helping provide care for those who are most in need.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Clover Health was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 Our principal executive offices are located at 3401 Mallory Lane, Suite 210, Franklin, Tennessee 37067. Our telephone number is (201) 432-2133. Our website address is www.cloverhealth.com. The content contained on or accessible from any website referred to in this Form 10-K is not part of this Form 10-K and is not incorporated by reference in this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we have an opportunity to fundamentally change healthcare by providing easy access to care from providers across the country. By leveraging our Clover Assistant platform, we believe we can raise the level of care provided by every provider and scale in ways that traditional managed care plans and risk-bearing provider groups cannot. We principally scale our model of care by deploying physician-enablement software to providers. We do this primarily by entering into contracts with our providers in which they agree to use Clover Assistant in connection with their primary care office visits in exchange for a flat fee. Our platform, which enables differentiated patient care,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Medicare is the focal point of our opportunity. Approximately 65 million people were enrolled in Medicare in 2022. That number is expected to rise, equating to over $1.5 trillion in total expenditures by 2030. Within Medicare, the MA market made up approximately $361 billion of annual spend in 2021 and is expected to grow to approximately $877 billion by 2030. Original Medicare is expected to grow from $416 billion to $659 billion over the same period.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January 1, 2023, in our Insurance segment we operated MA plans in eight states and 220 counties. Under the DC Model, which launched in April 2021 (and, as of January 1, 2023, was renamed the ACO REACH Model), we have had an opportunity in our Non-Insurance segment to engage in the "Original Medicare" fee-for-service market, in which Medicare beneficiaries enroll in Medicare directly with the federal government. This will enable us to develop relationships with new and existing providers in any geography by giving them the opportunity to use Clover Assistant with their Original Medicare patients. This allows them to benefit from higher compensation than that available under Original Medicare. As part of the program, Clover contracts directly with providers to use Clover Assistant to help manage their Original Medicare patients. An Original Medicare patient becomes aligned to our ACO (formerly referred to as the DCE) when CMS' attribution model attributes them, based on claims data or a patient's designation, to a provider with whom Clover has contracted as a "Participant Provider". We also contract with "Preferred Providers," which include specialists and ancillary facilities that agree to participate in the ACO REACH Model with Clover's ACO. In each of these scenarios, while Clover participates in the providers' risk arrangements, we do not act as an insurer. Under our global risk arrangement, total medical costs borne by CMS for these aligned beneficiaries are calculated and compared to a risk-adjusted benchmark rate that is established by CMS. Our ACO will receive any savings, or bear any losses, generated, subject to several risk mitigation mechanisms. We believe this program represents a significant economic and market opportunity for us to deploy our platform across a national footprint, including in markets where we do not have a presence in MA.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Technology Platform: Clover Assistant</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Clover Assistant is a purpose-built technology platform that empowers providers to deliver data-driven, personalized care to help physicians detect, identify, and manage diseases earlier and better than they otherwise could. This physician-enablement platform is designed to synthesize comprehensive, longitudinal sets of data to generate provider-focused machine learning, artificial intelligence, and rules-based insights, and drive action by surfacing the most relevant, personalized information about each patient to his or her provider. Through this democratization of data access for providers, we seek to reduce the variability in clinical decision-making, drive improved adherence to evidence-based protocols, and help providers deliver better care.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We believe the key features that differentiate our Clover Assistant technology platform from other platforms include the following: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Enables data-driven, personalized and actionable insights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Clover Assistant aggregates and structures millions of data points per day, derived from a variety of data sets, such as claims data, medical charts, medication data, diagnostic data, and data generated from electronic health records ("EHR"), across dozens of typically siloed and inconsistently formatted data feeds. It connects this data with up-to-date, evidence-based protocols and patient-specific plan information to generate data-driven, personalized, and actionable insights available to providers for use in their treatment and management of patient care.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Engages providers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Since launching our platform in July 2018, we have driven provider adoption of the Clover Assistant platform through its user-centric design, highly actionable and real-time clinical content, enhanced Clover Assistant payments and simple onboarding. Our platform provides actionable clinical content through an intuitive interface that easily integrates into the providers' workflow.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Offers integration into provider workflows via EHRs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made significant investments into extending our proprietary technology platform, enabling Clover Assistant functionality to be embedded quickly and seamlessly into major EHR systems, including Epic, Cerner, Athena, and others. This further improves physician workflows and reduces duplicative actions by providers and administrators. We aim to make Clover Assistant available to physicians in ways that best suit them and their practices. To date, dozens of practices have opted to use Clover Assistant in this manner, with adoption continuing to grow.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Delivers differentiated plan performance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Clover Assistant platform is designed to enable our mission-aligned business model to drive the empowerment of providers and improve care for beneficiaries while contributing to improved margins for our MA plans and ACO. As a result of our provider-focused, data-driven platform, providers who have been using Clover Assistant and are treating returning members, on average, have had lower medical care ratios ("MCRs") than providers who have not used Clover Assistant and are treating returning members.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Enables rapid software iteration via our closed feedback loop</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platform is highly dynamic and continues to improve as we capture more data. As an MA plan and ACO that builds our own internally-developed physician-enablement software, we believe we are differentiated in our ability to continuously build upon our broad sets of rich data, resulting in a rapid learn-iterate-deploy software improvement cycle. We capture real-time data via live provider use and feedback through Clover Assistant. This bi-directional data sharing creates a closed feedback loop, allowing us to continuously measure the results of our platform's recommendations in real-time and improve our platform.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Delivers differentiated clinical care capabilities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work hard to drive better care for our Lives under Clover Management. To accomplish this goal, we aim to establish with Clover Assistant a comprehensive understanding of each patient, their conditions and needs as well as how those factors change over time, so that we can provide support to their providers as they determine when appropriate interventions should be delivered. We monitor a range of data sources over time and capitalize on emerging interoperability data standards to create a comprehensive view of each patient's disease trajectory. Taking this holistic approach helps us to improve personalized chronic disease management and care coordination.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features of our clinical care capabilities provide significant value to providers and our beneficiaries: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Providers are provided with data-driven and actionable insights for each patient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given patient, a provider utilizing Clover Assistant may experience any of the following:</w:t>
      </w:r>
    </w:p>
    <w:p>
      <w:pPr>
        <w:spacing w:after="0" w:line="244" w:lineRule="exact"/>
        <w:rPr>
          <w:sz w:val="20"/>
          <w:szCs w:val="20"/>
          <w:color w:val="auto"/>
        </w:rPr>
      </w:pPr>
    </w:p>
    <w:p>
      <w:pPr>
        <w:jc w:val="both"/>
        <w:ind w:left="620" w:hanging="305"/>
        <w:spacing w:after="0" w:line="26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Synthesized sets of collated, actionable data. </w:t>
      </w:r>
      <w:r>
        <w:rPr>
          <w:rFonts w:ascii="Times New Roman" w:cs="Times New Roman" w:eastAsia="Times New Roman" w:hAnsi="Times New Roman"/>
          <w:sz w:val="17"/>
          <w:szCs w:val="17"/>
          <w:color w:val="auto"/>
        </w:rPr>
        <w:t>Providers often do not have access to comprehensive information about their patients' interactions,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recent hospital admission or specialist-prescribed medication, across the healthcare ecosystem. Clover Assistant is designed to eliminate this inefficiency by surfacing relevant and important data from sources across the healthcare ecosystem for providers to review in connection with their care of their patients.</w:t>
      </w:r>
    </w:p>
    <w:p>
      <w:pPr>
        <w:ind w:left="620" w:hanging="305"/>
        <w:spacing w:after="0" w:line="269"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Quality gap closure. </w:t>
      </w:r>
      <w:r>
        <w:rPr>
          <w:rFonts w:ascii="Times New Roman" w:cs="Times New Roman" w:eastAsia="Times New Roman" w:hAnsi="Times New Roman"/>
          <w:sz w:val="17"/>
          <w:szCs w:val="17"/>
          <w:color w:val="auto"/>
        </w:rPr>
        <w:t>Clover Assistant identifies opportunities for improvement in clinical quality gaps, including those prioritized by CMS' Star Ratings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 (plan performance measures that drive bonus payments for plan providers), such as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9" w:name="page10"/>
    <w:bookmarkEnd w:id="9"/>
    <w:p>
      <w:pPr>
        <w:ind w:left="620"/>
        <w:spacing w:after="0" w:line="266" w:lineRule="auto"/>
        <w:rPr>
          <w:sz w:val="20"/>
          <w:szCs w:val="20"/>
          <w:color w:val="auto"/>
        </w:rPr>
      </w:pPr>
      <w:r>
        <w:rPr>
          <w:rFonts w:ascii="Times New Roman" w:cs="Times New Roman" w:eastAsia="Times New Roman" w:hAnsi="Times New Roman"/>
          <w:sz w:val="17"/>
          <w:szCs w:val="17"/>
          <w:color w:val="auto"/>
        </w:rPr>
        <w:t>prescription drug adherence, regular cancer screenings and the annual flu shot. By addressing these quality gaps with evidence-based guidelines, we expect to reduce costs and improve care over the long term.</w:t>
      </w:r>
    </w:p>
    <w:p>
      <w:pPr>
        <w:spacing w:after="0" w:line="1" w:lineRule="exact"/>
        <w:rPr>
          <w:sz w:val="20"/>
          <w:szCs w:val="20"/>
          <w:color w:val="auto"/>
        </w:rPr>
      </w:pPr>
    </w:p>
    <w:p>
      <w:pPr>
        <w:ind w:left="620" w:hanging="305"/>
        <w:spacing w:after="0" w:line="269"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Disease burden identification. </w:t>
      </w:r>
      <w:r>
        <w:rPr>
          <w:rFonts w:ascii="Times New Roman" w:cs="Times New Roman" w:eastAsia="Times New Roman" w:hAnsi="Times New Roman"/>
          <w:sz w:val="17"/>
          <w:szCs w:val="17"/>
          <w:color w:val="auto"/>
        </w:rPr>
        <w:t>Clover Assistant reveals potential gaps in a provider's understanding of a patient's disease burden. By surfacing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that may be asymptomatic or otherwise unaddressed, providers can proactively treat conditions and drive better care for their patients.</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combination of these features enables providers to deliver a better patient experience for our beneficiaries, as providers are able to more effectively identify clinical opportunities to treat patients using data-driven, personalized insights.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Of critical importance, when providing actionable advice, Clover Assistant shares with the providers the specific reasons why a recommendation is being made so that the provider can ultimately exercise his or her own judgment in deciding whether to accept or reject a care recommendation. This may include evidence such as specific lab results, records from prior encounters, and links to other clinical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closed feedback loop continuously improves our clinical recommendation engine and understanding of individual patient needs.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clinical programs run on Clover Assistant</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to supporting providers throughout our open network and our ACOs participant providers, we operate clinical programs, either through our own employed clinicians or through vendors, that are designed to provide improved supportive care for the most chronically-ill, frail, and costly patients. Below is a snapshot of several clinical programs we offer:</w:t>
      </w:r>
    </w:p>
    <w:p>
      <w:pPr>
        <w:spacing w:after="0" w:line="188" w:lineRule="exact"/>
        <w:rPr>
          <w:sz w:val="20"/>
          <w:szCs w:val="20"/>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Clover Home Care</w:t>
      </w:r>
      <w:r>
        <w:rPr>
          <w:rFonts w:ascii="Times New Roman" w:cs="Times New Roman" w:eastAsia="Times New Roman" w:hAnsi="Times New Roman"/>
          <w:sz w:val="17"/>
          <w:szCs w:val="17"/>
          <w:color w:val="auto"/>
        </w:rPr>
        <w:t>. Home-based care management for our most complex patients.</w:t>
      </w:r>
    </w:p>
    <w:p>
      <w:pPr>
        <w:spacing w:after="0" w:line="3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Supportive Care</w:t>
      </w:r>
      <w:r>
        <w:rPr>
          <w:rFonts w:ascii="Times New Roman" w:cs="Times New Roman" w:eastAsia="Times New Roman" w:hAnsi="Times New Roman"/>
          <w:sz w:val="17"/>
          <w:szCs w:val="17"/>
          <w:color w:val="auto"/>
        </w:rPr>
        <w:t>. Advanced care planning support and palliative care for patients with limited life expectancy.</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Readmission Prevention Program</w:t>
      </w:r>
      <w:r>
        <w:rPr>
          <w:rFonts w:ascii="Times New Roman" w:cs="Times New Roman" w:eastAsia="Times New Roman" w:hAnsi="Times New Roman"/>
          <w:sz w:val="17"/>
          <w:szCs w:val="17"/>
          <w:color w:val="auto"/>
        </w:rPr>
        <w:t>. Care transition support for patients recently discharged from a hospital or post-acute care.</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Behavioral Health Program</w:t>
      </w:r>
      <w:r>
        <w:rPr>
          <w:rFonts w:ascii="Times New Roman" w:cs="Times New Roman" w:eastAsia="Times New Roman" w:hAnsi="Times New Roman"/>
          <w:sz w:val="17"/>
          <w:szCs w:val="17"/>
          <w:color w:val="auto"/>
        </w:rPr>
        <w:t>. Comprehensive care coordination for patients with behavioral health and social services needs.</w:t>
      </w:r>
    </w:p>
    <w:p>
      <w:pPr>
        <w:spacing w:after="0" w:line="2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Clover Assistant supports coordination of our high risk-members' care through our clinical programs, from identification of members who would benefit from such programs, through engagement to clinical 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Utilizing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Underpinned by our software, our strategy varies by type of model, MA or the Non-Insurance Model: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Insurance segment, where we serve as an insurer, our strategy centers on the following three steps:</w:t>
      </w:r>
    </w:p>
    <w:p>
      <w:pPr>
        <w:spacing w:after="0" w:line="244" w:lineRule="exact"/>
        <w:rPr>
          <w:sz w:val="20"/>
          <w:szCs w:val="20"/>
          <w:color w:val="auto"/>
        </w:rPr>
      </w:pPr>
    </w:p>
    <w:p>
      <w:pPr>
        <w:ind w:left="620" w:hanging="305"/>
        <w:spacing w:after="0" w:line="295"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one: </w:t>
      </w:r>
      <w:r>
        <w:rPr>
          <w:rFonts w:ascii="Times New Roman" w:cs="Times New Roman" w:eastAsia="Times New Roman" w:hAnsi="Times New Roman"/>
          <w:sz w:val="17"/>
          <w:szCs w:val="17"/>
          <w:color w:val="auto"/>
        </w:rPr>
        <w:t>Select markets to deploy our innovative model. We seek opportunities to create differentiated and enhanced plans for consumers virtually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anywhere in the United States, including traditionally underserved markets.</w:t>
      </w:r>
    </w:p>
    <w:p>
      <w:pPr>
        <w:spacing w:after="0" w:line="168" w:lineRule="exact"/>
        <w:rPr>
          <w:rFonts w:ascii="Times New Roman" w:cs="Times New Roman" w:eastAsia="Times New Roman" w:hAnsi="Times New Roman"/>
          <w:sz w:val="17"/>
          <w:szCs w:val="17"/>
          <w:color w:val="auto"/>
        </w:rPr>
      </w:pPr>
    </w:p>
    <w:p>
      <w:pPr>
        <w:jc w:val="both"/>
        <w:ind w:left="620" w:hanging="305"/>
        <w:spacing w:after="0" w:line="26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two: </w:t>
      </w:r>
      <w:r>
        <w:rPr>
          <w:rFonts w:ascii="Times New Roman" w:cs="Times New Roman" w:eastAsia="Times New Roman" w:hAnsi="Times New Roman"/>
          <w:sz w:val="17"/>
          <w:szCs w:val="17"/>
          <w:color w:val="auto"/>
        </w:rPr>
        <w:t>Broadly disseminate Clover Assistant. We contract with a wide array of primary care decision-makers and deploy Clover Assistant wherever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possible to empower providers to deliver data-driven, personalized care. Our contracts also have a simple payment model, with one enhanced rate for primary care visits using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members to see providers outside our network, which can generate new leads for us to deploy Clover Assistant with an increasing pool of providers.</w:t>
      </w:r>
    </w:p>
    <w:p>
      <w:pPr>
        <w:spacing w:after="0" w:line="199" w:lineRule="exact"/>
        <w:rPr>
          <w:rFonts w:ascii="Times New Roman" w:cs="Times New Roman" w:eastAsia="Times New Roman" w:hAnsi="Times New Roman"/>
          <w:sz w:val="17"/>
          <w:szCs w:val="17"/>
          <w:color w:val="auto"/>
        </w:rPr>
      </w:pPr>
    </w:p>
    <w:p>
      <w:pPr>
        <w:jc w:val="both"/>
        <w:ind w:left="620" w:hanging="305"/>
        <w:spacing w:after="0" w:line="26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three: </w:t>
      </w:r>
      <w:r>
        <w:rPr>
          <w:rFonts w:ascii="Times New Roman" w:cs="Times New Roman" w:eastAsia="Times New Roman" w:hAnsi="Times New Roman"/>
          <w:sz w:val="17"/>
          <w:szCs w:val="17"/>
          <w:color w:val="auto"/>
        </w:rPr>
        <w:t>Powered by Clover Assistant's strong unit economics, deploy best-in-class plans. The use of Clover Assistant is designed to drive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economic success of our plans, which allows us to return these strong economics back to our members in the form of enhanced benefits, lower out-of-pocket costs and freedom of choice. Our affordability is underpinned by our plans' low average total out-of-pocket costs for PCP and specialist co-pays, drug deductibles, and drug costs. The substantial majority of our members enjoy freedom of choice, which manifests in our expansive and open network with the same cost-sharing for members who see primary care providers in- and out-of-network. Our open network design is particularly attractive compared to our competitors' usual narrow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For our Non-Insurance Segment, where we are not an insurer, our strategy centers on the following four steps:</w:t>
      </w:r>
    </w:p>
    <w:p>
      <w:pPr>
        <w:spacing w:after="0" w:line="244" w:lineRule="exact"/>
        <w:rPr>
          <w:sz w:val="20"/>
          <w:szCs w:val="20"/>
          <w:color w:val="auto"/>
        </w:rPr>
      </w:pPr>
    </w:p>
    <w:p>
      <w:pPr>
        <w:jc w:val="both"/>
        <w:ind w:left="620" w:hanging="305"/>
        <w:spacing w:after="0" w:line="26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one: </w:t>
      </w:r>
      <w:r>
        <w:rPr>
          <w:rFonts w:ascii="Times New Roman" w:cs="Times New Roman" w:eastAsia="Times New Roman" w:hAnsi="Times New Roman"/>
          <w:sz w:val="17"/>
          <w:szCs w:val="17"/>
          <w:color w:val="auto"/>
        </w:rPr>
        <w:t>Market a variety of Medicare fee-for-service value-based plans to providers nationwide. Select and contract with providers who we believe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best aligned to our own strategy and capabilities for delivering the best in value-based care to join our current and future ACOs. For many models, providers who are contracted to our ACOs receive enhanced reimbursement for visits through Clover Assistant. We offer options for providers to accept no downside risk or a small amount of risk coupled with the opportunity for a higher share of realized savings. A number of our existing Clover Assistant MA providers have contracted with our ACO REACH as well since the launch of the DC Model; however, our broader strategy is to contract with providers in geographies across the nation. Through ACO REACH and potential other Medicare Shared Service Programs ("MSSPs"), we are able to market our current and future ACOs to providers anywhere in the United States, year-round. We believe this will allow us to deploy Clover Assistant to many more providers by allowing us to develop initial entry points in new markets.</w:t>
      </w:r>
    </w:p>
    <w:p>
      <w:pPr>
        <w:spacing w:after="0" w:line="200"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two: </w:t>
      </w:r>
      <w:r>
        <w:rPr>
          <w:rFonts w:ascii="Times New Roman" w:cs="Times New Roman" w:eastAsia="Times New Roman" w:hAnsi="Times New Roman"/>
          <w:sz w:val="17"/>
          <w:szCs w:val="17"/>
          <w:color w:val="auto"/>
        </w:rPr>
        <w:t>Help providers to join the Medicare fee-for-service track that is the right fit, to take the first, or next, step on their journey to value-based 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 onboard new providers, CMS will annually claims-align new beneficiaries to our ACOs, expanding our Lives under Clover Management. .</w:t>
      </w:r>
    </w:p>
    <w:p>
      <w:pPr>
        <w:spacing w:after="0" w:line="168"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three: </w:t>
      </w:r>
      <w:r>
        <w:rPr>
          <w:rFonts w:ascii="Times New Roman" w:cs="Times New Roman" w:eastAsia="Times New Roman" w:hAnsi="Times New Roman"/>
          <w:sz w:val="17"/>
          <w:szCs w:val="17"/>
          <w:color w:val="auto"/>
        </w:rPr>
        <w:t>Deploy Clover Assistant with its targeted care management tools to drive savings and improved outcomes. We believe our experience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deploying Clover Assistant across open networks in MA, coupled with our learnings from the first two years under the DC Model, provides us with the expertise to manage beneficiaries going forward within ACO REACH and future ACOs. We believe Clover Assistant can drive similar clinical and financial value in ACOs as it has in MA, allowing us to share in the savings driven by the value we bring to CMS.</w:t>
      </w:r>
    </w:p>
    <w:p>
      <w:pPr>
        <w:spacing w:after="0" w:line="191" w:lineRule="exact"/>
        <w:rPr>
          <w:rFonts w:ascii="Times New Roman" w:cs="Times New Roman" w:eastAsia="Times New Roman" w:hAnsi="Times New Roman"/>
          <w:sz w:val="17"/>
          <w:szCs w:val="17"/>
          <w:color w:val="auto"/>
        </w:rPr>
      </w:pPr>
    </w:p>
    <w:p>
      <w:pPr>
        <w:jc w:val="both"/>
        <w:ind w:left="620" w:hanging="305"/>
        <w:spacing w:after="0" w:line="27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four: </w:t>
      </w:r>
      <w:r>
        <w:rPr>
          <w:rFonts w:ascii="Times New Roman" w:cs="Times New Roman" w:eastAsia="Times New Roman" w:hAnsi="Times New Roman"/>
          <w:sz w:val="17"/>
          <w:szCs w:val="17"/>
          <w:color w:val="auto"/>
        </w:rPr>
        <w:t>Drive thoughtful, organic growth for our programs as providers look to move to ACO models with increasing opportunities for shared savings.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believe that our Clover Assistant-centered ACO strategy allows us to scale more rapidly than other ACO participants who are dependent on scaling through a combination of more resource-intensive services and approaches.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Strengths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our mission-aligned business model, powered by Clover Assistant, enables us to deliver significant value to the entire healthcare ecosystem.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Clover is the plan for consumers</w:t>
      </w:r>
    </w:p>
    <w:p>
      <w:pPr>
        <w:spacing w:after="0" w:line="25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We believe that an approach focused on consumer healthcare choice, enhanced provider trust, and competitive pricing results in distinct value to our members and makes great healthcare available to everyone.</w:t>
      </w:r>
    </w:p>
    <w:p>
      <w:pPr>
        <w:spacing w:after="0" w:line="171" w:lineRule="exact"/>
        <w:rPr>
          <w:sz w:val="20"/>
          <w:szCs w:val="20"/>
          <w:color w:val="auto"/>
        </w:rPr>
      </w:pPr>
    </w:p>
    <w:p>
      <w:pPr>
        <w:jc w:val="both"/>
        <w:ind w:left="620" w:hanging="305"/>
        <w:spacing w:after="0" w:line="26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Provider of choice. </w:t>
      </w:r>
      <w:r>
        <w:rPr>
          <w:rFonts w:ascii="Times New Roman" w:cs="Times New Roman" w:eastAsia="Times New Roman" w:hAnsi="Times New Roman"/>
          <w:sz w:val="17"/>
          <w:szCs w:val="17"/>
          <w:color w:val="auto"/>
        </w:rPr>
        <w:t>We value the health decisions our members make and believe that consumer-driven provider choice increases trust and member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satisfaction. Our differentiated, open network philosophy offers considerable consumer choice: discretion to choose any new Medicare provider willing to see them, or keep an existing provider. The substantial majority of our members are enrolled in our open network plans, meaning that our members need not worry about verifying whether their Medicare provider is in or out of our network, as they pay the same amount in either case.</w:t>
      </w:r>
    </w:p>
    <w:p>
      <w:pPr>
        <w:spacing w:after="0" w:line="191" w:lineRule="exact"/>
        <w:rPr>
          <w:rFonts w:ascii="Times New Roman" w:cs="Times New Roman" w:eastAsia="Times New Roman" w:hAnsi="Times New Roman"/>
          <w:sz w:val="17"/>
          <w:szCs w:val="17"/>
          <w:color w:val="auto"/>
        </w:rPr>
      </w:pPr>
    </w:p>
    <w:p>
      <w:pPr>
        <w:jc w:val="both"/>
        <w:ind w:left="620" w:hanging="305"/>
        <w:spacing w:after="0" w:line="27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Clover Assistant is the ultimate assistant. </w:t>
      </w:r>
      <w:r>
        <w:rPr>
          <w:rFonts w:ascii="Times New Roman" w:cs="Times New Roman" w:eastAsia="Times New Roman" w:hAnsi="Times New Roman"/>
          <w:sz w:val="17"/>
          <w:szCs w:val="17"/>
          <w:color w:val="auto"/>
        </w:rPr>
        <w:t>Clover Assistant, being focused on physician enablement, enhances the provider's ability to coordinate care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of our beneficiaries. We believe our beneficiaries can have confidence that, when using Clover Assistant, their provider has ready access to their medical histories and personalized, data-driven clinical care recommendations.</w:t>
      </w:r>
    </w:p>
    <w:p>
      <w:pPr>
        <w:spacing w:after="0" w:line="18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value plans. </w:t>
      </w:r>
      <w:r>
        <w:rPr>
          <w:rFonts w:ascii="Times New Roman" w:cs="Times New Roman" w:eastAsia="Times New Roman" w:hAnsi="Times New Roman"/>
          <w:sz w:val="17"/>
          <w:szCs w:val="17"/>
          <w:color w:val="auto"/>
        </w:rPr>
        <w:t>We strive to ensure that consumers who choose our health plans get more for less. Our plans offer competitive benefits while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affordable. Most of our members are enrolled in plans that offer among the lowest average out-of-pocket costs for PCP co-pays, drug deductibles and drug costs in their markets while also providing wide network access and the same in- and out-of-network costs for primary care provider visits. By seeking to lower the financial burden on our members, we reduce disincentives that inhibit our members from seeking the care they need.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Clover delivers clinical and financial value for providers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Assistant allows providers to focus on delivering high-quality care and rewards them for doing so.</w:t>
      </w:r>
    </w:p>
    <w:p>
      <w:pPr>
        <w:spacing w:after="0" w:line="244" w:lineRule="exact"/>
        <w:rPr>
          <w:sz w:val="20"/>
          <w:szCs w:val="20"/>
          <w:color w:val="auto"/>
        </w:rPr>
      </w:pPr>
    </w:p>
    <w:p>
      <w:pPr>
        <w:ind w:left="5540" w:right="3500" w:hanging="5225"/>
        <w:spacing w:after="0" w:line="805" w:lineRule="auto"/>
        <w:tabs>
          <w:tab w:leader="none" w:pos="6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Clover Assistant empowers providers. </w:t>
      </w:r>
      <w:r>
        <w:rPr>
          <w:rFonts w:ascii="Times New Roman" w:cs="Times New Roman" w:eastAsia="Times New Roman" w:hAnsi="Times New Roman"/>
          <w:sz w:val="17"/>
          <w:szCs w:val="17"/>
          <w:color w:val="auto"/>
        </w:rPr>
        <w:t>We are focused on empowering providers who use our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-238125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 w:name="page12"/>
    <w:bookmarkEnd w:id="11"/>
    <w:p>
      <w:pPr>
        <w:jc w:val="both"/>
        <w:ind w:left="620" w:hanging="305"/>
        <w:spacing w:after="0" w:line="275"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pay an enhanced rate for primary care. </w:t>
      </w:r>
      <w:r>
        <w:rPr>
          <w:rFonts w:ascii="Times New Roman" w:cs="Times New Roman" w:eastAsia="Times New Roman" w:hAnsi="Times New Roman"/>
          <w:sz w:val="17"/>
          <w:szCs w:val="17"/>
          <w:color w:val="auto"/>
        </w:rPr>
        <w:t>We believe primary care providers play a critical role in helping to keep our beneficiaries healthy, and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compensate them by paying a rate that is typically higher than the Medicare fee-for-service rate for the enhanced clinical experience they provide beneficiaries through use of Clover Assistant.</w:t>
      </w:r>
    </w:p>
    <w:p>
      <w:pPr>
        <w:spacing w:after="0" w:line="18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partner with providers and allow them to focus on providing quality care. </w:t>
      </w:r>
      <w:r>
        <w:rPr>
          <w:rFonts w:ascii="Times New Roman" w:cs="Times New Roman" w:eastAsia="Times New Roman" w:hAnsi="Times New Roman"/>
          <w:sz w:val="17"/>
          <w:szCs w:val="17"/>
          <w:color w:val="auto"/>
        </w:rPr>
        <w:t>We partner with all types of providers, including solo practitioners, large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physician groups, hospital-employed physicians, and other providers. The combination of our growing beneficiary base and the Clover Assistant program enables a highly efficient economic model that allows providers to build successful practices serving Medicare patients. This model focuses on relieving providers of additional administrative burdens, empowering them to spend more time on care.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Clover offers high-quality healthcare for our Medicare beneficiaries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188" w:lineRule="exact"/>
        <w:rPr>
          <w:sz w:val="20"/>
          <w:szCs w:val="20"/>
          <w:color w:val="auto"/>
        </w:rPr>
      </w:pPr>
    </w:p>
    <w:p>
      <w:pPr>
        <w:jc w:val="both"/>
        <w:ind w:left="620" w:hanging="305"/>
        <w:spacing w:after="0" w:line="26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mean everyone. </w:t>
      </w:r>
      <w:r>
        <w:rPr>
          <w:rFonts w:ascii="Times New Roman" w:cs="Times New Roman" w:eastAsia="Times New Roman" w:hAnsi="Times New Roman"/>
          <w:sz w:val="17"/>
          <w:szCs w:val="17"/>
          <w:color w:val="auto"/>
        </w:rPr>
        <w:t>Every individual deserves the best care, and through Clover Assistant we are democratizing the clinical data and insights providers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 to deliver care. Because we drive this clinical improvement with technology, we believe we can scale in virtually any market, including traditionally underserved markets that are generally not viable for others.</w:t>
      </w:r>
    </w:p>
    <w:p>
      <w:pPr>
        <w:jc w:val="both"/>
        <w:ind w:left="620" w:hanging="305"/>
        <w:spacing w:after="0" w:line="254"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mean everywhere. </w:t>
      </w:r>
      <w:r>
        <w:rPr>
          <w:rFonts w:ascii="Times New Roman" w:cs="Times New Roman" w:eastAsia="Times New Roman" w:hAnsi="Times New Roman"/>
          <w:sz w:val="17"/>
          <w:szCs w:val="17"/>
          <w:color w:val="auto"/>
        </w:rPr>
        <w:t>As patients are increasingly looking for access to care in a variety of settings, through Clover Assistant, we are able to empower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clinicians to provide care in offices and hospitals as well as non-traditional settings both via telemedicine and in the home. Our software allows us to help providers deliver care everywhere that our beneficiaries want to receive it.</w:t>
      </w:r>
    </w:p>
    <w:p>
      <w:pPr>
        <w:spacing w:after="0" w:line="2" w:lineRule="exact"/>
        <w:rPr>
          <w:rFonts w:ascii="Times New Roman" w:cs="Times New Roman" w:eastAsia="Times New Roman" w:hAnsi="Times New Roman"/>
          <w:sz w:val="17"/>
          <w:szCs w:val="17"/>
          <w:color w:val="auto"/>
        </w:rPr>
      </w:pPr>
    </w:p>
    <w:p>
      <w:pPr>
        <w:jc w:val="both"/>
        <w:ind w:left="620" w:hanging="305"/>
        <w:spacing w:after="0" w:line="25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Sustainable healthcare through reduced medical cost. </w:t>
      </w:r>
      <w:r>
        <w:rPr>
          <w:rFonts w:ascii="Times New Roman" w:cs="Times New Roman" w:eastAsia="Times New Roman" w:hAnsi="Times New Roman"/>
          <w:sz w:val="17"/>
          <w:szCs w:val="17"/>
          <w:color w:val="auto"/>
        </w:rPr>
        <w:t>We believe our focus on personalized evidence-based clinical recommendations leading to early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disease identification, treatment, and management, and quality gap closure allow us to reduce medical costs over the long-term. Our innovative approach to preventive care empowers providers to spend more time understanding their patient and personalized, evidence-based guidelines and helps reduce the incidence of high-cost events that drive the largest share of healthcare expenditures.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Clover Assistant Architecture</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Clover Assistant is a differentiated, scalable platform that is able to combine data synthesis and insight generation to provide unique and actionable insights to providers. Clover Assistant platform synthesizes comprehensive, longitudinal sets of data, generates clinically-focused machine learning, artificial intelligence, and rules-based insights, and drives action by surfacing the most relevant, personalized information to providers designed to assist them in the early identification and management of disease. Our platform's excellence is centered on this three-pronged approach:</w:t>
      </w:r>
    </w:p>
    <w:p>
      <w:pPr>
        <w:spacing w:after="0" w:line="192" w:lineRule="exact"/>
        <w:rPr>
          <w:sz w:val="20"/>
          <w:szCs w:val="20"/>
          <w:color w:val="auto"/>
        </w:rPr>
      </w:pPr>
    </w:p>
    <w:p>
      <w:pPr>
        <w:jc w:val="both"/>
        <w:ind w:left="620" w:hanging="305"/>
        <w:spacing w:after="0" w:line="26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Synthesis. </w:t>
      </w:r>
      <w:r>
        <w:rPr>
          <w:rFonts w:ascii="Times New Roman" w:cs="Times New Roman" w:eastAsia="Times New Roman" w:hAnsi="Times New Roman"/>
          <w:sz w:val="17"/>
          <w:szCs w:val="17"/>
          <w:color w:val="auto"/>
        </w:rPr>
        <w:t>Because it is developed by a health plan, Clover Assistant is uniquely positioned in its ability to directly access broad sets of personalized,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198" w:lineRule="exact"/>
        <w:rPr>
          <w:rFonts w:ascii="Times New Roman" w:cs="Times New Roman" w:eastAsia="Times New Roman" w:hAnsi="Times New Roman"/>
          <w:sz w:val="17"/>
          <w:szCs w:val="17"/>
          <w:color w:val="auto"/>
        </w:rPr>
      </w:pPr>
    </w:p>
    <w:p>
      <w:pPr>
        <w:ind w:left="6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171" w:lineRule="exact"/>
        <w:rPr>
          <w:rFonts w:ascii="Times New Roman" w:cs="Times New Roman" w:eastAsia="Times New Roman" w:hAnsi="Times New Roman"/>
          <w:sz w:val="17"/>
          <w:szCs w:val="17"/>
          <w:color w:val="auto"/>
        </w:rPr>
      </w:pPr>
    </w:p>
    <w:p>
      <w:pPr>
        <w:jc w:val="both"/>
        <w:ind w:left="620" w:hanging="305"/>
        <w:spacing w:after="0" w:line="271"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Insight. </w:t>
      </w:r>
      <w:r>
        <w:rPr>
          <w:rFonts w:ascii="Times New Roman" w:cs="Times New Roman" w:eastAsia="Times New Roman" w:hAnsi="Times New Roman"/>
          <w:sz w:val="17"/>
          <w:szCs w:val="17"/>
          <w:color w:val="auto"/>
        </w:rPr>
        <w:t>Given the massive depth, breadth, and volume of data that we collect, it is critical to leverage technology to perform intelligent analytics.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Analyzing this amount of data in real-time is very complex for any provider, but we have advanced our technology to perform these analytics in real-time. Our insight engine applies a combination of advanced machine learning and clinically-driven business rules to curate actionable insights for providers.</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6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spacing w:after="0" w:line="171"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Action. </w:t>
      </w:r>
      <w:r>
        <w:rPr>
          <w:rFonts w:ascii="Times New Roman" w:cs="Times New Roman" w:eastAsia="Times New Roman" w:hAnsi="Times New Roman"/>
          <w:sz w:val="17"/>
          <w:szCs w:val="17"/>
          <w:color w:val="auto"/>
        </w:rPr>
        <w:t>Clover Assistant provides real time, personalized, and actionable insights to help healthcare providers to make better decisions and identify, treat,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manage diseases early.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 w:name="page13"/>
    <w:bookmarkEnd w:id="12"/>
    <w:p>
      <w:pPr>
        <w:jc w:val="both"/>
        <w:spacing w:after="0" w:line="273" w:lineRule="auto"/>
        <w:rPr>
          <w:sz w:val="20"/>
          <w:szCs w:val="20"/>
          <w:color w:val="auto"/>
        </w:rPr>
      </w:pPr>
      <w:r>
        <w:rPr>
          <w:rFonts w:ascii="Times New Roman" w:cs="Times New Roman" w:eastAsia="Times New Roman" w:hAnsi="Times New Roman"/>
          <w:sz w:val="17"/>
          <w:szCs w:val="17"/>
          <w:color w:val="auto"/>
        </w:rPr>
        <w:t>These three aspects of Clover Assistant—Synthesis, Insight and Action—form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Across all three prongs of our platform, Clover Assistant is designed to ensure data integrity and security to protect our users' and patients'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Clover discourages and minimizes local data storage as a deterrence against physical device and data loss. Clover Assistant data is stored in the cloud, with backups across Amazon Web Services and the Google Cloud Platform and secured by centralized identity access and management.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Products Built on Clover Assistant Platform</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Clover Assistant is designed to be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171" w:lineRule="exact"/>
        <w:rPr>
          <w:sz w:val="20"/>
          <w:szCs w:val="20"/>
          <w:color w:val="auto"/>
        </w:rPr>
      </w:pPr>
    </w:p>
    <w:p>
      <w:pPr>
        <w:jc w:val="both"/>
        <w:ind w:left="620" w:hanging="305"/>
        <w:spacing w:after="0" w:line="263"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Office/virtual visits. </w:t>
      </w:r>
      <w:r>
        <w:rPr>
          <w:rFonts w:ascii="Times New Roman" w:cs="Times New Roman" w:eastAsia="Times New Roman" w:hAnsi="Times New Roman"/>
          <w:sz w:val="17"/>
          <w:szCs w:val="17"/>
          <w:color w:val="auto"/>
        </w:rPr>
        <w:t>Clover Assistant empowers providers by recommending personalized, evidence-based medications, providing reminders of timely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topics and treatment, enabling requests for patient data and orders for tests or screening kits and identifies potential undiagnosed conditions based on clinical evidence. Our software makes these features available for in-person visits or through telemedicine solutions.</w:t>
      </w:r>
    </w:p>
    <w:p>
      <w:pPr>
        <w:ind w:left="620" w:hanging="305"/>
        <w:spacing w:after="0" w:line="25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 staff. </w:t>
      </w:r>
      <w:r>
        <w:rPr>
          <w:rFonts w:ascii="Times New Roman" w:cs="Times New Roman" w:eastAsia="Times New Roman" w:hAnsi="Times New Roman"/>
          <w:sz w:val="17"/>
          <w:szCs w:val="17"/>
          <w:color w:val="auto"/>
        </w:rPr>
        <w:t>Through its Care Connect feature and embedded analytics, Clover Assistant empowers office staff by identifying patients due for a visit,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flagging beneficiaries recently discharged from the hospital, and noting potentially beneficial screenings and follow-ups.</w:t>
      </w:r>
    </w:p>
    <w:p>
      <w:pPr>
        <w:spacing w:after="0" w:line="1" w:lineRule="exact"/>
        <w:rPr>
          <w:rFonts w:ascii="Times New Roman" w:cs="Times New Roman" w:eastAsia="Times New Roman" w:hAnsi="Times New Roman"/>
          <w:sz w:val="17"/>
          <w:szCs w:val="17"/>
          <w:color w:val="auto"/>
        </w:rPr>
      </w:pPr>
    </w:p>
    <w:p>
      <w:pPr>
        <w:jc w:val="both"/>
        <w:ind w:left="620" w:hanging="305"/>
        <w:spacing w:after="0" w:line="259"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In-home visits. </w:t>
      </w:r>
      <w:r>
        <w:rPr>
          <w:rFonts w:ascii="Times New Roman" w:cs="Times New Roman" w:eastAsia="Times New Roman" w:hAnsi="Times New Roman"/>
          <w:sz w:val="17"/>
          <w:szCs w:val="17"/>
          <w:color w:val="auto"/>
        </w:rPr>
        <w:t>Clover Assistant empowers physicians and other providers who operate outside of clinical settings, offices, or hospitals. It supports,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 our in-home primary care program enabling lengthy interactions for our lives under management with the most advanced illnesses or complex conditions. It also supports in-home programs targeting patients who have been recently discharged from hospitals or who do not receive regular care from a PCP.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our Insurance segment, we market our MA plans through a broad range of activities and through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our Non-Insurance segment, we market participation in our ACO to providers through direct mail, the Internet, and direct telephonic outreach. We also are engaged with our participant providers to educate their Medicare eligible patients about voluntary alignment opportunities. Additionally, we participate in trade organizations such as the National Association of Accountable Care Organizations.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focus our time, attention, and investment on continued innovation in the Clover Assistant platform. We expect to continue investing in expanding our platform and enhancing the features and functionality of Clover Assistant. We analyze the growing number of interactions our providers have with Clover Assistant to recognize their needs quickly and guide future innovation. Our research and development team is responsible for the design, development, testing, and delivery of solutions for our platform.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physician enablement space is highly competitive, and there are many players competing within the technology space as well as within segments of Medicare such as MA and Original Medicare, including the ACO REACH Model. We compete in certain segments within the healthcare market, including MA plans as well as other healthcare technology platforms, and intend to enter into others, such as new payment models offered by CMS. Competition in our market involves rapidly changing technologies, evolving regulatory requirements and industry expectations, new product offerings and constantly evolving beneficiary and provider preferences and user requirements.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3" w:name="page14"/>
    <w:bookmarkEnd w:id="13"/>
    <w:p>
      <w:pPr>
        <w:jc w:val="both"/>
        <w:spacing w:after="0" w:line="267" w:lineRule="auto"/>
        <w:rPr>
          <w:sz w:val="20"/>
          <w:szCs w:val="20"/>
          <w:color w:val="auto"/>
        </w:rPr>
      </w:pPr>
      <w:r>
        <w:rPr>
          <w:rFonts w:ascii="Times New Roman" w:cs="Times New Roman" w:eastAsia="Times New Roman" w:hAnsi="Times New Roman"/>
          <w:sz w:val="17"/>
          <w:szCs w:val="17"/>
          <w:color w:val="auto"/>
        </w:rPr>
        <w:t>We face competition from incumbent MA sponsors, many of whom are developing their own technology or partnering with third-party technology providers to drive improvements in care. Our competitors include large, national insurers, such as UnitedHealth, Aetna, Humana, Cigna, Centene, and Elevance Health, as well as regional plans such as Blue Cross Blue Shield affiliates, Bright Health, Alignment Health, Devoted Health, Oscar Health, and provider-sponsored plans such as Ochsner Health and Priority Health. We also face competition from Original Medicare providers and health insurance companies.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a result of our entry into CMS' ACO REACH Model, we face competition from other ACO REACH participants including provider groups, ACOs, and managed care organizations ("MCOs"). These competitors include Oak Street Health, VillageMD, Humana, Elevance Health, Aledade, Signify, Bright Health Group, Cano Health, and Iora with One Medical. Competition from these and other new entrants may intensify as the ACO market develops and business models evolve to address it.</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face competition in the physician enablement space from offerings and tools that allow providers to offer value-based care, offerings such as EHRs and other tools that promote high physician enablement, and any other product or tool designed to enable a physician to improve care. Companies such as Agilon and Privia have offerings that compete directly or indirectly with our offerings. Also, as we develop other products and enter new lines of business, and other companies do the same, we may compete with providers of healthcare technology platforms, EHR providers, telehealth providers, healthcare data analytics providers, and ACO's.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our business model allows us to compete favorably based on the following competitive factors: the use of Clover Assistant platform to improve clinical decision-making, price, quality of service, products offering access to broad and open provider networks, breadth and flexibility of plan benefits, brand strength, beneficiary and provider satisfaction, and financial stability.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 See Part I, Item 1A, the section entitled "Risk Factors," for a discussion of the risks related to our intellectual property.</w:t>
      </w:r>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hold a portfolio of patents and have patent applications pending from time to time. We have registered our trademarks in the United States and abroad.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vision is made possible through the efforts put forth by our teams. We strive to attract and retain diverse talent from all different backgrounds and industries-- we value Machine Learning Data Scientists the same way we value Clinical Pharmacists, the same way we value Claims Analysts. Bringing together motivated, inquisitive, and mission-oriented talent has provided us with a strategic advantage and is key to our success. Clover strives to provide a collaborative and inclusive work environment, competitive market compensation, and benefits programs and growth opportunities that empower our employees to deliver positive outcomes for beneficiaries.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2022, we had 656 employees with approximately 91% in the U.S. and 7% in Hong Kong with the remaining 2% disbursed in various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workforce was 64% Female and 36% Male, and was 45% Caucasian/White and 55% with racially/ethnically diverse backgrounds.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Excellence in Distributed Work</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a distributed team from the Board on down and believe our distributed approach to teams allows us to attract the best talent for each and every role. In August 2018, we opened an office in Hong Kong, which has since grown to a team of 44 employees. We have continued to expand our workforce globally into several additional international locations.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Cultivating Diversity, Equity, &amp; Inclusion</w:t>
      </w: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made a deliberate effort to cultivate a diverse and inclusive culture at Clover. Early on in our history, Clover created a Diversity &amp; Inclusion (D&amp;I) Working Group focused on making Clover a more diverse, equitable, and inclusive Company. For us,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 and "best practices" materials on topics such as inclusive meetings and health equity.</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Affinity Groups are employee-led groups, open to Clover employees who identify with an affinity and are looking for community and support within the Company. Clover's Affinity Groups continue to grow as grassroots communities bringing together employees with a shared affinity. We currently have five Affinity Groups with a total of over 190 members and growing: Black Employee Network; Asian, Asian American, and Pacific Islander; Mi Gente (Latine/Hispanic); Queer at Clover; and Clover Wome/xn (all employees identifying as women). Additionally, our mental health benefits include options to join expert-led external peer circles around healing communities in times of crisis.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in the fourth year of our New Perspectives Program, a reverse mentorship program that creates a space for leaders to receive mentorship from junior- and mid-level employees about lived experiences and key information leaders need to understand in their role. These conversations have focused on a range of themes, such as the experiences of LGBTQ+ employees, Latina employees, and understanding biases that lead to who gets elevated and who gets left behind in the workplace.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Building Future Leaders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seek to empower our employees to do their best work and aim to provide a variety of in-house and external resources to help them achieve their maximum potential. Our approach to development starts during onboarding, when employees are presented with customized 30/60/90-day onboarding plans. These plans are created by employees' hiring managers and reviewed by our Hiring Committee, with the goal of providing structure to onboarding and defining key wins and early successes as they join Clover. The onboarding plans also provide opportunities for check-ins, feedback, and re-prioritization of workload.</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Given the vast experience of our teams, we operate a traditional mentorship program. The mentorship relationship is designed to enable employees to develop new skills and competencies, while concurrently networking and building relationships within the organization. We have partnered with an external vendor to provide our employees at the "manager plus" level with an outcome-based coaching program at both the group and individual level. We also launched a program for emerging talent at Clover called Pathways.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second half of 2022 we introduced a Leadership Development Framework to help us further identify and develop talent. We also focused on building infrastructure to help leaders across Clover develop four critical competencies (behaviors and/or skills) to help drive performance, make solid decisions, and build a collaborative culture across the organization. We have already initiated an executive coaching engagement with an external firm for several key leaders and will continue adding more leaders to the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Engagement &amp; Feedback</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evolving performance management process supports a culture of transparency, engagement, and continuous feedback. Our annual performance management cycle includes a 360 calibration review for employees at all levels as we believe it provides the most holistic and meaningful snapshot on performance. In 2022 we launched a new performance management and survey platform that will centralize our data and provide a more engaging user experience for our employees.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Attracting &amp; Retaining Top Talent</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in using our total rewards program to incentivize employees to make decisions that are in the best interest of our stakeholders. It is important that our plans are aligned with the market so that we can attract, retain, and motivate our employees. Our total rewards program includes a mix of base salary, spot bonuses, annual cash incentive opportunities, equity incentive awards, and a comprehensive benefits offering, and may continue to evolve over time.</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To support work-life balance for all of our employees, we provide employees with health (medical, dental, vision, and telehealth) insurance, paid time off, paid sick leave, paid parental leave, paid volunteer days, a paid year-end "Week of Rest", a U.S. 401(k) plan with Company match, and an employee stock purchase plan. We continually monitor market trends and adjust our programs to ensure our total rewards offering remains competitive and meaningful.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work diligently to ensure compliance with all applicable laws and regulations affecting our business. As an entity within the healthcare industry, and one operating Medicare plans, we are subject to comprehensive federal, state, and international laws and we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results of operations, financial condition, or cash flows. See Part I, Item 1A, "Risk Factors," for a discussion of the risks related to our compliance with federal, state, and international laws and regulations.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"Risk Factors—We are currently, and may in the future be, subject to investigations and litigation, which could be costly and time-consuming to defend. The outcomes of these matters cannot be predicted."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laws and regulations, relevant agency oversight</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subject to various federal laws and regulations, and our activities are subject to regulation by several federal agencies. The most comprehensive oversight comes from CMS, which regulates our MA plans and the ACO REACH Model in which we participate.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inquiries and investigations in the next few years.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Our ability to maintain or improve our Star Rating may be significantly compromised by the COVID-19 pandemic. The pandemic has prevented all plans from incentivizing conduct to address patient care gaps and collecting information required to demonstrate plan compliance with and performance under the Star Rating metrics.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security, and data standards regulation</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7"/>
          <w:szCs w:val="17"/>
          <w:color w:val="auto"/>
        </w:rPr>
        <w:t>In particular, regulations promulgated pursuant to HIPAA impose a number of obligations on issuers of health insurance coverage and health benefit plan sponsors. Health insurers, HMOs, and healthcare providers that transmit health information electronically are included in HIPAA's definition of "Covered Entities." Regulations promulgated to implement HIPAA and the Health Information Technology for Economic and Clinical Health Act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They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that impose ongoing compliance requirements. OCR enforcement activity against us can result in financial liability and reputational harm, and our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HIPAA does not preempt state laws that provide more stringent privacy protection than those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states have begun to enact more comprehensive privacy laws and regulations addressing consumer rights relating to data protection, transparency, and cybersecurity. Violations by us of federal and state privacy and security laws and other contractual requirements may result in significant liability and expense, damage to our reputation and the termination of relationships with our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Fraud and abuse laws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they are often the subject of fraud, waste, and abuse investigations and audits. The regulations and contractual requirements applicable to us and other participants in these programs are complex and subject to change. Although our compliance programs are designed to meet all statutory and regulatory requirements, our policies and procedures are frequently under review and subject to updates, and our training and education programs continue to evolve.</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7"/>
          <w:szCs w:val="17"/>
          <w:color w:val="auto"/>
        </w:rPr>
        <w:t>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federal regulations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Additionally, we may be subject to general consumer protection laws and regulations applicable to direct-to-consumer activities such as online communications including, but not limited to, the FTC's Telemarketing Sales Rules and the Telephone Consumer Protection Act. These give the FTC, Federal Communications Commission,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spacing w:after="0" w:line="197" w:lineRule="exact"/>
        <w:rPr>
          <w:sz w:val="20"/>
          <w:szCs w:val="20"/>
          <w:color w:val="auto"/>
        </w:rPr>
      </w:pPr>
    </w:p>
    <w:p>
      <w:pPr>
        <w:ind w:right="1920"/>
        <w:spacing w:after="0" w:line="292" w:lineRule="auto"/>
        <w:rPr>
          <w:sz w:val="20"/>
          <w:szCs w:val="20"/>
          <w:color w:val="auto"/>
        </w:rPr>
      </w:pPr>
      <w:r>
        <w:rPr>
          <w:rFonts w:ascii="Times New Roman" w:cs="Times New Roman" w:eastAsia="Times New Roman" w:hAnsi="Times New Roman"/>
          <w:sz w:val="17"/>
          <w:szCs w:val="17"/>
          <w:color w:val="auto"/>
        </w:rPr>
        <w:t>We are also regularly assessing the medical device status of certain of our health information technology products and/or solutions and clinical decision support tools, which may, at any time, require compliance with U.S. Food and Drug Administration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laws and regulation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Healthcare regulation.</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entities, requires reports to be filed directly with the New Jersey Department of Banking and Insurance ("NJ 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At December 31, 2022,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entities which, for both the HMO and PPO, is New Jersey.</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we operate through a holding-company structure, we are regulated under state insurance holding company regulations and are dependent upon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8" w:name="page19"/>
    <w:bookmarkEnd w:id="18"/>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of control.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Before a person can acquire control of a U.S. domestic insurer, prior written approval, or exemption therefrom, must be obtained from the insurance commissioner of the state where the insurer is domiciled, or the acquirer must make a disclaimer of control filing with the insurance department of such state that must be accepted by such insurance department. Prior to granting approval of an application to acquire control of a domestic insurer, the domiciliary state insurance commissioner will consider a number of factors, including the financial strength of the proposed acquirer, the acquirer's plans for the future operations of the domestic insurer, and any anti-competitive results that may arise from the consummation of the acquisition of control.</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State insurance statutes generally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in fact exist. The state regulators, however, may also find that control exists in circumstances in which a person owns or controls less than ten percent of the voting securities of the domestic insurer.</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regulated insurance entities are domiciled in New Jersey, and therefore the insurance laws and regulations of New Jersey would be applicable to any proposed acquisition or change in control of the Company or our regulated insurance entities. Under New Jersey law, generally no person may acquire control of any insurer, whether by purchase of its securities or otherwise, unless it gives prior notice to the insurer and receives prior approval, or exemption therefrom, from NJ DOBI. These regulations pertaining to an acquisition of control of an insurance company may discourage potential acquisition proposals and may delay, deter, or prevent a change of control of the Company or our regulated insurance entities, including through transactions that some or all of our stockholders might consider to be desirable. Such regulations may also inhibit our ability to acquire an insurance company should we wish to do so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practice of medicine and fee-splitting laws.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our health services operations comply with applicable state statutes regarding corporate practice of medicine, fee-splitting and similar issues. However, any enforcement actions against us by governmental officials alleging noncompliance with these statutes could subject us to penalties or restructuring or reorganization of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have operations, including certain contracted operations and software research and development in other countries, such as Hong Kong, the Philippines, Colombia, and India,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FCPA prohibits offering, promising, providing, or authorizing others to give anything of value to a foreign government official to obtain or retain business or otherwise secure a business advantage.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website address is www.cloverhealth.com. Our filings with the SEC are posted on our website and available free of charge as soon as reasonably practicable after they are electronically filed with, or furnished to, the SEC. The content contained on or accessible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9" w:name="page20"/>
    <w:bookmarkEnd w:id="19"/>
    <w:p>
      <w:pPr>
        <w:jc w:val="both"/>
        <w:spacing w:after="0" w:line="292" w:lineRule="auto"/>
        <w:rPr>
          <w:sz w:val="20"/>
          <w:szCs w:val="20"/>
          <w:color w:val="auto"/>
        </w:rPr>
      </w:pPr>
      <w:r>
        <w:rPr>
          <w:rFonts w:ascii="Times New Roman" w:cs="Times New Roman" w:eastAsia="Times New Roman" w:hAnsi="Times New Roman"/>
          <w:sz w:val="17"/>
          <w:szCs w:val="17"/>
          <w:color w:val="auto"/>
        </w:rPr>
        <w:t>from our website or on any website referred to in this Form 10-K is not incorporated by reference in this Form 10-K. Further, the Company's references to website URLs are intended to be inactive textual references only.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Channels for Disclosure of Information</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Investors and others should note that we routinely announce material information to investors and the marketplace using filings with the SEC, press releases, public conference calls, presentations, webcasts and our investor relations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Twitter, and the LinkedIn account of our Chief Executive Officer, Andrew Toy.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and permanently, if one or more of these risks and uncertainties occurs. Any factor described in this report or in any of our other SEC filings could by itself, or together with other factors, adversely affect our financial condition and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the past, and we may not be able to achieve or maintain profitability.</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incurred Net losses of $338.8 million and $587.8 million, and $136.4 million for the years ended December 31, 2022, 2021, and 2020, respectively. Our Accumulated deficits were approximately $1,955.6 million and $1,616.7 million at December 31, 2022 and 2021. We expect our losses will continue as we expect to invest significant additional funds towards growing our business. In particular, we expect to continue to invest in improving Clover Assistant and our technology infrastructure, developing our clinical care programs, increasing adoption of Clover Assistant platform, expanding our marketing and outreach efforts, expanding our operations geographically, and developing future offerings that improve care and supplement our revenue streams. These efforts may prove more expensive than we currently anticipate, and we may not succeed in increasing our revenue sufficiently to offset these expenses. Even if we are successful in increasing our Total revenues from Insurance premiums earned and Non-Insurance revenues, we may not successfully and effectively predict, price, and manage the medical costs relating to those revenue streams.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Furthermore, even if we achieve profitability in the future, we may not be able to sustain profitability in subsequent periods. Our cash flow from operations was negative for the years ended December 31, 2022, 2021, and 2020, and we may not generate positive cash flow from operations in any given period. If we are not able to achieve or maintain profitability or positive cash flow, we will require additional financing, which may not be available on favorable terms, or at all, and which could be dilutive to our stockholders. See "— </w:t>
      </w:r>
      <w:r>
        <w:rPr>
          <w:rFonts w:ascii="Times New Roman" w:cs="Times New Roman" w:eastAsia="Times New Roman" w:hAnsi="Times New Roman"/>
          <w:sz w:val="17"/>
          <w:szCs w:val="17"/>
          <w:i w:val="1"/>
          <w:iCs w:val="1"/>
          <w:color w:val="auto"/>
        </w:rPr>
        <w:t>We may require additional capital to support business growth, and this capital might not be available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acceptable terms, or at all." </w:t>
      </w:r>
      <w:r>
        <w:rPr>
          <w:rFonts w:ascii="Times New Roman" w:cs="Times New Roman" w:eastAsia="Times New Roman" w:hAnsi="Times New Roman"/>
          <w:sz w:val="17"/>
          <w:szCs w:val="17"/>
          <w:color w:val="auto"/>
        </w:rPr>
        <w:t>If we are unable to successfully address these risks and challenges as we encounter them, our business may be harmed, which could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negatively affect the value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relatively limited experience with Clover Assistant, and initial results may not be indicative of future performance.</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Since launching Clover Assistant in 2018, we have continued to develop its features and capabilities, adapt our go-to-market strategy and adjust its integration with our MA plans, our Direct Contracting/ACO REACH business, and third-party systems. As a result, we may not fully understand the impact of Clover Assistant on our business and long-term prospects. Our long-term success depends on maintaining and continuing to improve Clover Assistant and the margins we generate from its operations over time in the markets we serve. There can be no assurance that these effects will improve or persist over time in our current markets or that we can replicate these results as we expand into new markets. If we are unable to drive and maintain significant reductions in MCR for our members or net medical claims incurred as a percentage of Non-Insurance Revenue (Non-Insurance Margin) for our ACO REACH Beneficiaries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to support our business model, it would have a material and adverse effect on our business, financial condition, and results of operation.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Non-Insurance business and continued participation in the Medicare fee-for-service market presents unique risks to our business.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April 2021, we expanded our Non-Insurance business into CMS' DC Model enabling us to target a larger market opportunity, the Medicare fee-for-service ("FFS") market, which is the largest segment of Medicare. On February 24, 2022, CMS announced, among other things, that the DC Model would be transitioned to a new model called the ACO REACH Model starting January 1, 2023. Our Non-Insurance business remains in the relatively early stages of development, and we are subject to the risks inherent to the launch of any new business, including the risks that we may not generate sufficient returns to justify our investment and that it may take longer or be more costly to achieve the expected benefits from this new program. In connection with our expansion into the FFS market, we have been enhancing and iterating the functionality of Clover Assistant as well as developing relationships with providers, and we may face new risks and difficulties, many of which we may not be able to predict or foresee. Also, because the ACO REACH Model is a new model designed by CMS' Center for Medicare &amp; Medicaid Innovation ("CMMI"), CMMI is constantly evaluating the program and may revise the applicable rules and design at any time, and such changes may have a significant impact on our ability to carry out our business. For example, certain CMMI model methodologies, including but not limited to, allowed provider classes, beneficiary alignment, benchmark establishment, and risk score modeling, are subject to continued evaluation and could materially impact profitability. Similarly, while the ACO REACH Model is expected to run through December 31, 2026, CMMI can determine to terminate the program at any time, and in some cases may be required to do so. Program termination could reduce the return on our investments and negatively impact our business, financial condition, and results of operations.</w:t>
      </w:r>
    </w:p>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future performance depends in part on increasing the lifetime value of enrollments, which are realized over several years, and utilizing our clinical care capabilities to improve the quality of care for our beneficiaries. Any failure to do so could negatively affect our financial condition and results of operations, including our ability to achieve or increase profitability.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lifetime value of our enrollments could be impacted by a variety of factors, including but not limited to cost of care reductions from our clinical programs and the length of time a member remains enrolled in our plan or a Non-Insurance Beneficiary remains aligned to our ACO. Thus, our future performance is heavily dependent on our ability to utilize Clover Assistant to drive down the medical care ratios for our beneficiaries. By doing so, we aim to drive per member per month ("PMPM") medical expense savings and generate more accurate risk adjustment data over time. If we fail to achieve such decreases in cost of care, our business, financial condition, and results of operations will be adversely affected. See the section entitled </w:t>
      </w:r>
      <w:r>
        <w:rPr>
          <w:rFonts w:ascii="Times New Roman" w:cs="Times New Roman" w:eastAsia="Times New Roman" w:hAnsi="Times New Roman"/>
          <w:sz w:val="17"/>
          <w:szCs w:val="17"/>
          <w:i w:val="1"/>
          <w:iCs w:val="1"/>
          <w:color w:val="auto"/>
        </w:rPr>
        <w:t>"—If we fail to estimate, price for and manage medical</w:t>
      </w: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expenses in an effective manner, the profitability of our Insurance and Non-Insurance businesses could decline, which could materially and adversely affect our results of operations, financial condition, and cash flows."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future performance also depends on utilizing our clinical care capabilities to improve the quality of care for our members so that they remain members. If we are unable to retain our members and Non-Insurance Beneficiaries, our ability to realize the returns on our investments in the Clover Assistant platform could be negatively affected. For example, since returning members tend to have lower MCR than do new members, rapid membership growth or other shifts in the mix of new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achieve or increase profitability.</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While we are only in our third performance year under the ACO REACH Model, formerly the DC Model, we believe that similar to our members, returning Non-Insurance Beneficiaries could also tend to have a lower Non-Insurance Margin than do the average Non-Insurance Beneficiaries who are newly aligned to our ACO, due in part to consistent adoption of the ACO's strategies by participant providers through the demonstration period. Rapid growth in Non-Insurance Beneficiaries or other shifts in the mix of net and returning Non-Insurance Beneficiaries could adversely affect our Non-Insurance Margin in the near-term and lead to greater losses.</w:t>
      </w:r>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adoption and use of Clover Assistant is lower than we expect, our growth may slow or stall. We may experience a decline in our Lives under Clover Management, and our results of operations could be adversely affected.</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An important part of our growth strategy is to increase adoption and use of Clover Assistant, including by providers who also use EHR systems. We have directed, and intend to continue to direct, a significant portion of our financial and operating resources toward developing Clover Assistant platform and expanding its usage. There can be no assurance that adoption of Clover Assistant will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1" w:name="page22"/>
    <w:bookmarkEnd w:id="21"/>
    <w:p>
      <w:pPr>
        <w:spacing w:after="0" w:line="292" w:lineRule="auto"/>
        <w:rPr>
          <w:sz w:val="20"/>
          <w:szCs w:val="20"/>
          <w:color w:val="auto"/>
        </w:rPr>
      </w:pPr>
      <w:r>
        <w:rPr>
          <w:rFonts w:ascii="Times New Roman" w:cs="Times New Roman" w:eastAsia="Times New Roman" w:hAnsi="Times New Roman"/>
          <w:sz w:val="17"/>
          <w:szCs w:val="17"/>
          <w:color w:val="auto"/>
        </w:rPr>
        <w:t>continue to grow, or that rates of use will be maintained or increase. A number of factors could potentially negatively affect provider adoption and use of Clover Assistant, including but not limited to:</w:t>
      </w:r>
    </w:p>
    <w:p>
      <w:pPr>
        <w:spacing w:after="0" w:line="44" w:lineRule="exact"/>
        <w:rPr>
          <w:sz w:val="20"/>
          <w:szCs w:val="20"/>
          <w:color w:val="auto"/>
        </w:rPr>
      </w:pPr>
    </w:p>
    <w:p>
      <w:pPr>
        <w:ind w:left="940" w:hanging="313"/>
        <w:spacing w:after="0" w:line="266"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convincing providers of the value, benefits, and usefulness of Clover Assistant, particularly in markets where we have fewer beneficiaries;</w:t>
      </w:r>
    </w:p>
    <w:p>
      <w:pPr>
        <w:spacing w:after="0" w:line="30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integrate with EHR systems;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attract, effectively train and retain effective sales and marketing personnel;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develop or expand relationships with strategic partners;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capitalize on co-branding opportunities;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implementation of CMS interoperability requirements;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scheduling meetings with providers, and providing demonstrations and trainings related to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impacting availability or reliability of the platform, including limited broadband access in certain rural areas;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for members and ACO Beneficiaries in accessing their Providers and a corresponding decrease in the number of primary care visits;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communication, safety, security or other similar concerns;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platform that are mandated by, or that we elect to make, to address legislation, regulatory authorities or litigation;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user experiences;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brand recognition.</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if we are unable to enroll a sufficient number of patients of a particular physician or provider group in our MA plans, we may have difficulty motivating such physician or provider group to utilize Clover Assistant, which is not available for use with non-Clover members. Furthermore, if we are unable to address the needs of providers using Clover Assistant, if providers are dissatisfied with Clover Assistant, or if new alternative solutions effectively compete with us, providers may decline to use Clover Assistant.</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Clover Assistant is not adopted as quickly as we anticipate in the markets in which we operate, we may be unable to collect and provide valuable actionable data to providers treating our beneficiaries in such markets, which could prevent us from driving significant reductions in MCR for our beneficiaries in such markets. This would in turn curtail our ability to offer competitively priced MA Plans and realize shared savings against the Non-Insurance benchmark in such markets. Any such events could result in higher medical expenses and reduced cash flows. As a result, if we are unsuccessful in our efforts to drive adoption of Clover Assistant, our business, results of operations, and financial condition could be harmed.</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ability to attract new users and retain existing users of Clover Assistant also depends in large part on our ability to continually enhance and improve its features, integrations, and capabilities to continue to provide a useful tool for providers. Accordingly, we must continue investing resources in improving and enhancing Clover Assistant. The success of any enhancement to Clover Assistant will depend on several factors, including timely completion and delivery, adequate quality testing, integration with existing technologies, adequate training of and messaging to providers, and overall market acceptance for those or other reasons. Any new features, integrations, and capabilities that we develop may not be introduced in a timely or cost-effective manner, may contain errors, failures, vulnerabilities, or bugs, or may not achieve market acceptance.</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estimate, price for and manage medical expenses in an effective manner, the profitability of our Insurance and Non-Insurance businesses could decline, which could materially and adversely affect our results of operations, financial condition, and cash flows.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Through our MA plans, we assume the risk of both the cost of medical services for our members, or medical expenses, and administrative costs for our members in return for monthly premiums, which we are paid by the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Our ability to enhance the profitability of our Insurance and Non-Insurance businesses depends in significant part on our ability to</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predict, price, and effectively manage medical costs, which are affected by utilization rates, the cost of service and the type of service rendered.</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Through our Non-Insurance business, we assume full risk (i.e., 100% shared savings and shared losses) for the total cost of care of Non-Insurance Beneficiaries, with the exception of certain CMS risk mitigation mechanisms (i.e., the optional stop-loss program and the mandatory risk corridor program). Our ACO's expenditures on covered items and services (Medicare Parts A and B) for our Non-Insurance Beneficiaries and capitation paid to the ACO during a performance year are compared to a target amount of Medicare expenditures on those covered items and services (Performance Year Benchmark), and as such, managing those covered items and services in an effective manner is directly related to our financial impact. Further, as part of the ACO REACH Model, the Performance Year Benchmark is scheduled to be lowered by CMS on a gradual scale, starting at a 2% discount in 2021 and increasing to 3.5% by 2026. Due to this increasing discount, one of the primary mechanisms to mitigate the financial impact of this adjustment will be for the ACO to continually improve its medical expense management over the demonstration period.</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Two key factors in our ability to manage medical expenses are the adoption of Clover Assistant by the providers who treat our members and Non-Insurance Beneficiaries (collectively, the "Providers") and enrollment in our clinical care programs, including our in-home primary care program ("Clover Home Care"), by our most at-risk members and Non-Insurance Beneficiaries. By driving adoption of Clover Assistant by our Providers, we seek to promote the provision of high-quality medical care driven by real-time, personalized and actionable insights to healthcare providers. If we fail to drive adoption of Clover Assistant by our Providers or fail to accurately identify beneficiaries at high risk for near-term hospitalization for our complex care management program, we could fail to drive significant reductions in MCR for our members and Non-Insurance Margin for our Non-Insurance Beneficiaries, which would have a material and adverse effect on our business, financial condition, and results of operation.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Clover Assistant may enable us to make better predictions regarding future medical costs, there can be no assurance that better predictions will be made or that we would be able to realize the benefits of those predictions.</w:t>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ACO REACH Performance Year Benchmark, which is a target amount of Medicare expenditures against which the ACO's performance year expenditures are compared to measure shared savings or losses with CMS, is a product of a number of variables, many of which are difficult to estimate at the beginning of the performance year. While we believe our estimate of the Performance Year Benchmark will become more accurate through the performance year as claims are incurred, our exact Performance Year Benchmark will not be known until final reconciliation with CMS. These variables include, but are not limited to, claims trends, beneficiary risk scores, and the mix of claims aligned vs. voluntarily aligned beneficiaries. If the final Performance Year Benchmark is less than anticipated, the profitability of our Non-Insurance business will suffer.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MA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Legislation may also lead to changes in the pricing for the Medicare Advantage program. While we believe we have adequately reviewed our assumptions and estimates regarding these complex and wide-ranging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CMS' risk adjustment payment system makes our revenues and profitability difficult to predict and could result in material retroactive adjustments to our results of operations.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CMS has implemented a risk adjustment payment system for Medicare health plans to improve the accuracy of payments and establish appropriate compensation for Medicare plans that enroll and treat less healthy Medicare beneficiaries. CMS'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3" w:name="page24"/>
    <w:bookmarkEnd w:id="23"/>
    <w:p>
      <w:pPr>
        <w:jc w:val="both"/>
        <w:spacing w:after="0" w:line="259" w:lineRule="auto"/>
        <w:rPr>
          <w:sz w:val="20"/>
          <w:szCs w:val="20"/>
          <w:color w:val="auto"/>
        </w:rPr>
      </w:pPr>
      <w:r>
        <w:rPr>
          <w:rFonts w:ascii="Times New Roman" w:cs="Times New Roman" w:eastAsia="Times New Roman" w:hAnsi="Times New Roman"/>
          <w:sz w:val="17"/>
          <w:szCs w:val="17"/>
          <w:color w:val="auto"/>
        </w:rPr>
        <w:t>overstates the health risk of our members, we might be required to return to CMS overpayments and/or be subject to penalties or sanctions; conversely, if the data incorrectly understates the health risk of our members, we might be underpaid for the care that we must provide to our members. Either of those situations could harm our reputation and have a negative impact on our results of operations and financial condition. This risk could be exacerbated by changes recently announced by CMS pertaining to certain of its audits of Medicare Advantage plans that will allow it to extrapolate audit findings to calculate contract-level overpayments that plans may be required to return to the government. These and related changes could increase the potential exposure that plans, such as ours, face from such audits. CMS may also change the way that it measures risk or adjust risk scores, and the potential impact on any such changes on our business is difficult to predict. Indeed, CMS proposed changes to its risk adjustment methodology in the recently released Advance Notice of Methodological Changes for Calendar Year 2024 for Medicare Advantage Capitation Rates and Part C and Part D Payment Policies. We are in the process of fully evaluating these proposed changes which, if they are effected, could have a material adverse effect on our results of operations, financial condition, or cash flows.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CMS makes premium payments to MA plans based on approved bids, which are risk-adjusted to account for members' known demographic and health status information. As prescribed by CMS, the premium is retroactively adjusted on two separate occasions to account for shifts in the diagnosis collection periods. We calculate estimates for these retroactive payment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In payment year 2020, 50% of the risk score was calculated from data submitted through RAPS and 50% from data submitted through EDS. CMS gradually increased the EDS percentage to 75% of the risk score for payment 2021 and ultimately transitioned to 100% EDS data for payment year 2022.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condition, or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business growth, and this capital might not be available on acceptable terms, or at all.</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Historically, we have financed our operations and capital expenditures principally from the sale of our equity securities, MA premiums earned, Non-Insurance revenue, and the incurrence of indebtedness. In the future, we may be required to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credit markets and capital markets, and other volatility or disruptions impacting financial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and uncertainties related to the global COVID-19 pandemic and other public health emergencies, which could have a material adverse effect on our business, results of operations, financial condition, and financial performance.</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susceptible to the adverse effects associated with the global COVID-19 pandemic, which continues to have a major impact on health systems, businesses, governments and beneficiary activities. We are also susceptible to other public health emergencies. The ultimate severity, magnitude, and duration of the COVID-19 pandemic is uncertain. The full extent to which the COVID-19 pandemic may impact our business, results of operations, and financial condition remains uncertain. Current uncertainties relating to the COVID-19 pandemic that could impact our future results include the development of new COVID-19 variants, the potential for prolonged effects of past infections. and/or uncertainty in risk adjustment and benchmarks against which future CMS bids will be assessed.</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continue to mobilize the full strength of our resources to deliver support for our members and Providers and deliver innovative solutions and support for the communities we serve. For example, we have implemented multi-channel member communications to support COVID-19 vaccination access and availability, Provider support for telehealth adoption by Clover Home Care practices, and the provision of in-home COVID-19 vaccinations for our most vulnerable beneficiaries. However, there can be no assurances that our efforts will be successful or that any of our solutions will be adopted by our Providers.</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With respect to our Insurance business, our ability to maintain or improve our Star Rating may be significantly compromised by the COVID-19 pandemic. With respect to our Non-Insurance line of business, the Performance Year Benchmark is based on national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4" w:name="page25"/>
    <w:bookmarkEnd w:id="24"/>
    <w:p>
      <w:pPr>
        <w:jc w:val="both"/>
        <w:spacing w:after="0" w:line="292" w:lineRule="auto"/>
        <w:rPr>
          <w:sz w:val="20"/>
          <w:szCs w:val="20"/>
          <w:color w:val="auto"/>
        </w:rPr>
      </w:pPr>
      <w:r>
        <w:rPr>
          <w:rFonts w:ascii="Times New Roman" w:cs="Times New Roman" w:eastAsia="Times New Roman" w:hAnsi="Times New Roman"/>
          <w:sz w:val="17"/>
          <w:szCs w:val="17"/>
          <w:color w:val="auto"/>
        </w:rPr>
        <w:t>trends. While we believe we have certain protections in our ACO's participation agreement with CMS, Clover could be disproportionately affected by COVID-19 if impacts in concentrated regional service areas are significantly above or below national averages.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Governmental authorities in the United States have proposed or issued vaccine mandates requiring certain employers, including certain federal contractors, to ensure that their employees are fully vaccinated against COVID-19, subject to certain exceptions as provided for in the applicable mandate, or, in some cases, be regularly subject to COVID-19 testing. As we are a federal contractor, any such recently issued or future vaccine mandate could negatively impact our ability to attract or retain workers, including healthcare providers. The loss of, or inability to attract, employees could negatively impact our ability to carry out our business and provide care to our beneficiaries and other critical services, which could have a material adverse effect on our business and results of operations.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may take further actions that alter our business operations as may be required by local, state, or federal authorities or that we determine are in the best interests of our employees or beneficiaries. Such measures could negatively affect our sales and marketing efforts, sales cycles, employee productivity, or beneficiary retention, any of which could harm our financial condition and business operations.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Disruptions in public and private infrastructure, including supply chains providing medical supplies, could also adversely disrupt our business operations. Additionally, the enactment of emergency powers by governments could disrupt our business operations, including further restricting our beneficiaries' ability to receive care, our providers' ability to operate, or our ability to access necessary supplies.</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succeed in expanding our Lives under Clover Management, or if our future growth is limited, our business, financial condition, and results of operations could be harmed.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derive substantially all of our Total revenues from premiums earned and Non-Insurance revenue, which are primarily driven by the number of members under our MA plans and the number of our Non-Insurance Beneficiaries, respectively. Additionally, the number of Lives under Clover Management is critical to our success, and we are continually executing several growth initiatives, strategies, and operating plans designed to increase the number of Lives under Clover Management. We may not be able to successfully execute on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Times New Roman" w:cs="Times New Roman" w:eastAsia="Times New Roman" w:hAnsi="Times New Roman"/>
          <w:sz w:val="17"/>
          <w:szCs w:val="17"/>
          <w:i w:val="1"/>
          <w:iCs w:val="1"/>
          <w:color w:val="auto"/>
        </w:rPr>
        <w:t>—If we fail to estimate, price for and manage medical expenses in an effective manner, the profitability of our Insurance and Non-Insurance businesses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could decline, which could materially and adversely affect our results of operations, financial condition, and cash flows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60" w:lineRule="exact"/>
        <w:rPr>
          <w:sz w:val="20"/>
          <w:szCs w:val="20"/>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brand recognition;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developing strategic co-marketing relationships;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lack of shopping for plans by MA eligible beneficiaries;</w:t>
      </w:r>
    </w:p>
    <w:p>
      <w:pPr>
        <w:spacing w:after="0" w:line="116" w:lineRule="exact"/>
        <w:rPr>
          <w:rFonts w:ascii="Times New Roman" w:cs="Times New Roman" w:eastAsia="Times New Roman" w:hAnsi="Times New Roman"/>
          <w:sz w:val="17"/>
          <w:szCs w:val="17"/>
          <w:color w:val="auto"/>
        </w:rPr>
      </w:pPr>
    </w:p>
    <w:p>
      <w:pPr>
        <w:jc w:val="both"/>
        <w:ind w:left="940" w:hanging="313"/>
        <w:spacing w:after="0" w:line="285"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shifting consumer preferences, including a preference by members to enroll with an MA plan sponsored by the insurer of the commercial plan in which they enrolled before they became eligible for Medicare, and a preference by members to enroll in various special needs plans, which we do not offer;</w:t>
      </w:r>
    </w:p>
    <w:p>
      <w:pPr>
        <w:spacing w:after="0" w:line="26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effectively compete and offer low cost and high value plans;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establishing an attractive network in new markets;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affecting the overall pool of MA eligible beneficiaries;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growing our provider networks and contracting with providers and medical facilities on competitive terms.</w:t>
      </w:r>
    </w:p>
    <w:p>
      <w:pPr>
        <w:spacing w:after="0" w:line="24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In addition, in some instances, Original Medicare or other insurers' MA plans may be more attractive to a consumer than our MA plans. For example, though a substantial majority of our members are on open-network plans that enable them to visit any doctor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7"/>
          <w:szCs w:val="17"/>
          <w:color w:val="auto"/>
        </w:rPr>
        <w:t>participating in Medicare who will see them, our HMO plans have restrictions on the network of doctors that HMO members can see. Other providers participating in Medicare may choose to see no members or only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an MA plan from us.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Our business, results of operations, and financial condition could be harmed by any of these factors.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December 31, 2022, we had 164,887 aligned Non-Insurance Beneficiaries. As of that date, we had approximately 1,560 contracted participant providers managing primary care for our Non-Insurance Beneficiaries and, additionally, we had approximately 1,675 preferred providers and preferred facilities in our Non-Insurance network. In connection with the 2023 performance year, we strategically reduced the number of ACO REACH participant physicians, and,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Non-Insurance Beneficiary growth is dependent upon the number and size of the providers that contract with the ACO, and CMS' alignment rules. Our ability to grow and maintain our number of Non-Insurance Beneficiaries may be impacted by several factors, including, without limitation:</w:t>
      </w:r>
    </w:p>
    <w:p>
      <w:pPr>
        <w:spacing w:after="0" w:line="69" w:lineRule="exact"/>
        <w:rPr>
          <w:sz w:val="20"/>
          <w:szCs w:val="20"/>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brand recognition;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affecting the overall pool of Medicare-eligible patients;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impacting provider participation in Medicare value-based programs;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failure to effectively compete and offer competitive payment incentives to attract participant providers and "preferred" providers, which include specialists and ancillary facilities that agree to participate in Non-Insurance with Clover's ACO;</w:t>
      </w:r>
    </w:p>
    <w:p>
      <w:pPr>
        <w:spacing w:after="0" w:line="43" w:lineRule="exact"/>
        <w:rPr>
          <w:rFonts w:ascii="Times New Roman" w:cs="Times New Roman" w:eastAsia="Times New Roman" w:hAnsi="Times New Roman"/>
          <w:sz w:val="17"/>
          <w:szCs w:val="17"/>
          <w:i w:val="1"/>
          <w:iCs w:val="1"/>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programmatic adjustments made to the ACO REACH Model;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existing shared savings programs or the addition of new shared savings programs;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alignment methodology that CMS uses to align beneficiaries to participants in the ACO REACH Model;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ability, or the process required, to voluntarily align beneficiaries;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notification that CMS intends to discontinue or alter the ACO REACH Model or our participation in the program in a significant manner.</w:t>
      </w: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factors that could limit our beneficiary growth include, among others: potential non-compliance with CMS requirements and other laws and regulations, which could result in sanctions against us that prevent us from, among other actions,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our decisions concerning the allocation of management and financial resources toward efforts to grow our Lives under Clover Management in certain markets may not lead to the growth we expect, or any growth. Similarly, our potential decisions to delay entering or terminate our services in any market may subsequently also prove to be suboptimal and could cause us to miss valuable opportunities. We may also choose to terminate contracts with providers contracted with our ACO if they do not meet our performance standards, or providers may choose not to continue working with us, either of which could reduce our number of Non-Insurance Beneficiaries.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forgo or delay pursuit of opportunities that may later prove to have greater commercial potential than those we choose to pursue.</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a result, we cannot assure you that we will be able to increase our number of Lives under Clover Management or assure you about the extent to which we will be able to achieve beneficiary growth.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6" w:name="page27"/>
    <w:bookmarkEnd w:id="26"/>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members and Non-Insurance Beneficiaries remain concentrated in certain geographic areas and populations, which exposes us to unfavorable changes in local benefit costs, reimbursement rates, competition, and economic conditions.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members and Non-Insurance Beneficiaries remain concentrated in certain geographic areas in the United States and in certain populations. Many are low-income, and a significant number are people of color. At December 31, 2022, approximately 81.6% of our Medicare Advantage members, most of whom were in two metropolitan areas, were residents of New Jersey. With respect to the DCE, at December 31, 2022, approximately 15.6% of our Non-Insurance Beneficiaries were aligned to providers in New York, with an additional 24.6% in New Jersey and 18.5% in Kansas. Unfavorable changes in healthcare or other benefit costs or reimbursement rates or increased competition in these states or any other geographic area where our members and Non-Insurance Beneficiaries become concentrated in the future could therefore have a disproportionately adverse effect on our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new markets, particularly rural markets, may not be as profitable to serve as our existing markets.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have plans to grow our Lives under Clover Management geographically and across demographics, there is no guarantee that we will be successful in doing so. In addition, as a result of our mission to make great healthcare available to everyone, we seek to provide high-value and affordable MA plans in every market in which we operate, which may expose us to higher risk for increased medical costs. Through our participation in the ACO REACH Model, we are also planning to expand into new markets through contracting with participant and preferred providers. Given that there are significant health disparities in the United States based on minority and socioeconomic status, and that our low-income and minority beneficiaries tend to have more chronic illnesses, our strategy could result in our healthcare costs exceeding those of comparable MA plans and other participants in the ACO REACH Model who seek to curate their membership. While we believe that with Clover Assistant, we can reduce costs of all of our beneficiaries and drive increasingly better unit economics at scale, there can be no assurances that we will succeed in doing so. We intend to expand into an increasing percentage of counties that CMS classifies as rural. Due to the rural nature of these markets, we may have difficulty providing the same level and types of clinical care as we provide in our other markets. If the medical expenses of beneficiaries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Lives under Clover Management geographically, our revenue and operating results may be disproportionately affected by adverse changes affecting our beneficiaries.</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be adversely affected if we are unable to grow our provider networks or contract with providers, medical facilities, and other entities on competitive terms.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Non-Insurance Beneficiaries and attract additional beneficiaries, our provider networks, including those providers participating in Medicare and willing to see our beneficiaries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That could have a material adverse effect on our business, financial condition, and results of operations.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Clover Assistant by providers as well as lead to higher costs, healthcare provider network disruptions and less attractive options for our beneficiaries. Any of these factors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manage our growth, which could have a material adverse effect on our business, financial condition, and results of operation.</w:t>
      </w: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are unable to manage our growth effectively, through, for example, an unexpected increase in members, a rapid expansion in geographies served, or a sudden growth in hiring,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and if we are not able to compete effectively, our business, financial condition, and results of operations will be harmed.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markets for MA plans and related products are highly competitive. We compete in certain segments within the healthcare market, including MA plans as well as other healthcare technology platforms, and the FFS market.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Centene, and Elevance Health that provide MA plans, as well as regional-based companies or health plans that provide MA plans, including Blue Cross Blue Shield affiliates, Bright Health, Alignment Health, Devoted Health, Oscar Health, hospital systems, and provider-based organizations. As a result of our recent entry into CMS' new ACO REACH Model, we also face competition from other Non-Insurance participants including provider groups, ACOs, and MCOs. These competitors include Oak Street Health, VillageMD, Humana, Elevance Health, Aledade, Signify, Bright Health Group, Cano Health, and Iora with One Medical. Competition from these and other new entrants may intensify as the FFS market develops and business models evolve to address it. In addition, as we enter into new markets, we may compete with regional start-up companies that offer MA plans and other participants in the ACO REACH Model. Also, as we develop other products and enter new lines of business, and other companies do the same, we may compete with providers of healthcare technology platforms, EHR providers, telehealth providers, healthcare data analytics providers, and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beneficiaries,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beneficiaries and provider users, and loss of current market share to existing competitors and disruptive new market entrants.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Any one of these competitive pressures in our market, or our failure to compete effectively, may result in fewer plans being offered; a reduction in plan benefits; reduced services; a loss of existing beneficiaries or inability to grow our number of beneficiaries; fewer provider users; reduced revenues; lower gross margins; and loss of market share. Any failure to meet and address these competitive factors would harm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compete with larger companies that may have stronger brands, and consolidation among competitors would increase competition.</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competitors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beneficiary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beneficiaries.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 the healthcare industry in the United States has experienced a substantial amount of consolidation in recent years, resulting in a decrease in the number of insurance carriers, providers, and payors.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7"/>
          <w:szCs w:val="17"/>
          <w:color w:val="auto"/>
        </w:rPr>
        <w:t>network adequacy requirements for a market and, as a result, start their own MA plans in that market. In addition,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beneficiary base, a stronger and larger provider network, more widely adopted proprietary technologies, greater ability to care for their beneficiaries,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providers may adopt competing technology platforms in lieu of Clover Assistant. Any such events could adversely affect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estimate incurred but not reported claims accurately would affect our results of operations.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Due to the time lag between when medical services are actually rendered by our providers and when we (or CMS with respect to the ACO)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beneficiaries,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we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200" w:lineRule="exact"/>
        <w:rPr>
          <w:sz w:val="20"/>
          <w:szCs w:val="20"/>
          <w:color w:val="auto"/>
        </w:rPr>
      </w:pPr>
    </w:p>
    <w:p>
      <w:pPr>
        <w:spacing w:after="0" w:line="21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With respect to our CMS contracts that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CMS requiring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Reinsurance and low-income cost subsidies represent payments from CMS in connection with the Medicare Part D program for which we assume no risk. Reinsurance subsidies represent payments for CMS' portion of claims costs that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 prospective subsidies against actual prescription drug costs we paid is made after the end of the applicable year.</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 claims edit processes due to various reasons, including discrepancies in eligibility or classification of low-income members. To the extent our data does not pass CMS' claim edit processes, we may bear the risk for all or a portion of the claim that otherwise may have been subject to the risk corridor provision or forgo payments we would have otherwise received as a low-income subsidy or reinsurance claim. In addition, if the settlement represents an amount CMS owes us, there is a negative impact on our cash flows and financial condition as a result of financing CMS' share of the risk. The opposite is true in the event the settlement represents an amount we owe CMS. If our estimates or assumptions related to our financial accounting for these benefits prove incorrect or insufficient,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9" w:name="page30"/>
    <w:bookmarkEnd w:id="29"/>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expand our sales and marketing infrastructure or if we fail to overcome challenges relating to marketing of our Insurance business and Non-Insurance business, we may fail to enroll sufficient beneficiaries to meet our forecasts.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and will continue to be highly dependent on the ability of our sales force to adequately promote and market our Insurance business MA plans to enroll new members and retain our existing members, and to successfully market our Non-Insurance business to the national provider network to contract with new participant providers and grow our number of Non-Insurance Beneficiaries. If our sales and marketing representatives fail to achieve their objectives, our Lives under Clover Management could decrease or may not increase at levels that are in line with our expectations. This could adversely impact our financial condition and results of operations.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we are not successful at converting the opportunities presented by new distribution channels and access to local markets, we may not be able to grow our number of beneficiaries or our plans as quickly as we need to, or at all. For example, if insurance brokers and field marketing organizations choose not to market and sell our plans, our business and results of operations would be adversely affected. In addition to the financial impact of having fewer beneficiaries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Clover Assistant. This, in turn, could compromise our ability to deliver on our goals of using Clover Assistant to decrease costs and improve care.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MA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offerings. Incumbents in the MA business may, therefore,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expectations.</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develop widespread brand recognition or are unable to maintain or enhance our reputation, our business, financial condition, and results of operations will be harmed.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developing widespread brand recognition and maintaining and enhancing our reputation is critical to our relationships with existing providers and beneficiaries, and to our ability to attract new providers and beneficiaries to our platform and offerings.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revenues may not offset the expenses we incur, and our results of operations could be harmed. In addition, any factor that diminishes our reputation or that of our management, including failing to meet the expectations of our providers or beneficiaries, could harm our reputation and brand and make it substantially more difficult for us to attract new providers or beneficiaries. If we do not successfully develop widespread brand recognition and maintain and enhance our reputation, our business may not grow and we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could lose our relationships with providers or beneficiaries, which would harm our business, financial condition, and results of operations.</w:t>
      </w:r>
    </w:p>
    <w:p>
      <w:pPr>
        <w:spacing w:after="0" w:line="2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do not continue to innovate and provide services that are useful to our beneficiaries and providers, we may not remain competitive, and our business, financial condition, and results of operations could suffer.</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beneficiary and provider user requirements, and sustain and grow market acceptance. Our future financial performance will depend in part on our growth in this market and on our ability to adapt to emerging market demands, including adapting to the ways our beneficiaries access and use our MA plans, ACO, and clinical care programs, and the ways our providers use Clover Assistant. Our competitors may develop products and services that may appeal more to our beneficiaries and/or providers. As a result, we must continue to invest significant resources in research and development in order to enhance our existing platform and introduce new high-quality products and features that our beneficiaries and providers will want, while offering our MA plans at competitive prices. In particular, achieving and maintaining broad market acceptance of our MA plans and our products, including Clover Assistant, could be negatively affected by many factors, including:</w:t>
      </w:r>
    </w:p>
    <w:p>
      <w:pPr>
        <w:spacing w:after="0" w:line="71" w:lineRule="exact"/>
        <w:rPr>
          <w:sz w:val="20"/>
          <w:szCs w:val="20"/>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member and provider needs and preferences;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evidence supporting the ease-of-use, cost savings or other perceived benefits of our MA plans;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evidence supporting the ease-of-use, costs savings or other perceived benefits of our Clover Assistant platform over competitive products and technology platforms; and</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associated with the use of our Clover Assistant platform, similar products or technologies generally.</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our Clover Assistant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Clover Assistant until there is enough evidence to convince them to alter their current approach or until the number of Clover beneficiaries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offer high-quality customer support, our business, results of operations, and reputation could suffer.</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business is dependent upon providing high-quality customer support and service to both our beneficiaries and providers. In particular, our ability to attract and retain membership is dependent upon providing cost effective, quality customer service operations, such as call center operations and claim processing, that meet or exceed our beneficiaries' expectations. We depend on third parties for certain of our customer service operations. If we or our vendors fail to provide service that meets our beneficiaries' expectations, we may have difficulty retaining or growing our Lives under Clover Management, which could adversely affect our business, financial condition, and results of operations.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we have designed Clover Assistant to be easy to adopt and use, once providers begin using it, they rely on our support services to resolve any platform issues. High-quality user education and customer experience have been key to the adoption of Clover Assistant. We expect the importance of high-quality customer experience to increase as we expand our business and pursue new provider users. Any failure to maintain high- quality customer experience, or a market perception that we do not maintain high-quality customer experience, could harm our reputation and our ability to grow the number of users of our platform. This could in turn harm our business, results of operations, and financial condition. Additionally, as the number of providers using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vulnerabilities, or bugs in Clover Assistant would harm our business, results of operations, and financial condition.</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software technology underlying and integrating with Clover Assistant is inherently complex and may contain material defects or errors. Errors, failures, vulnerabilities, or bugs have in the past, and may in the future, occur in Clover Assistant, especially when updates are deployed or new features, integrations, or capabilities are rolled out. For example, if the clinical features or suggestions provided through Clover Assistant were to fail, our systems could experience data loss and/or providers may become frustrated with Clover Assistant, which in turn may affect retention and adoption of Clover Assistant by providers. Additionally, if a bug was discovered in Clover Assistant that made Clover Assistant vulnerable to malicious attacks or exposed our beneficiary data to third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1" w:name="page32"/>
    <w:bookmarkEnd w:id="31"/>
    <w:p>
      <w:pPr>
        <w:jc w:val="both"/>
        <w:spacing w:after="0" w:line="292" w:lineRule="auto"/>
        <w:rPr>
          <w:sz w:val="20"/>
          <w:szCs w:val="20"/>
          <w:color w:val="auto"/>
        </w:rPr>
      </w:pPr>
      <w:r>
        <w:rPr>
          <w:rFonts w:ascii="Times New Roman" w:cs="Times New Roman" w:eastAsia="Times New Roman" w:hAnsi="Times New Roman"/>
          <w:sz w:val="17"/>
          <w:szCs w:val="17"/>
          <w:color w:val="auto"/>
        </w:rPr>
        <w:t>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results of operations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predict our operating results and growth rate. Any of these events could cause the market price of our common stock to fluctuate. Factors that may contribute to the variability of our operating results include:</w:t>
      </w:r>
    </w:p>
    <w:p>
      <w:pPr>
        <w:spacing w:after="0" w:line="65" w:lineRule="exact"/>
        <w:rPr>
          <w:sz w:val="20"/>
          <w:szCs w:val="20"/>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enrollment periods and related sales and marketing expenses;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risk adjustments;</w:t>
      </w:r>
    </w:p>
    <w:p>
      <w:pPr>
        <w:spacing w:after="0" w:line="116" w:lineRule="exact"/>
        <w:rPr>
          <w:rFonts w:ascii="Times New Roman" w:cs="Times New Roman" w:eastAsia="Times New Roman" w:hAnsi="Times New Roman"/>
          <w:sz w:val="17"/>
          <w:szCs w:val="17"/>
          <w:color w:val="auto"/>
        </w:rPr>
      </w:pPr>
    </w:p>
    <w:p>
      <w:pPr>
        <w:ind w:left="940" w:hanging="313"/>
        <w:spacing w:after="0" w:line="266"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or loss of large hospital and healthcare systems in our provider network, including due to acquisitions or consolidations of such systems;</w:t>
      </w:r>
    </w:p>
    <w:p>
      <w:pPr>
        <w:spacing w:after="0" w:line="30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recognition of revenues, including possible delays in the recognition of revenues;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the size and composition of our in-house clinician program relative to the level of demand for services from our members;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the development or acquisition of technologies or businesses and potential future charges for impairment of goodwill from acquired companies;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and/or delays in rolling out technology or platform updates;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 or interruptions in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provider adoption of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beneficiaries;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of information security or privacy, and any associated fines or penalties or damage to our reputation;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qualified personnel, including for our in-house clinician program;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2" w:name="page33"/>
    <w:bookmarkEnd w:id="32"/>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provider and payment systems;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 including with respect to healthcare, telehealth, privacy, or data protection, or enforcement by government regulators, including fines, orders, sanctions, or consent decrees;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potential outcomes of ongoing or future regulatory audits, investigations, or litigation;</w:t>
      </w:r>
    </w:p>
    <w:p>
      <w:pPr>
        <w:spacing w:after="0" w:line="116" w:lineRule="exact"/>
        <w:rPr>
          <w:rFonts w:ascii="Times New Roman" w:cs="Times New Roman" w:eastAsia="Times New Roman" w:hAnsi="Times New Roman"/>
          <w:sz w:val="17"/>
          <w:szCs w:val="17"/>
          <w:color w:val="auto"/>
        </w:rPr>
      </w:pPr>
    </w:p>
    <w:p>
      <w:pPr>
        <w:jc w:val="both"/>
        <w:ind w:left="940" w:hanging="313"/>
        <w:spacing w:after="0" w:line="273"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reinstitution of 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spacing w:after="0" w:line="59"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economic and social instability, including terrorist activities, geopolitical events such as the Russia-Ukraine war and health epidemics, and any disruption these events may cause to any of our offices, to the healthcare system, or to the global economy;</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and our competitors' pricing policies;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macroeconomic conditions.</w:t>
      </w:r>
    </w:p>
    <w:p>
      <w:pPr>
        <w:spacing w:after="0" w:line="23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impact of one or more of the foregoing and other factors may cause our results of operations to vary significantly. As such, we believe that quarter-to-quarter and year-to-year comparisons of our operating results may not be meaningful and should not be relied upon as an indication of our future performance.</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Market, regulatory and political conditions, including general economic conditions, rates of inflation and political developments in the United States and abroad, may have adverse consequences on our business, financial condition and share price.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 may be affected by conditions and trends in the financial markets and general economic and political conditions. The global economy, including credit and financial markets, has experienced extreme volatility and disruptions, including severely diminished liquidity and credit availability, declines in consumer confidence, higher cost of human capital, geopolitical uncertainty and instability, including the ongoing conflict between Russia and Ukraine, declines in economic growth, increases in unemployment rates, increases in inflation rates, higher interest rates, changes in tax policy and uncertainty about economic stability. The U.S. federal government and other governments may reduce funding for health care or other programs or make changes that adversely affect the number of persons eligible for certain programs, the services provided to enrollees in such programs and premiums we can charge. Any of these factors could have a material adverse effect on our businesses, results of operations, and cash flows. In addition, the failure of the U.S. federal government to manage its fiscal matters or to raise or further suspend the debt ceiling, and changes in the amount of federal debt, may negatively impact the economic environment, curtail spending on health and health care related matters and adversely impact our results of operations. Furthermore, on August 16, 2022, the U.S. enacted the Inflation Reduction Act of 2022, which, among other things, may significantly impact the health insurance industry. We are continuing to determine the potential effects that this legislation and others may have on our business and operating results. Any such volatility and disruptions, or a general sustained economic downturn or other developments, may have adverse consequences on us or on our third party relationships (including relationships with vendors and health care providers).</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growth may prove to be inaccurate; even if the markets in which we compete achieve the forecasted growth, our business could fail to grow at similar rates, if at all.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they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beneficiaries and providers and potential beneficiaries and providers than competing MA plans and other participants in the ACO REACH Model. If these assumptions prove inaccurate, our business, financial condition, and results of operations could be adversely affected.</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relating to the delivery of healthcare and related services. Although we maintain insurance covering medical malpractice claims in amounts that we believe are appropriate in light of the risks attendant to our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33" w:name="page34"/>
    <w:bookmarkEnd w:id="33"/>
    <w:p>
      <w:pPr>
        <w:jc w:val="both"/>
        <w:spacing w:after="0" w:line="292" w:lineRule="auto"/>
        <w:rPr>
          <w:sz w:val="20"/>
          <w:szCs w:val="20"/>
          <w:color w:val="auto"/>
        </w:rPr>
      </w:pPr>
      <w:r>
        <w:rPr>
          <w:rFonts w:ascii="Times New Roman" w:cs="Times New Roman" w:eastAsia="Times New Roman" w:hAnsi="Times New Roman"/>
          <w:sz w:val="17"/>
          <w:szCs w:val="17"/>
          <w:color w:val="auto"/>
        </w:rPr>
        <w:t>business, we cannot predict the outcomes of medical malpractice cases, or the effect that any claims of this nature, regardless of their ultimate outcome, could have on our business or reputation or on our ability to attract and retain members.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pose certain risks to our business that may be different from risks associated with our domestic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direct operations in Hong Kong and Canada, as well as contracted operations in other countries including the Philippines, Colombia, India, the UK, and</w:t>
      </w:r>
    </w:p>
    <w:p>
      <w:pPr>
        <w:spacing w:after="0" w:line="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New Zealand</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We may in the future expand our operations to other countries. Substantially all of our software research and development is performed internationally, by internal resources and a variety of offshore vendors in locations such as Hong Kong and India. While these arrangements may lower operating costs, they also subject us to the uncertain political climates, including political unrest and uncertainty in Hong Kong, such as Hong Kong national security law and other developments, and potential disruptions in international trade, including export control laws (such as deemed export restrictions applicable to software) and any amendments to those laws, as well as potentially increased data security and privacy risks and local economic and labor conditions.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If we are unable to leverage our full software development team, this may result in decreased ability to innovate and maintain Clover Assistant and carry out health plan data operations, which may in turn lead to adverse effects on our business, financial conditions and results of operations. Additionally, we conduct certain of our call center operations in the Philippines and Colombia and work with a company in India for claims processing and coding. Our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or regions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and results of operations.</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insurance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Compliance with applicable U.S. and foreign laws and regulations, such as import and export requirements, anti-corruption laws, tax laws, foreign exchange controls,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Furthermore, weakness of the U.S. dollar in relation to the currencies used in these foreign countries may also reduce the savings achievable through our strategy of contracting out certain services and could have an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failure to successfully manage our international operations and the associated risks effectively could limit the future growth of our business.</w:t>
      </w:r>
    </w:p>
    <w:p>
      <w:pPr>
        <w:spacing w:after="0" w:line="24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successful in expanding our Lives under Clover Management across the United States, we may incur increased expenses and risks related to compliance with state licensure requirements, which could impact our business and results of operations.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State regulators require us to maintain a valid license in each state in which we transact health insurance business, maintain minimum amounts of capital and surplus. They further require that we adhere to sales, documentation and administration practices specific to that state. We must maintain our health insurance licenses to continue marketing our plans and might have to secure additional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4" w:name="page35"/>
    <w:bookmarkEnd w:id="34"/>
    <w:p>
      <w:pPr>
        <w:jc w:val="both"/>
        <w:spacing w:after="0" w:line="267" w:lineRule="auto"/>
        <w:rPr>
          <w:sz w:val="20"/>
          <w:szCs w:val="20"/>
          <w:color w:val="auto"/>
        </w:rPr>
      </w:pPr>
      <w:r>
        <w:rPr>
          <w:rFonts w:ascii="Times New Roman" w:cs="Times New Roman" w:eastAsia="Times New Roman" w:hAnsi="Times New Roman"/>
          <w:sz w:val="17"/>
          <w:szCs w:val="17"/>
          <w:color w:val="auto"/>
        </w:rPr>
        <w:t>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to, among other things:</w:t>
      </w:r>
    </w:p>
    <w:p>
      <w:pPr>
        <w:spacing w:after="0" w:line="65" w:lineRule="exact"/>
        <w:rPr>
          <w:sz w:val="20"/>
          <w:szCs w:val="20"/>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and revoke licenses to transact insurance business;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compliance with minimum capital and surplus requirements;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inquiries into the insurance-related activities and conduct of agents and agencies;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and regulate disclosure in connection with the sale and solicitation of health insurance;</w:t>
      </w:r>
    </w:p>
    <w:p>
      <w:pPr>
        <w:spacing w:after="0" w:line="116" w:lineRule="exact"/>
        <w:rPr>
          <w:rFonts w:ascii="Times New Roman" w:cs="Times New Roman" w:eastAsia="Times New Roman" w:hAnsi="Times New Roman"/>
          <w:sz w:val="17"/>
          <w:szCs w:val="17"/>
          <w:color w:val="auto"/>
        </w:rPr>
      </w:pPr>
    </w:p>
    <w:p>
      <w:pPr>
        <w:ind w:left="940" w:hanging="313"/>
        <w:spacing w:after="0" w:line="266"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how, by which personnel and under what circumstances insurance premiums can be quoted and published and insurance policies can be sold;</w:t>
      </w:r>
    </w:p>
    <w:p>
      <w:pPr>
        <w:spacing w:after="0" w:line="30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which entities can be paid commissions from carriers and the circumstances under which they may be paid;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 the content of insurance-related advertisements, including web pages, and other marketing practices;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policy forms, require specific benefits and benefit levels, and regulate premium rates;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and other penalties;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continuing education requirements.</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we must ensure that our agents have received all licenses, appointments, and certifications required by state authorities in order to transact business.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These events could significantly increase our operating expenses, result in the loss of carrier relationships and our commission revenue, and otherwise harm our business, results of operations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providers for computing infrastructure, network connectivity, and other technology-related services needed to deliver our technology platform and products. Any disruption in the services provided by such third-party providers could adversely affect our business and subject us to liability.</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beneficiaries and provider users, and we may lose beneficiaries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any agreement on commercially reasonable terms, establish more favorable relationships with our competitors, or change or interpret their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17"/>
          <w:szCs w:val="17"/>
          <w:color w:val="auto"/>
        </w:rPr>
        <w:t>terms of service or policies in a manner that is unfavorable with respect to us, we may be required to transfer our servers and other infrastructure to a different service provider, and our business, results of operations, and financial condition could be harmed. This may result in significant additional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failure to protect our sites, networks, and systems against security breaches, or otherwise to protect our confidential or health information or the confidential or health information of our beneficiaries, providers, or other third parties, would damage our reputation and brand, and substantially harm our business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beneficiaries,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harm related to such breaches might include interruption, disruption, or malfunction of operations, including with respect to telehealth services;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These factors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Any such use of resources diverts resources from the growth and expansion of our business.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growth depends in part on the success of our strategic relationships with third parties.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and formulary services. If any such agreements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beneficiaries. Any of these events could have a material adverse effect on our business, brand, reputation, and results of operations. Furthermore, certain legislative authorities have in recent years discussed or proposed legislation that would restrict outsourcing of certain services.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Clover Assistant. This could decrease the usefulness of Clover Assistant and result in decreased adoption by providers and potentially higher medical costs for our beneficiaries, increased or duplicative costs for us, and our inability to meet our obligations to our beneficiaries; it could also require us to seek alternative service providers on less favorable contract terms, any of which can adversely affect our business, brand, reputation and results of operating. Additionally, if our service partners and vendors do not utilize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6" w:name="page37"/>
    <w:bookmarkEnd w:id="36"/>
    <w:p>
      <w:pPr>
        <w:jc w:val="both"/>
        <w:spacing w:after="0" w:line="292" w:lineRule="auto"/>
        <w:rPr>
          <w:sz w:val="20"/>
          <w:szCs w:val="20"/>
          <w:color w:val="auto"/>
        </w:rPr>
      </w:pPr>
      <w:r>
        <w:rPr>
          <w:rFonts w:ascii="Times New Roman" w:cs="Times New Roman" w:eastAsia="Times New Roman" w:hAnsi="Times New Roman"/>
          <w:sz w:val="17"/>
          <w:szCs w:val="17"/>
          <w:color w:val="auto"/>
        </w:rPr>
        <w:t>industry standards with respect to privacy and data requirements, or other applicable safeguards, we may be exposed to additional liability, the breach of our patient data, or loss of our ability to provide plans and services.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Medicare-eligible beneficiaries into, or the effective and efficient operations of, our Insurance and Non-Insurance businesses or the adoption of Clover Assistant by providers. If we are unsuccessful in establishing or maintaining our relationships with third parties, our ability to compete in the marketplace or to grow our revenues could be impaired and our results of operations may suffer. Even if we are successful, we cannot assure you that these relationships will result in increased revenues or an increase in the number of beneficiaries or provider users of Clover Assistant.</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execute on our business strategies and growth plans, we must attract and retain highly qualified personnel in our US and international offices, including Hong Kong.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effective. As such, we may not be successful in continuing to attract and retain qualified personnel. Our recruiting efforts may also be limited by laws and regulations, such as restrictive immigration laws, and restrictions on travel or availability of visas. If we fail to attract new personnel or fail to retain and motivate our current personnel, our business and future growth prospects could be severely harmed.</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Current macroeconomic, industry and labor market conditions have exacerbated an already highly competitive market for hiring and retaining employees with relevant qualifications and experience. There is an ongoing national labor shortage, particularly for highly qualified personnel. Labor market trends also include high attrition and wage inflation, and some candidates and new personnel may have different expectations from our current workforce.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we believe that a critical element of our ability to successfully attract, train and retain qualified personnel is our corporate culture, which we believe fosters innovation, collaboration, diversity and inclusion, and a focus on execution, all in an environment of high ethical standards. Our hybrid/remote work policies may present challenges in maintaining these important aspects of our corporate culture, and a failure to maintain our corporate culture could negatively impact us. Further, we rely on our key personnel to lead with integrity and to meet our high ethical standards that promote excellent performance and cultivate diversity, equity and inclusion. To the extent any of our key personnel were to behave in a way that is inconsistent with our values, including with respect to legal or regulatory compliance, financial reporting or people management, we could experience a materially adverse impact to our reputation and our operating results. If we fail to attract new personnel or fail to retain and motivate our current personnel, our business and future growth prospects could be severely harmed.</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other key employees; the loss of one or more of these employees or an inability to attract and retain additional qualified key personnel could adversely affect our business.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Chief Executive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beneficiaries,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7" w:name="page38"/>
    <w:bookmarkEnd w:id="37"/>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part of our business strategy to expand usage of our Clover Assistant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providers, beneficiaries,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the business and results of operations of the combined company would be adversely affected.</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results of operations could be adversely affected.</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Note 2 (Summary of Significant Accounting Policies) to the consolidated financial statements included in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This could cause our results of operations to fall below the expectations of securities analysts and investors, resulting in a decline in the trading price of our common stock.</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in the future be, subject to investigations and litigation, which could be costly and time-consuming to defend. The outcomes of these matters cannot be predicted.</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are currently subject to various litigation matters as described in the section entitled "Item 3. Legal Proceedings," and Note 21 (Commitments and Contingencies) to the consolidated financial statements included in this Form 10-K.</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As previously disclosed, we have received an inquiry from the U.S. Department of Justice ("DOJ"), and also may be, in the future, subject to regular and special governmental market conduct and other audits, investigations, inquiries and/or reviews by/from,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beneficiaries or federally reimbursable healthcare products or services, fraudulent coding practices, billing for unnecessary medical and/or other covered services, improper marketing and violations of patient privacy rights. In recent years, the DOJ and the Department of Health and Human Services Office of Inspector General (the "OIG") have increased their scrutiny of healthcare payers and providers, and Medicare Advantage insurers, under the federal FCA, in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38" w:name="page39"/>
    <w:bookmarkEnd w:id="38"/>
    <w:p>
      <w:pPr>
        <w:jc w:val="both"/>
        <w:spacing w:after="0" w:line="267" w:lineRule="auto"/>
        <w:rPr>
          <w:sz w:val="20"/>
          <w:szCs w:val="20"/>
          <w:color w:val="auto"/>
        </w:rPr>
      </w:pPr>
      <w:r>
        <w:rPr>
          <w:rFonts w:ascii="Times New Roman" w:cs="Times New Roman" w:eastAsia="Times New Roman" w:hAnsi="Times New Roman"/>
          <w:sz w:val="17"/>
          <w:szCs w:val="17"/>
          <w:color w:val="auto"/>
        </w:rPr>
        <w:t>particular.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Our plans could be selected for such audits, which could result in retrospective adjustments to payments made to our health plans, fines, corrective action plans, or other adverse action by CMS.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business practices to help ensure compliance with CMS risk adjustment requirements and applicable laws, which includes review of Clover Assistant features that may be relevant to patient risk assessments and the submission of risk adjustment data to CMS. We also monitor our physician payment practices to help ensure compliance with applicable laws, such as the Anti-Kickback Statute. While we believe that our risk adjustment data collection efforts and relationships with providers, including those related to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Times New Roman" w:cs="Times New Roman" w:eastAsia="Times New Roman" w:hAnsi="Times New Roman"/>
          <w:sz w:val="17"/>
          <w:szCs w:val="17"/>
          <w:i w:val="1"/>
          <w:iCs w:val="1"/>
          <w:color w:val="auto"/>
        </w:rPr>
        <w:t>Our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 are highly regulated, and new and proposed government regulation or legislative reforms could increase our cost of doing business and reduce our number of beneficiaries, profitability, and liquidity."</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could adversely affect our results of operations and cash flows, thereby harming our business.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regulations and contractual requirements applicable to us and other market participants are complex and subject to change, making it necessary for us to invest significant resources to help ensure compliance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Regular and special governmental audits, investigations and reviews, including the DOJ inquiry, could result in changes to our business practices. They could also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Programs funded in whole or in part by the U.S. federal government account for a significant portion of our revenues.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Programs funded in whole or in part by the U.S. federal government account for a significant portion of our Total revenues. As our government funded businesses grow, our exposure to changes in federal and state government policy with respect to and/or regulation of the various government funded programs in which we participate also increases. The laws and regulations governing participation in Medicare Advantage and Medicare Part D are complex, are subject to interpretation and can expose us to penalties for non-compliance. Federal, state and local governments have the right to cancel or not to renew their contracts with us on short notice without cause or if funds are not available. Funding for these programs is dependent on many factors outside our control, including general economic conditions, continuing government efforts to contain health care costs and budgetary constraints at the federal or applicable state or local level and general political issues and priorities. The U.S. federal government and our other government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9" w:name="page40"/>
    <w:bookmarkEnd w:id="39"/>
    <w:p>
      <w:pPr>
        <w:jc w:val="both"/>
        <w:spacing w:after="0" w:line="273" w:lineRule="auto"/>
        <w:rPr>
          <w:sz w:val="20"/>
          <w:szCs w:val="20"/>
          <w:color w:val="auto"/>
        </w:rPr>
      </w:pPr>
      <w:r>
        <w:rPr>
          <w:rFonts w:ascii="Times New Roman" w:cs="Times New Roman" w:eastAsia="Times New Roman" w:hAnsi="Times New Roman"/>
          <w:sz w:val="17"/>
          <w:szCs w:val="17"/>
          <w:color w:val="auto"/>
        </w:rPr>
        <w:t>customers also may reduce funding for health care or other programs, cancel or decline to renew contracts with us, or make changes that adversely affect the number of persons eligible for certain programs, the services provided to enrollees in such programs, our premiums and our administrative and health care and other benefit costs, any of which could have a material adverse effect on our businesses, results of operations and cash flows.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CMS could apply similar changes to the DC Model in the future. See the risk factor entitled </w:t>
      </w:r>
      <w:r>
        <w:rPr>
          <w:rFonts w:ascii="Times New Roman" w:cs="Times New Roman" w:eastAsia="Times New Roman" w:hAnsi="Times New Roman"/>
          <w:sz w:val="17"/>
          <w:szCs w:val="17"/>
          <w:i w:val="1"/>
          <w:iCs w:val="1"/>
          <w:color w:val="auto"/>
        </w:rPr>
        <w:t>"—Our Non-Insurance business and continued participation in the Medicare fee-for-service market presents unique risks to our business."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Affordable Care Act ("ACA") became law. The ACA substantially changed the way healthcare is financed by both commercial and government payers and contains a number of provisions that impact our business and operations, including a requirement that MA plans spend at least 85% of premium dollars on medical care, a requirement that CMS apply coding intensity adjustments to Medicare payments (which generated an across-the-board reduction to MA risk scores), and an expansion of Medicaid eligibility to additional categories of individuals. Since its enactment, there have been judicial and Congressional challenges to certain aspects of the ACA, as well as the act in its entirety, and there may be additional challenges and amendments to the ACA in the future. The resumption of Medicaid eligibility redeterminations after being suspended during the COVID-19 pandemic could negatively impact the number of members eligible for our Medicaid plans.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ongoing healthcare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require us to reevaluate the manner in which we commercialize our platform and products.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Changes in laws, regulations, and guidelines governing health insurance may also be incompatible with various aspects of our business and require that we make significant modifications to our existing technology or practices. This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0" w:name="page41"/>
    <w:bookmarkEnd w:id="40"/>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State corporate practice of medicine and fee-splitting laws govern at least some of our business operations; violation of such laws could result in penalties and adversely affect our arrangements with contractors and our results of operations and financial condition.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professional corporations in which the shares are held by licensed physicians or other licensed medical professionals may provide medical care to patients. HMO's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corporate practice of medicine and fee-splitting between physicians and referral sources may be statutory or regulatory, or may be imposed through judicial or regulatory interpretation, and vary widely from state to state.</w:t>
      </w: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Through our HMO subsidiary, we employ providers and other clinical staff to provide medical services to medically complex beneficiaries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These events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satisfactory quality and performance measures may negatively affect our premium rates, subject us to penalties, limit or reduce our number of beneficiaries, impede our ability to compete for new business in existing or new markets or result in the termination of our contracts, or affect our ability to establish new health plans or expand current health plans. Any of these events could have a material adverse effect on our business, rate of growth and results of operations, financial condition, and cash flows.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members.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Star Ratings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For each year that our plans were rated, we received a Star Rating of 3.0, except for the 2017 and 2022 Star Ratings, when the Star Rating for our PPO plan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1" w:name="page42"/>
    <w:bookmarkEnd w:id="41"/>
    <w:p>
      <w:pPr>
        <w:jc w:val="both"/>
        <w:spacing w:after="0" w:line="273" w:lineRule="auto"/>
        <w:rPr>
          <w:sz w:val="20"/>
          <w:szCs w:val="20"/>
          <w:color w:val="auto"/>
        </w:rPr>
      </w:pPr>
      <w:r>
        <w:rPr>
          <w:rFonts w:ascii="Times New Roman" w:cs="Times New Roman" w:eastAsia="Times New Roman" w:hAnsi="Times New Roman"/>
          <w:sz w:val="17"/>
          <w:szCs w:val="17"/>
          <w:color w:val="auto"/>
        </w:rPr>
        <w:t>maintain or continue to improve our Star Ratings, if we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members, results of operations, financial condition and cash flows.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are highly regulated, and new and proposed government regulation or legislative reforms could increase our cost of doing business and reduce our number of beneficiaries, profitability, and liquidity.</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healthcare industry is heavily regulated and closely scrutinized by federal, state and local governments. Comprehensive statutes and regulations govern the manner in which we are compensated for providing coverage for our members and Non-Insurance Beneficiaries, our contractual relationships with our providers, vendors and beneficiaries, our marketing activities and other aspects of our operations. Of particular importance are:</w:t>
      </w:r>
    </w:p>
    <w:p>
      <w:pPr>
        <w:spacing w:after="0" w:line="60" w:lineRule="exact"/>
        <w:rPr>
          <w:sz w:val="20"/>
          <w:szCs w:val="20"/>
          <w:color w:val="auto"/>
        </w:rPr>
      </w:pPr>
    </w:p>
    <w:p>
      <w:pPr>
        <w:jc w:val="both"/>
        <w:ind w:left="940" w:hanging="313"/>
        <w:spacing w:after="0" w:line="26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69"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64" w:lineRule="exact"/>
        <w:rPr>
          <w:rFonts w:ascii="Times New Roman" w:cs="Times New Roman" w:eastAsia="Times New Roman" w:hAnsi="Times New Roman"/>
          <w:sz w:val="17"/>
          <w:szCs w:val="17"/>
          <w:color w:val="auto"/>
        </w:rPr>
      </w:pPr>
    </w:p>
    <w:p>
      <w:pPr>
        <w:jc w:val="both"/>
        <w:ind w:left="940" w:hanging="313"/>
        <w:spacing w:after="0" w:line="273"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simplification provisions of the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59"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64"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64"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insurance holding company laws and regulations pertaining to licensing and plan solvency requirements;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reassignment of payment rules that prohibit certain types of billing and collection practices in connection with claims payable by the Medicare or Medicaid programs;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state law provisions pertaining to anti-kickback, self-referral, and false claims issues, some of which may apply to items or services reimbursed by any third-party payer;</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of the Affordable Care Act that requires MA plans to spend at least 85% of premium dollars on medical care;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that govern our relationships with pharmaceutical manufacturers, wholesalers, pharmacies, beneficiaries, and consumers;</w:t>
      </w:r>
    </w:p>
    <w:p>
      <w:pPr>
        <w:spacing w:after="0" w:line="116"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2" w:name="page43"/>
    <w:bookmarkEnd w:id="42"/>
    <w:p>
      <w:pPr>
        <w:ind w:left="940"/>
        <w:spacing w:after="0"/>
        <w:rPr>
          <w:sz w:val="20"/>
          <w:szCs w:val="20"/>
          <w:color w:val="auto"/>
        </w:rPr>
      </w:pPr>
      <w:r>
        <w:rPr>
          <w:rFonts w:ascii="Times New Roman" w:cs="Times New Roman" w:eastAsia="Times New Roman" w:hAnsi="Times New Roman"/>
          <w:sz w:val="17"/>
          <w:szCs w:val="17"/>
          <w:color w:val="auto"/>
        </w:rPr>
        <w:t>receipt or required disclosure of rebates from pharmaceutical manufacturers, and restricting the use of average wholesale prices;</w:t>
      </w:r>
    </w:p>
    <w:p>
      <w:pPr>
        <w:spacing w:after="0" w:line="116" w:lineRule="exact"/>
        <w:rPr>
          <w:sz w:val="20"/>
          <w:szCs w:val="20"/>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that regulate debt collection practices;</w:t>
      </w:r>
    </w:p>
    <w:p>
      <w:pPr>
        <w:spacing w:after="0" w:line="116"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64"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governing the ways in which we communicate with beneficiaries and market our services, including the Telephone Consumer Protection Act, the Controlling the Assault of Non-Solicited Pornography, and the Marketing Act;</w:t>
      </w:r>
    </w:p>
    <w:p>
      <w:pPr>
        <w:spacing w:after="0" w:line="43"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FCPA prohibits offering, promising, providing or authorizing others to give anything of value to a foreign government official to obtain or retain business or otherwise secure a business advantage;</w:t>
      </w:r>
    </w:p>
    <w:p>
      <w:pPr>
        <w:spacing w:after="0" w:line="64"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operations of our therapeutics affiliate, the extensive, complex, and evolving laws and regulations applicable to the operations of our therapeutics affiliate, primarily those of the U.S. Food and Drug Administration (the "FDA"); and</w:t>
      </w:r>
    </w:p>
    <w:p>
      <w:pPr>
        <w:spacing w:after="0" w:line="43"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governing CMMI models, such as the DC Model, including a requirement under section 1115A of the Social Security Act for CMMI to modify or terminate the design or implementation of a model if it is determined that it is not expected to achieve the aims of the statute to improve the quality of care without increasing Medicare spending, to reduce Medicare spending without reducing the quality of care, or to improve the quality of care and reduce spending.</w:t>
      </w:r>
    </w:p>
    <w:p>
      <w:pPr>
        <w:spacing w:after="0" w:line="194" w:lineRule="exact"/>
        <w:rPr>
          <w:sz w:val="20"/>
          <w:szCs w:val="20"/>
          <w:color w:val="auto"/>
        </w:rPr>
      </w:pPr>
    </w:p>
    <w:p>
      <w:pPr>
        <w:jc w:val="both"/>
        <w:ind w:right="160"/>
        <w:spacing w:after="0" w:line="273"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scrutiny or challenge under one or more of such laws. Also, it is possible that some of our business activities, such as participation in the DC Model, could discontinue.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Achieving and sustaining compliance with these laws may also prove costly. We are currently and expect to be in communication with the certain regulators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Clover Assistant were to become subject to regulation by the FDA and we were unable to obtain the required approval or comply with these regulations, our business, results of operations, financial condition, and prospects may be materially and adversely affected.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guidance documents, concerning, for example, clinical decision software, to clarify how it intends to interpret and apply the new exemptions under the 21st Century Cures Act. Although we believe that our Clover Assistant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7"/>
          <w:szCs w:val="17"/>
          <w:color w:val="auto"/>
        </w:rPr>
        <w:t>platform does not meet the definition of medical device and/or meet the criteria that the FDA has announced for its exercise of enforcement discretion to apply, there is a risk that the FDA could disagree with our determination or that the FDA could develop new guidance documents or revise current guidance documents that would subject our platform to active FDA oversight. If the FDA determines that any of our current or future analytics applications, including Clover Assistant,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results of operations, financial condition and prospects may be materially and adversely affected if we were to become subject to regulation by the FDA and were unable to obtain approval or comply with these regulations.</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strategies.</w:t>
      </w:r>
    </w:p>
    <w:p>
      <w:pPr>
        <w:spacing w:after="0" w:line="2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Numerous U.S. federal and state laws and regulations govern the collection, dissemination, use, privacy, confidentiality, security, availability and integrity of personally identifiable information ("PII"), including protected health information ("PHI"). These federal and state laws and regulations include, but are not limited to HIPAA, as amended by HITECH, which we refer to collectively as HIPAA, and the California Consumer Privacy Act of 2018 (the "CCPA"), as amended by the California Privacy Rights Act (the "CPRA").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HIPAA mandates that the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7"/>
          <w:szCs w:val="17"/>
          <w:color w:val="auto"/>
        </w:rPr>
        <w:t>Numerous other U.S.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The CCPA requires companies that process information regarding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On November 3, 2020, California voters approved the CPRA, which amends the CCPA and extends the scope to apply to certain of our employees, their dependents, and other individuals residing in California. The CPRA's substantive provisions became effective on January 1, 2023. The CPRA created a new California data protection agency specifically tasked to enforce the law, which will likely result in increased regulatory scrutiny of California businesses in the areas of data protection and security. Beginning July 1, 2023, the California Privacy Protection Agency will have full administrative authority to enforce the CPRA while the California Attorney General will retain civil enforcement authority. However, it remains unclear how stringent the California Privacy Protection Agency and the California attorney general's office will be in enforcing the law. It also remains unclear how much private litigation will ensue under the data breach private right of action. In 2022, we incurred costs implementing compliance processes leading up to the effective date. Similar laws have been proposed in other states and at the federal level.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200" w:lineRule="exact"/>
        <w:rPr>
          <w:sz w:val="20"/>
          <w:szCs w:val="20"/>
          <w:color w:val="auto"/>
        </w:rPr>
      </w:pP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beneficiary data, including HIPAA-regulated PHI. As a result, our reputation could be severely damaged, adversely affecting PCP and beneficiary confidence. Beneficiaries may curtail their use of or stop using our services including the use of telehealth, or our number of beneficiaries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In any event, insurance coverage would not address the reputational damage that could result from a security incident.</w:t>
      </w: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contract with third parties for important aspects of the storage and transmission of beneficiary information, and thus rely on those third parties to manage functions that have material cyber-security risks. We attempt to address these risks by requiring subcontractors who handle beneficiary information to sign business associate agreements contractually requiring those subcontractors to adequately safeguard personal health data to the same extent that applies to us and in some cases by requiring such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also publish statements to our beneficiaries that describe how we handle and protect personal information. Any failure or perceived failure by us to maintain posted privacy policies that are accurate, comprehensive and fully implemented, and any violation or perceived violation of our privacy-, data protection-, or information security obligations to providers, beneficiaries, or other third parties could result in claims of deceptive practices brought against us, That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revenues and results of operations.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violating those laws. We cannot yet determine the impact that future laws, regulations, and standards may have on our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is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obtain or maintain the right to use certain of our intellectual property could negatively affect our business.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patent applications in the United States may not be public for a period of time after they are filed.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that technology would infringe a third-party patent once that patent is issued.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rely on our trademarks, trade names, and brand names to distinguish our solutions and branding from the products of our competitors, and we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17"/>
          <w:szCs w:val="17"/>
          <w:color w:val="auto"/>
        </w:rPr>
        <w:t>can also be no assurance that our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If our trademarks are successfully challenged, we could be forced to rebrand our platform, which would result in loss of brand recognition and would require us to devote resources to advertising and marketing new brands.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incur substantial costs as a result of any claim of infringement of another party's intellectual property rights.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allegedly infringing practices. The development of alternative non-infringing technology or practices would require significant effort and expense. Similarly, if any litigation to which we may be a party fails to settle and we go to trial, we may be subject to an unfavorable judgment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200" w:lineRule="exact"/>
        <w:rPr>
          <w:sz w:val="20"/>
          <w:szCs w:val="20"/>
          <w:color w:val="auto"/>
        </w:rPr>
      </w:pP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we have agreed to indemnify our providers against certain claims, which may include claims that our platform and products infringe the intellectual property rights of such third parties. Our business could be adversely affected by any significant disputes between us and our providers as to the applicability or scope of our indemnification obligations to them.</w:t>
      </w:r>
    </w:p>
    <w:p>
      <w:pPr>
        <w:spacing w:after="0" w:line="186"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portion of the technologies we use in Clover Assistant incorporates "open source" software, and we may incorporate open source software in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to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We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7"/>
          <w:szCs w:val="17"/>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could disrupt the deployment of our platform, products, or other internal tools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2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market prices and trading volume of our shares of Class A common stock have experienced periods of extreme volatility and steep declines. Volatility could return and price declines could continue going forward in ways that may be unrelated, or disproportionate, to our operating performance.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market prices and trading volume of our shares of Class A common stock experienced periods of extreme volatility during 2022, and such volatility could return, We believe that the extreme volatility we experienced during that time reflected market and trading dynamics unrelated to our underlying business, or macro or industry fundamentals. We do not know if these dynamics will return or how long they will last if they return. In addition, the market price of our Class A common stock declined sharply during 2022.</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Volatility or declines in our trading price could make it more difficult to attract and retain talent, adversely impact employee retention and morale, and may require us to issue more equity to incentivize team members, which could dilute stockholders.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Overall, there are various factors, some of which are beyond our control, that could negatively affect the market price of our Class A common stock or result in fluctuations in the price or trading volume of our Class A common stock, including the following</w:t>
      </w:r>
    </w:p>
    <w:p>
      <w:pPr>
        <w:spacing w:after="0" w:line="44" w:lineRule="exact"/>
        <w:rPr>
          <w:sz w:val="20"/>
          <w:szCs w:val="20"/>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 and the economy as a whole;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projections we may provide to the public or our failure to meet these projections;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that of our competitors;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anticipated future size or growth rate of our addressable markets;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Clover Assistant or our other technology;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board members, management or key personnel;</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or reports that securities analysts or others publish about us or our business;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 including those related to Medicare;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 or investigations by governmental authorities;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war, incidents of terrorism, or responses to these events;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epidemics, such as the COVID-19 pandemic, influenza, and other highly communicable diseases;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the stock market with respect to newly public companies, particularly companies in the healthcare and technology industries,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periods of volatility in the trading price of our Class A common stock, in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8" w:name="page49"/>
    <w:bookmarkEnd w:id="48"/>
    <w:p>
      <w:pPr>
        <w:jc w:val="both"/>
        <w:spacing w:after="0" w:line="292" w:lineRule="auto"/>
        <w:rPr>
          <w:sz w:val="20"/>
          <w:szCs w:val="20"/>
          <w:color w:val="auto"/>
        </w:rPr>
      </w:pPr>
      <w:r>
        <w:rPr>
          <w:rFonts w:ascii="Times New Roman" w:cs="Times New Roman" w:eastAsia="Times New Roman" w:hAnsi="Times New Roman"/>
          <w:sz w:val="17"/>
          <w:szCs w:val="17"/>
          <w:color w:val="auto"/>
        </w:rPr>
        <w:t>indemnification for our officers and directors for certain claims in connection with such litigation. Large indemnity payments could adversely affect our business, results of operations,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Class A common stock price declines from current levels, our Class A common stock may be subject to delisting from NASDAQ</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If the closing bid price of our Class A common stock is less than $1.00 per share for 30 consecutive trading days, we may receive a letter from the staff of The NASDAQ Stock Market LLC stating that our Class A common stock will be delisted unless we are able to regain compliance with the minimum price Nasdaq Listing Rule requirement. The listing requirement provides that we must maintain a closing bid price for our Class A common stock of at least $1.00 per share. We cannot guarantee that our stock price will continue to trade above $1.00 per share or otherwise meet the NASDAQ listing requirements. Therefore our Class A common stock may in the future be subject to delisting. If our Class A common stock is delisted, this would, among other things, substantially impair our ability to raise additional funds and could result in a loss of institutional investor interest and fewer development opportunities for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performance may differ from any projections that we disclose or any information that may be attributed to us by third parties.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of which are not predictable or within our control. Other unknown or unpredictable factors also could adversely impact our performance. Except as required by law,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2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Sales of substantial amounts of our securities in the public markets, or the perception that they might occur, could cause the market price of our Class A common stock to decline.</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2022, our directors and officers and their affiliated entities collectively owned approximately 20.9% of the total outstanding shares of Class A and Class B common stock.</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at December 31, 2022, we had options outstanding that, if fully exercised, would result in the issuance of 25,631,685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our internal control over financial reporting for the year ended December 31, 2021. While management remediated these material weaknesses in the first quarter of 2022, our failure to establish and maintain effective internal control over financial reporting more generally could adversely affect our ability to produce timely and accurate financial statements and comply with disclosure and other requirements. This could harm investor confidence in our company and the trading price of our Class A common stock.</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connection with the preparation of the audited financial statements of our company and its consolidated subsidiaries for the year ended December 31, 2021, we identified a material weakness in our internal control over financial reporting.</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management remediated this material weakness in the first quarter of 2022, our remedial measures related to the material weakness that we identified for the year ended December 31, 2021 may be insufficient to address the material weakness. Furthermore, additional weaknesses in our disclosure controls and internal control over financial reporting may be discovered in the future. Further,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9" w:name="page50"/>
    <w:bookmarkEnd w:id="49"/>
    <w:p>
      <w:pPr>
        <w:jc w:val="both"/>
        <w:spacing w:after="0" w:line="260" w:lineRule="auto"/>
        <w:rPr>
          <w:sz w:val="20"/>
          <w:szCs w:val="20"/>
          <w:color w:val="auto"/>
        </w:rPr>
      </w:pPr>
      <w:r>
        <w:rPr>
          <w:rFonts w:ascii="Times New Roman" w:cs="Times New Roman" w:eastAsia="Times New Roman" w:hAnsi="Times New Roman"/>
          <w:sz w:val="17"/>
          <w:szCs w:val="17"/>
          <w:color w:val="auto"/>
        </w:rPr>
        <w:t>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This would likely have a negative effect on the trading price of our Class A common stock.</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order to maintain and improve our disclosure controls and procedures and internal control over financial reporting, we have expended, and anticipate that we will continue to expend, significant resources, including accounting-related costs and investments to strengthen and maintain our accounting systems and significant management oversight. If any of these new or improved controls and systems do not perform as expected, we may experience additional material weaknesses in our controls.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control with certain stockholders, including our directors and executive officers and their respective affiliates, who held in the aggregate 66.5% of the voting power of our capital stock at December 31, 2022.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At December 31, 2022, our directors, executive officers, and their affiliates held in the aggregate 66.5%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43,490,333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7"/>
          <w:szCs w:val="17"/>
          <w:color w:val="auto"/>
        </w:rPr>
        <w:t>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dual class structure may negatively impact the trading price of our Class A common stock.</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Certain index providers have announced restrictions on including companies with multiple-class share structures in certain of their indices. For example, S&amp;P Dow Jones has announced restrictions on including companies with multiple-class share structures in certain of their indices, including the S&amp;P 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 Our directors, executive officers and principal stockholders will have substantial control over us, which could limit the ability of our other stockholders to influence the outcome of key transactions, including a change of control.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to offset future taxable income may be subject to certain limitations.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At December 31, 2022, we had approximately $1,401.6 million of federal net operating loss carryforwards. The federal net operating loss carryforwards created subsequent to the year ended December 31, 2017, of $1,106.1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Restrictions on our ability to obtain funds from our regulated subsidiaries could materially and adversely affect our results of operations, financial condition and cash flows.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condition, and cash flows could be materially and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divert management's attention.</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or the Exchange Act, the listing standards of Nasdaq and other applicable securities rules and regulations. The requirements of these rules and regulations have increased, and will continue to increase our legal, accounting, and financial compliance costs, made some activities more difficult, time-consuming, and costly, and placed significant strain on our personnel, systems, and resources. For example, the Exchange Act requires, among other things, that we file annual, quarterly, and current reports with respect to our business and results of operations.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1" w:name="page52"/>
    <w:bookmarkEnd w:id="51"/>
    <w:p>
      <w:pPr>
        <w:jc w:val="both"/>
        <w:spacing w:after="0" w:line="264" w:lineRule="auto"/>
        <w:rPr>
          <w:sz w:val="20"/>
          <w:szCs w:val="20"/>
          <w:color w:val="auto"/>
        </w:rPr>
      </w:pPr>
      <w:r>
        <w:rPr>
          <w:rFonts w:ascii="Times New Roman" w:cs="Times New Roman" w:eastAsia="Times New Roman" w:hAnsi="Times New Roman"/>
          <w:sz w:val="17"/>
          <w:szCs w:val="17"/>
          <w:color w:val="auto"/>
        </w:rPr>
        <w:t>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taxing authorities of the jurisdictions in which we operate may challenge our methodologies for valuing developed technology or intercompany arrangements, which could increase our effective tax rate and harm our financial condition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results of operations in the period or periods for which such determination is made.</w:t>
      </w:r>
    </w:p>
    <w:p>
      <w:pPr>
        <w:spacing w:after="0" w:line="200" w:lineRule="exact"/>
        <w:rPr>
          <w:sz w:val="20"/>
          <w:szCs w:val="20"/>
          <w:color w:val="auto"/>
        </w:rPr>
      </w:pPr>
    </w:p>
    <w:p>
      <w:pPr>
        <w:spacing w:after="0" w:line="2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trading price and trading volume could decline if securities or industry analysts do not publish research about our business, or if they publish unfavorable research.</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continue to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Applicable insurance laws may make it difficult to effect a change of control.</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applicable state insurance laws and regulations, no person may acquire control of a domestic insurer until written approval, or exemption therefrom, is obtained from the state insurance commissioner for the proposed acquisition. Such approval would be contingent upon the state insurance commissioner's consideration of a number of factors including, among others, the financial strength of the proposed acquire, the acquirer's plans for the future operations of the domestic insurer and any anti-competitive results that may arise from the consummation of the acquisition of control.</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2" w:name="page53"/>
    <w:bookmarkEnd w:id="52"/>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corporate charter documents and under Delaware law may prevent or hinder attempts by our stockholders to change our management or to acquire a controlling interest in us. The trading price of our Class A common stock may decline as a result.</w:t>
      </w:r>
    </w:p>
    <w:p>
      <w:pPr>
        <w:spacing w:after="0" w:line="1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263" w:lineRule="exact"/>
        <w:rPr>
          <w:sz w:val="20"/>
          <w:szCs w:val="20"/>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so that not all members of our Board are elected at one time;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to determine the number of directors and to fill any vacancies and newly created directorships;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our directors may only be removed for cause;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cumulative voting for directors;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of a super-majority to amend some provisions in our amended and restated certificate of incorporation and amended and restated bylaws;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 of the issuance of "blank check" preferred stock that our Board could use to implement a "poison pill" to deter a takeover of our company;</w:t>
      </w:r>
    </w:p>
    <w:p>
      <w:pPr>
        <w:spacing w:after="0" w:line="43"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combined Class B and Class A common stock, including the election of directors and significant corporate transactions, such as a merger or other sale of our company or its assets;</w:t>
      </w:r>
    </w:p>
    <w:p>
      <w:pPr>
        <w:spacing w:after="0" w:line="64"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of our stockholders to call special meetings of stockholders;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actions by written consent, thereby requiring that all stockholder actions be taken at a meeting of our stockholders.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3" w:name="page54"/>
    <w:bookmarkEnd w:id="53"/>
    <w:p>
      <w:pPr>
        <w:jc w:val="both"/>
        <w:spacing w:after="0" w:line="273" w:lineRule="auto"/>
        <w:rPr>
          <w:sz w:val="20"/>
          <w:szCs w:val="20"/>
          <w:color w:val="auto"/>
        </w:rPr>
      </w:pPr>
      <w:r>
        <w:rPr>
          <w:rFonts w:ascii="Times New Roman" w:cs="Times New Roman" w:eastAsia="Times New Roman" w:hAnsi="Times New Roman"/>
          <w:sz w:val="17"/>
          <w:szCs w:val="17"/>
          <w:color w:val="auto"/>
        </w:rPr>
        <w:t>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7"/>
          <w:szCs w:val="17"/>
          <w:color w:val="000000"/>
        </w:rPr>
        <w:t>results</w:t>
      </w:r>
      <w:r>
        <w:rPr>
          <w:rFonts w:ascii="Times New Roman" w:cs="Times New Roman" w:eastAsia="Times New Roman" w:hAnsi="Times New Roman"/>
          <w:sz w:val="17"/>
          <w:szCs w:val="17"/>
          <w:color w:val="231F20"/>
        </w:rPr>
        <w:t xml:space="preserve"> of operation.</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Information concerning legal proceedings can be found in Note 21 (Commitments and Contingencies) to the consolidated financial statements included in Part II, Item 8 of this Form 10-K, which information is incorporated by reference into this item.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Class A common stock is listed on The Nasdaq Stock Market under the ticker symbol "CLOV." Our Class B common stock is not listed on any securities exchange.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February 20, 2022, there were 330 holders of record of our Class A common stock and 307 holders of record of our Class B common stock. Such figures do not include beneficial owners holding our securities through nominee names.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not declared or paid any dividends on shares of common stock and does not intend to pay dividends in the foreseeable future. The declaration, amount, and payment of any future dividend will be at the sole discretion of our Board, and the Board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to our stockholders, and such other factors as the Board may deem relevant.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purchase any shares of our common stock during the year ended December 31, 2022.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152400</wp:posOffset>
            </wp:positionV>
            <wp:extent cx="3956050" cy="3280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56050" cy="328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95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consolidated financial statements and notes thereto for the year ended December 31, 2022, contained in this Annual Report on Form 10-K (the "Form 10-K"). The following discussion and analysis does not include certain items related to the year ended December 31, 2021, including year-to-year comparisons between the year ended December 31, 2021 and the year ended December 31, 2020. For a discussion of these items and comparison of our results of operations for the fiscal years ended December 31, 2021 and December 31, 2020, see Item 7. Management's Discussion and Analysis of Financial Condition and Results of Operations of our Annual Report on Form 10-K for the year ended December 31, 2021, filed with the SEC on February 28, 2022. This discussion contains forward-looking statements and involves numerous risks and uncertainties, including, but not limited to, those described in the "Risk Factors" section of this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Clover Health, our vision is to empower Medicare physicians to identify and manage chronic diseases early. Our strategy is to improve the care of our Medicare beneficiaries,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operate Preferred Provider Organization ("PPO") and Health Maintenance Organization ("HMO") Medicare Advantage ("MA") plans for Medicare-eligible consumers. We aim to provide high-quality, affordable healthcare for all Medicare beneficiaries. We offer most members in our MA plans (the "members") among the lowest average out-of-pocket costs for primary care provider and specialist co-pays, drug deductibles and drug costs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January 1, 2023, we operated our MA plans in eight states and 220 counties, with 84,138 members.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April 1, 2021, our subsidiary, Clover Health Partners, LLC ("Health Partners"), began participating as a Direct Contracting Entity ("DCE") in the Global and Professional Direct Contracting Model ("DC Model") of the Centers for Medicare and Medicaid Services ("CMS"), which transitioned to the Accountable Care Organization Realizing Equity, Access, and Community Health Model ("ACO REACH Model" or "ACO REACH") in January 2023. Our DCE assumes full risk (i.e., 100.0% shared savings and shared losses) for the total cost of care of aligned Original Medicare beneficiaries (the "Non-Insurance Beneficiaries" and, collectively with the members, "Lives under Clover Management" or the "beneficiaries"). Through our Direct Contracting operations, we focus on leveraging Clover Assistant to enhance healthcare delivery, reduce expenditures, and improve care for our Non-Insurance Beneficiaries. At December 31, 2022, we had approximately 1,560 contracted participant providers who manage primary care for our Non-Insurance Beneficiaries in 21 states. Additionally, at December 31, 2022, we had approximately 1,675 preferred providers and preferred facilities in our DCE network. In connection with the 2023 performance year, we strategically reduced the number of ACO REACH participating physicians, which resulted in a shift in our beneficiary alignment.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Our participation in the DC Model has enabled us to move beyond the MA market and target the Medicare fee-for-service ("FFS") market, which is the largest segment of Medicare. We believe that expanding into the FFS market is not only a strategic milestone for Clover but also demonstrates the scalability of Clover Assistant. Furthermore, we believe that offering providers multiple options within CMS' "Pathways to Success" will enable us to be accessible to more practices. Beyond ACO REACH, exploring other additional plans such as MSSP-A ("Medicare Shared Savings Program BASIC level A") and Medicare Shared Savings Plan ENHANCED ("MSSP Enhanced"), would diversify our portfolio, allow for potential growth in lives under management, and provide an opportunity for better balancing the overall risk profile of the business.</w:t>
      </w:r>
    </w:p>
    <w:p>
      <w:pPr>
        <w:spacing w:after="0" w:line="200" w:lineRule="exact"/>
        <w:rPr>
          <w:sz w:val="20"/>
          <w:szCs w:val="20"/>
          <w:color w:val="auto"/>
        </w:rPr>
      </w:pPr>
    </w:p>
    <w:p>
      <w:pPr>
        <w:spacing w:after="0" w:line="2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2022, we were partnering with providers to care for 253,514 Lives under Clover Management, which included 88,627 Insurance members and 164,887 aligned Non-Insurance Beneficiaries.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Expansion</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July 14, 2022, we announced plans to make our MA plans available in 13 new counties beginning in 2023. This expansion makes our MA plans available in a total of 220 counties across eight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Coronavirus Disease 2019 ("COVID-19") pandemic and its variants continues to evolve, and the impact on our business, results of operations, financial condition, and cash flows stabilized during the year ended December 31, 2022. 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years ended December 31, 2022 and 2021, we incurred elevated costs as compared to prior to the outbreak of the pandemic in 2020 to diagnose and care for those members who had contracted the virus. Indirect costs attributable to the COVID-19 pandemic were elevated as well, as deferral of services and increased costs related to conditions that were exacerbated by a lack of diagnosis and treatment in the earlier periods of the pandemic contributed to increased utilization.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Measures of Our Operating Segments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DC Model, which transitioned to the ACO REACH Model beginning in 2023. All other clinical services and all corporate overhead not included in the reportable segments are included within Corporate/Other.</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These segment groupings are consistent with the information used by our Chief Executive Officer (identified as our chief operating decision maker) to assess performance and allocate the Company's resources.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segment</w:t>
      </w:r>
    </w:p>
    <w:p>
      <w:pPr>
        <w:spacing w:after="0" w:line="2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80" w:type="dxa"/>
            <w:vAlign w:val="bottom"/>
            <w:tcBorders>
              <w:bottom w:val="single" w:sz="8" w:color="auto"/>
            </w:tcBorders>
          </w:tcPr>
          <w:p>
            <w:pPr>
              <w:spacing w:after="0"/>
              <w:rPr>
                <w:sz w:val="19"/>
                <w:szCs w:val="19"/>
                <w:color w:val="auto"/>
              </w:rPr>
            </w:pPr>
          </w:p>
        </w:tc>
      </w:tr>
      <w:tr>
        <w:trPr>
          <w:trHeight w:val="253"/>
        </w:trPr>
        <w:tc>
          <w:tcPr>
            <w:tcW w:w="5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PMPM </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xml:space="preserve">PMPM </w:t>
            </w:r>
            <w:r>
              <w:rPr>
                <w:rFonts w:ascii="Times New Roman" w:cs="Times New Roman" w:eastAsia="Times New Roman" w:hAnsi="Times New Roman"/>
                <w:sz w:val="22"/>
                <w:szCs w:val="22"/>
                <w:b w:val="1"/>
                <w:bCs w:val="1"/>
                <w:color w:val="auto"/>
                <w:vertAlign w:val="superscript"/>
              </w:rPr>
              <w:t>(1)</w:t>
            </w:r>
          </w:p>
        </w:tc>
      </w:tr>
      <w:tr>
        <w:trPr>
          <w:trHeight w:val="182"/>
        </w:trPr>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80" w:type="dxa"/>
            <w:vAlign w:val="bottom"/>
            <w:gridSpan w:val="8"/>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(Premium and expense amounts in thousands, except PMPM amounts)</w:t>
            </w:r>
          </w:p>
        </w:tc>
      </w:tr>
      <w:tr>
        <w:trPr>
          <w:trHeight w:val="22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members as of period end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88,627</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68,120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Premiums earned, gross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1,085,339</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799,903</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Premiums earned,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21"/>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Insurance medical claim expense incurred, gross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997,576</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848,288</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996,410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847,286</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21"/>
        </w:trPr>
        <w:tc>
          <w:tcPr>
            <w:tcW w:w="55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17"/>
                <w:szCs w:val="17"/>
                <w:color w:val="auto"/>
              </w:rPr>
              <w:t xml:space="preserve">Medical care ratio, gross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91.9 %</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9"/>
                <w:szCs w:val="19"/>
                <w:color w:val="auto"/>
              </w:rPr>
            </w:pP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106.0 %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Medical care ratio,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6266180</wp:posOffset>
            </wp:positionH>
            <wp:positionV relativeFrom="paragraph">
              <wp:posOffset>-1111885</wp:posOffset>
            </wp:positionV>
            <wp:extent cx="577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52" w:lineRule="exact"/>
        <w:rPr>
          <w:sz w:val="20"/>
          <w:szCs w:val="20"/>
          <w:color w:val="auto"/>
        </w:rPr>
      </w:pPr>
    </w:p>
    <w:p>
      <w:pPr>
        <w:ind w:left="160" w:hanging="156"/>
        <w:spacing w:after="0" w:line="266" w:lineRule="auto"/>
        <w:tabs>
          <w:tab w:leader="none" w:pos="131"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71" w:lineRule="exact"/>
        <w:rPr>
          <w:rFonts w:ascii="Times New Roman" w:cs="Times New Roman" w:eastAsia="Times New Roman" w:hAnsi="Times New Roman"/>
          <w:sz w:val="16"/>
          <w:szCs w:val="16"/>
          <w:color w:val="auto"/>
          <w:vertAlign w:val="superscript"/>
        </w:rPr>
      </w:pPr>
    </w:p>
    <w:p>
      <w:pPr>
        <w:ind w:left="200" w:hanging="196"/>
        <w:spacing w:after="0"/>
        <w:tabs>
          <w:tab w:leader="none" w:pos="20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Insurance gross medical claims incurred divided by premiums earned, gross.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color w:val="auto"/>
        </w:rPr>
        <w:t>Membership and associated premiums earned and medical claim expenses.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gross.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net.</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3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gross medical claims incurred.</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net medical claims incurred.</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Medical care ratio, gross and net.</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calculate our medical care ratio ("MCR") by dividing total Insurance medical claim expenses incurred by premiums earned, in each case on a gross or net basis, as the case may be, in a given period. We believe our MCR is an indicator of our gross margin for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8" w:name="page59"/>
    <w:bookmarkEnd w:id="58"/>
    <w:p>
      <w:pPr>
        <w:jc w:val="both"/>
        <w:spacing w:after="0" w:line="292" w:lineRule="auto"/>
        <w:rPr>
          <w:sz w:val="20"/>
          <w:szCs w:val="20"/>
          <w:color w:val="auto"/>
        </w:rPr>
      </w:pPr>
      <w:r>
        <w:rPr>
          <w:rFonts w:ascii="Times New Roman" w:cs="Times New Roman" w:eastAsia="Times New Roman" w:hAnsi="Times New Roman"/>
          <w:sz w:val="17"/>
          <w:szCs w:val="17"/>
          <w:color w:val="auto"/>
        </w:rPr>
        <w:t>our Insurance plans and the ability of our Clover Assistant platform to capture and analyze data over time to generate actionable insights for returning members to improve care and reduce medical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segment</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Non-Insurance segment consists of operations in connection with our participation in the Direct Contracting program, which we began in April 2021 and which transitioned to the ACO REACH Model beginning in 2023. As part of our Non-Insurance operations, we empower providers with Clover Assistant and offer a variety of programs aimed at reducing expenditures and preserving or enhancing the quality of care for our Non-Insurance Beneficiaries.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60" w:type="dxa"/>
            <w:vAlign w:val="bottom"/>
          </w:tcPr>
          <w:p>
            <w:pPr>
              <w:spacing w:after="0"/>
              <w:rPr>
                <w:sz w:val="19"/>
                <w:szCs w:val="19"/>
                <w:color w:val="auto"/>
              </w:rPr>
            </w:pPr>
          </w:p>
        </w:tc>
      </w:tr>
      <w:tr>
        <w:trPr>
          <w:trHeight w:val="214"/>
        </w:trPr>
        <w:tc>
          <w:tcPr>
            <w:tcW w:w="5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7"/>
                <w:szCs w:val="17"/>
                <w:b w:val="1"/>
                <w:bCs w:val="1"/>
                <w:color w:val="auto"/>
              </w:rPr>
              <w:t xml:space="preserve">PBPM </w:t>
            </w:r>
            <w:r>
              <w:rPr>
                <w:rFonts w:ascii="Times New Roman" w:cs="Times New Roman" w:eastAsia="Times New Roman" w:hAnsi="Times New Roman"/>
                <w:sz w:val="22"/>
                <w:szCs w:val="22"/>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3"/>
              <w:spacing w:after="0" w:line="213" w:lineRule="exact"/>
              <w:rPr>
                <w:sz w:val="20"/>
                <w:szCs w:val="20"/>
                <w:color w:val="auto"/>
              </w:rPr>
            </w:pPr>
            <w:r>
              <w:rPr>
                <w:rFonts w:ascii="Times New Roman" w:cs="Times New Roman" w:eastAsia="Times New Roman" w:hAnsi="Times New Roman"/>
                <w:sz w:val="17"/>
                <w:szCs w:val="17"/>
                <w:b w:val="1"/>
                <w:bCs w:val="1"/>
                <w:color w:val="auto"/>
              </w:rPr>
              <w:t xml:space="preserve">PBPM </w:t>
            </w:r>
            <w:r>
              <w:rPr>
                <w:rFonts w:ascii="Times New Roman" w:cs="Times New Roman" w:eastAsia="Times New Roman" w:hAnsi="Times New Roman"/>
                <w:sz w:val="22"/>
                <w:szCs w:val="22"/>
                <w:b w:val="1"/>
                <w:bCs w:val="1"/>
                <w:color w:val="auto"/>
                <w:vertAlign w:val="superscript"/>
              </w:rPr>
              <w:t>(1)</w:t>
            </w:r>
          </w:p>
        </w:tc>
      </w:tr>
      <w:tr>
        <w:trPr>
          <w:trHeight w:val="182"/>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(Revenue and claims amounts in thousands, except PBPM amounts)</w:t>
            </w:r>
          </w:p>
        </w:tc>
      </w:tr>
      <w:tr>
        <w:trPr>
          <w:trHeight w:val="226"/>
        </w:trPr>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Beneficiaries as of period end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164,887</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61,876</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667,639</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21"/>
        </w:trPr>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2,460,879</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705,407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9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xml:space="preserve">Non-Insurance MCR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24"/>
                <w:szCs w:val="24"/>
                <w:color w:val="auto"/>
              </w:rPr>
            </w:pP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103.4 %</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4"/>
                <w:szCs w:val="24"/>
                <w:color w:val="auto"/>
              </w:rPr>
            </w:pPr>
          </w:p>
        </w:tc>
        <w:tc>
          <w:tcPr>
            <w:tcW w:w="14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105.7 %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45" w:lineRule="exact"/>
        <w:rPr>
          <w:sz w:val="20"/>
          <w:szCs w:val="20"/>
          <w:color w:val="auto"/>
        </w:rPr>
      </w:pPr>
    </w:p>
    <w:p>
      <w:pPr>
        <w:ind w:left="160" w:hanging="156"/>
        <w:spacing w:after="0" w:line="266" w:lineRule="auto"/>
        <w:tabs>
          <w:tab w:leader="none" w:pos="131"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beneficiary per month ("PBPM") figures are based on the applicable amount divided by beneficiary months in the given period. Beneficiary months represents the number of months beneficiaries are aligned to our DCE in the period.</w:t>
      </w:r>
    </w:p>
    <w:p>
      <w:pPr>
        <w:spacing w:after="0" w:line="19" w:lineRule="exact"/>
        <w:rPr>
          <w:rFonts w:ascii="Times New Roman" w:cs="Times New Roman" w:eastAsia="Times New Roman" w:hAnsi="Times New Roman"/>
          <w:sz w:val="16"/>
          <w:szCs w:val="16"/>
          <w:color w:val="auto"/>
          <w:vertAlign w:val="superscript"/>
        </w:rPr>
      </w:pPr>
    </w:p>
    <w:p>
      <w:pPr>
        <w:ind w:left="140" w:hanging="136"/>
        <w:spacing w:after="0"/>
        <w:tabs>
          <w:tab w:leader="none" w:pos="1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Non-Insurance net medical claims incurred divided by Non-Insurance revenues.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Beneficiaries.</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 Non-Insurance Beneficiary is defined as an eligible Original Medicare covered life that has been aligned to our DCE, Health Partners, via attribution to a DCE-participant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revenue.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the sum of the capitation payments made to us for services within the scope of our capitation arrangement and FFS payments made to providers directly from CMS. Non-Insurance revenue is also known in the DC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DC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net medical claims incurred.</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Non-Insurance net medical claims incurred consist of the total incurred expense that CMS and we will remit for medical services provided on behalf of Non-Insurance Beneficiaries during the months in which they are alignment eligible and aligned to the DCE. Additionally, Non-Insurance net medical claims incurred are inclusive of fees paid to providers for Clover Assistant usage, care coordination, and any shared savings or shared loss agreements with providers.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MCR.</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2022 and 2021</w:t>
      </w:r>
    </w:p>
    <w:p>
      <w:pPr>
        <w:spacing w:after="0" w:line="1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consolidated results of operations for the years ended December 31, 2022 and 2021. The period-to-period comparison of results is not necessarily indicative of results for future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Years ended</w:t>
            </w:r>
          </w:p>
        </w:tc>
        <w:tc>
          <w:tcPr>
            <w:tcW w:w="160" w:type="dxa"/>
            <w:vAlign w:val="bottom"/>
          </w:tcPr>
          <w:p>
            <w:pPr>
              <w:spacing w:after="0"/>
              <w:rPr>
                <w:sz w:val="17"/>
                <w:szCs w:val="17"/>
                <w:color w:val="auto"/>
              </w:rPr>
            </w:pPr>
          </w:p>
        </w:tc>
        <w:tc>
          <w:tcPr>
            <w:tcW w:w="2020" w:type="dxa"/>
            <w:vAlign w:val="bottom"/>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Change between</w:t>
            </w:r>
          </w:p>
        </w:tc>
      </w:tr>
      <w:tr>
        <w:trPr>
          <w:trHeight w:val="231"/>
        </w:trPr>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20"/>
                <w:szCs w:val="20"/>
                <w:color w:val="auto"/>
              </w:rPr>
            </w:pPr>
          </w:p>
        </w:tc>
        <w:tc>
          <w:tcPr>
            <w:tcW w:w="2020" w:type="dxa"/>
            <w:vAlign w:val="bottom"/>
            <w:gridSpan w:val="3"/>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 and 2021</w:t>
            </w:r>
          </w:p>
        </w:tc>
      </w:tr>
      <w:tr>
        <w:trPr>
          <w:trHeight w:val="216"/>
        </w:trPr>
        <w:tc>
          <w:tcPr>
            <w:tcW w:w="6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6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69"/>
        </w:trPr>
        <w:tc>
          <w:tcPr>
            <w:tcW w:w="668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Premiums earned, net (Net of ceded premiums of $470 and $489 for the years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2022 and 2021, respectively)</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285,455</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35.7 %</w:t>
            </w:r>
          </w:p>
        </w:tc>
      </w:tr>
      <w:tr>
        <w:trPr>
          <w:trHeight w:val="221"/>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1,712,496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256.5</w:t>
            </w:r>
          </w:p>
        </w:tc>
      </w:tr>
      <w:tr>
        <w:trPr>
          <w:trHeight w:val="260"/>
        </w:trPr>
        <w:tc>
          <w:tcPr>
            <w:tcW w:w="6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6,740</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136.4</w:t>
            </w:r>
          </w:p>
        </w:tc>
      </w:tr>
      <w:tr>
        <w:trPr>
          <w:trHeight w:val="214"/>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3,476,687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1,471,996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2,004,691</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136.2</w:t>
            </w:r>
          </w:p>
        </w:tc>
      </w:tr>
      <w:tr>
        <w:trPr>
          <w:trHeight w:val="201"/>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1,902,774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122.7</w:t>
            </w:r>
          </w:p>
        </w:tc>
      </w:tr>
      <w:tr>
        <w:trPr>
          <w:trHeight w:val="260"/>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Salaries and benefits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278,725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80" w:type="dxa"/>
            <w:vAlign w:val="bottom"/>
          </w:tcPr>
          <w:p>
            <w:pPr>
              <w:spacing w:after="0"/>
              <w:rPr>
                <w:sz w:val="22"/>
                <w:szCs w:val="22"/>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7.0</w:t>
            </w:r>
          </w:p>
        </w:tc>
      </w:tr>
      <w:tr>
        <w:trPr>
          <w:trHeight w:val="221"/>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12.2</w:t>
            </w:r>
          </w:p>
        </w:tc>
      </w:tr>
      <w:tr>
        <w:trPr>
          <w:trHeight w:val="221"/>
        </w:trPr>
        <w:tc>
          <w:tcPr>
            <w:tcW w:w="6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Premium deficiency reserve (benefit)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(204,868)</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(4.7)</w:t>
            </w:r>
          </w:p>
        </w:tc>
      </w:tr>
      <w:tr>
        <w:trPr>
          <w:trHeight w:val="221"/>
        </w:trPr>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Other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(63.4)</w:t>
            </w:r>
          </w:p>
        </w:tc>
      </w:tr>
      <w:tr>
        <w:trPr>
          <w:trHeight w:val="214"/>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3,847,611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2,108,988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1,738,623</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82.4</w:t>
            </w:r>
          </w:p>
        </w:tc>
      </w:tr>
      <w:tr>
        <w:trPr>
          <w:trHeight w:val="214"/>
        </w:trPr>
        <w:tc>
          <w:tcPr>
            <w:tcW w:w="6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266,068</w:t>
            </w:r>
          </w:p>
        </w:tc>
        <w:tc>
          <w:tcPr>
            <w:tcW w:w="8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(41.8)</w:t>
            </w:r>
          </w:p>
        </w:tc>
      </w:tr>
      <w:tr>
        <w:trPr>
          <w:trHeight w:val="260"/>
        </w:trPr>
        <w:tc>
          <w:tcPr>
            <w:tcW w:w="6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1"/>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(58.3)</w:t>
            </w:r>
          </w:p>
        </w:tc>
      </w:tr>
      <w:tr>
        <w:trPr>
          <w:trHeight w:val="221"/>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(13,687)</w:t>
            </w:r>
          </w:p>
        </w:tc>
        <w:tc>
          <w:tcPr>
            <w:tcW w:w="8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(99.8)</w:t>
            </w:r>
          </w:p>
        </w:tc>
      </w:tr>
      <w:tr>
        <w:trPr>
          <w:trHeight w:val="22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investment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6373495</wp:posOffset>
            </wp:positionH>
            <wp:positionV relativeFrom="paragraph">
              <wp:posOffset>-24130</wp:posOffset>
            </wp:positionV>
            <wp:extent cx="5778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-24130</wp:posOffset>
            </wp:positionV>
            <wp:extent cx="5778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-1343025</wp:posOffset>
            </wp:positionV>
            <wp:extent cx="57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-1343025</wp:posOffset>
            </wp:positionV>
            <wp:extent cx="577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-2496820</wp:posOffset>
            </wp:positionV>
            <wp:extent cx="577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-2496820</wp:posOffset>
            </wp:positionV>
            <wp:extent cx="577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-3329305</wp:posOffset>
            </wp:positionV>
            <wp:extent cx="57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61" w:lineRule="exact"/>
        <w:rPr>
          <w:sz w:val="20"/>
          <w:szCs w:val="20"/>
          <w:color w:val="auto"/>
        </w:rPr>
      </w:pPr>
    </w:p>
    <w:p>
      <w:pPr>
        <w:ind w:left="160" w:hanging="156"/>
        <w:spacing w:after="0" w:line="261" w:lineRule="auto"/>
        <w:tabs>
          <w:tab w:leader="none" w:pos="25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Premiums earned, net</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Premiums earned, net increased $285.5 million, or 35.7%, to $1,084.9 million for the year ended December 31, 2022, compared to the year ended December 31, 2021. The increase was primarily due to membership growth of 30.1% from 68,120 Insurance members at December 31, 2021, to 88,627 Insurance members at December 31, 2022. The remaining increase is primarily driven by an increase in accrued risk adjustment revenue recognized during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revenue</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Non-Insurance revenue increased $1,712.5 million, or 256.5%, to $2,380.1 million for the year ended December 31, 2022, compared to the year ended December 31, 2021. The increase was primarily driven by an increase in the number of our aligned Non-Insurance Beneficiaries from 61,876 at December 31, 2021, to 164,887 at December 31, 2022, due to the fact that our DCE did not begin participation in Direct Contracting until the second quarter of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Other income increased $6.7 million, or 136.4%, to $11.7 million for the year ended December 31, 2022, compared to the year ended December 31, 2021. The increase was largely due to a $7.1 million increase in net investment income, partially offset by a $1.2 million decrease in rental income.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Net medical claims incurred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medical claims incurred increased $1,902.8 million, or 122.7%, to $3,454.0 million for the year ended December 31, 2022, compared to the year ended December 31, 2021. The increase was primarily driven by an increase in net medical claims attributable to our Non-Insurance Beneficiaries from $705.4 million for the year ended December 31, 2021, to $2,460.9 million for the year ended December 31, 2022, which was driven by an increase in the number of our aligned Non-Insurance Beneficiaries from 61,876 at December 31, 2021, to 164,887 at December 31, 2022. This was partially due to the fact that our DCE did not begin participation in Direct Contracting until the second quarter of 2021. We also experienced an increase of $149.1 million in net medical claims attributable to our Insurance members, which was primarily driven by an increase in Insurance members from 68,120 Insurance members at December 31, 2021, to 88,627 Insurance members at December 31,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Salaries and benefits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Salaries and benefits increased $18.3 million, or 7.0%, to $278.7 million for the year ended December 31, 2022, compared to the year ended December 31,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was primarily driven by an increase in average headcount which is primarily attributable to the build out of DCE.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increased $22.6 million, or 12.2%, to $207.9 million for the year ended December 31, 2022, compared to the year ended December 31, 2021. The increase was primarily driven by increases in professional fees related to supporting the administrative needs of a larger member and Non-Insurance beneficiary groups as compared to the prior period. Professional fees increased $11.3 million for the year ended December 31, 2022, compared to the year ended December 31, 2021. In addition, total commissions, which are attributable to acquiring new and retaining existing members to our plans, increased by $9.5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 (benefit) expense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$94.2 million premium deficiency reserve benefit was recorded for the year ended December 31, 2022, which was primarily driven by amortization associated with the 2021 recorded reserve. This was partially offset by the establishment of the new Premium deficiency reserve related to 2023. A $110.6 million premium deficiency reserve expense was recorded for the year ended December 31, 2021, which included amortization associated with a previously recorded reserve and the reserve deemed necessary for the remainder of 2022. The increase in the premium deficiency benefit for the year ended December 31, 2022 was primarily driven by an 11% decrease in the allocable administrative expenses and a 9% benefit in projected MCR as compared to the projected MCR for the year ended December 31, 2021. The Company received a higher contracted rate with CMS under Clover's 3.5 quality star rating for its PPO plan as well as maturation of Clover's core clinical programs, which favorably impacted projected MCR.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warrants</w:t>
      </w:r>
    </w:p>
    <w:p>
      <w:pPr>
        <w:spacing w:after="0" w:line="1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Change in fair value of warrants totaled $0.9 million for the year ended December 31, 2022. The $65.2 million increase as compared to the year ended December 31, 2021 is primarily driven by the mark-to-market adjustments and subsequent redemption of all the Public Warrants and Private Warrants during the prior period.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Interest expense decreased $1.9 million, or 58.3%, to $1.3 million for the year ended December 31, 2022, compared to the year ended December 31, 2021, primarily due to the voluntary prepayment and termination of the remaining principal and interest associated with our Term Loan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Amortization of notes and securities discounts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of notes and securities discounts decreased by $13.7 million, or 99.8%, in the year ended December 31, 2022, compared to the year ended December 31, 2021. This was primarily due to the completion of the 2021 Business Combination on January 7, 2021, whereby the unamortized discount associated with the August 2019 tranche of the Convertible Securities was accelerated, as well as the termination of our Term Loan Notes during the year ended December 31, 2021.</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extinguishment of note payable</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Gain on extinguishment of note payable increased by $23.3 million for the year ended December 31, 2022 as compared to the year ended December 31, 2021. This increase is a direct result of the Company's dissolution of Seek Insurance Services, Inc. ("Seek"), a field marketing organization and an indirect wholly-owned subsidiary of the Company. In connection with the dissolution, all amounts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61" w:name="page62"/>
    <w:bookmarkEnd w:id="61"/>
    <w:p>
      <w:pPr>
        <w:jc w:val="both"/>
        <w:spacing w:after="0" w:line="276" w:lineRule="auto"/>
        <w:rPr>
          <w:sz w:val="20"/>
          <w:szCs w:val="20"/>
          <w:color w:val="auto"/>
        </w:rPr>
      </w:pPr>
      <w:r>
        <w:rPr>
          <w:rFonts w:ascii="Times New Roman" w:cs="Times New Roman" w:eastAsia="Times New Roman" w:hAnsi="Times New Roman"/>
          <w:sz w:val="17"/>
          <w:szCs w:val="17"/>
          <w:color w:val="auto"/>
        </w:rPr>
        <w:t>outstanding under a convertible note issued by Seek in 2020 were waived and all other rights, covenants, and obligations under the note were terminated. As a result, the Company recognized a $23.3 million gain on extinguishment.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investment</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February 2022, Character Biosciences completed a private capital transaction in which it raised $17.9 million from the issuance of 16,210,602 shares of its preferred stock. After evaluating our ownership interest in Character Biosciences, we began applying the equity method of accounting during the year ended December 31, 2022, and recorded a gain on investment of $9.2 million, which is attributable to our proportionate share of the gain on equity of that entity during that period. Prior to the first quarter of 2022, this entity was consolidated on our financial statements, and therefore we did not recognize a loss or gain on investment in this entity for the year ended December 31, 2021. In accordance with ASC 323, for the year ended December 31, 2022, we recognized the proportionate share of Character Bioscience's net losses up to the investment carrying amount. At December 31, 2022, we discontinued applying the equity method to account for our common stock interest in Character Biosciences as our net losses exceeded the investment carrying amount. The equity method investment in Character Biosciences was reduced to zero and no further losses were recorded in our consolidated financial statements as we did not guarantee obligations of the investee company or commit additional funding.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3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Historically, we have financed our operations primarily from the proceeds we received through public and private sales of equity securities, funds received in connection with the 2021 Business Combination,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December 31, 2022, total cash, cash equivalents, restricted cash, and investments were $555.3 million. We had cash, cash equivalents, restricted cash, and short-term investments of $227.7 million. Additionally, at December 31, 2022, we had $327.6 million of available-for-sale and held-to-maturity investment securities. Our cash equivalents and investment securities consist primarily of money market funds, U.S. government debt securities, and corporate debt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Unregulated Entities</w:t>
      </w:r>
    </w:p>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At December 31, 2022, total cash, cash equivalents, restricted cash, and investments for the parent company, Clover Health Investments, Corp., and unregulated subsidiaries were $331.7 million.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short-term investments at the parent company, Clover Health Investments, Corp., were $101.4 million and $350.9 million at December 31, 2022 and 2021, respectively. This decrease at the parent company primarily reflects operating expenses and capital contributions made to our regulated insurance subsidiaries. Additionally, the parent company held $136.5 million and $79.3 million of available-for-sale and held-to-maturity investment securities at December 31, 2022 and 2021. Our unregulated subsidiaries held $93.7 million and $52.2 million of cash, cash equivalents, restricted cash, and short-term investments at December 31, 2022 and 2021, respectively. Our unregulated subsidiaries held no available-for-sale and held-to-maturity securities at either December 31, 2022 or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Regulated Entities</w:t>
      </w:r>
    </w:p>
    <w:p>
      <w:pPr>
        <w:spacing w:after="0" w:line="2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regulated insurance subsidiaries held $32.5 million and $190.7 million of cash, cash equivalents, and short-term investments at December 31, 2022 and 2021, respectively. Additionally, our regulated insurance subsidiaries held $191.1 million and $118.0 million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17"/>
          <w:szCs w:val="17"/>
          <w:color w:val="auto"/>
        </w:rPr>
        <w:t>of available-for-sale and held-to-maturity investment securities at December 31, 2022 and 2021,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a detailed discussion of our regulatory requirements, including aggregate statutory capital and surplus as well as dividends paid from the subsidiaries to the parent, please refer to Notes 24 (Dividend Restrictions), 25 (Statutory Equity), and 26 (Regulatory Matters) to the consolidated financial statements included in this Form 10-K, as well as Item 1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for the years ended December 31,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8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r>
      <w:tr>
        <w:trPr>
          <w:trHeight w:val="226"/>
        </w:trPr>
        <w:tc>
          <w:tcPr>
            <w:tcW w:w="8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Data:</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(203,926)</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(282,326)</w:t>
            </w:r>
          </w:p>
        </w:tc>
      </w:tr>
      <w:tr>
        <w:trPr>
          <w:trHeight w:val="221"/>
        </w:trPr>
        <w:tc>
          <w:tcPr>
            <w:tcW w:w="8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95,133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7"/>
                <w:szCs w:val="17"/>
                <w:color w:val="auto"/>
              </w:rPr>
              <w:t>(435,447)</w:t>
            </w:r>
          </w:p>
        </w:tc>
      </w:tr>
      <w:tr>
        <w:trPr>
          <w:trHeight w:val="221"/>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7"/>
                <w:szCs w:val="17"/>
                <w:color w:val="auto"/>
              </w:rPr>
              <w:t>925,393</w:t>
            </w:r>
          </w:p>
        </w:tc>
      </w:tr>
      <w:tr>
        <w:trPr>
          <w:trHeight w:val="21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increase in cash, cash equivalents, and restricted cash</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207,620</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Requirements</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largest source of operating cash flows is capitated payments from CMS. Our primary uses of cash from operating activities are payments for medical benefits and payments of Operating expenses.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2022, Net cash used in operating activities was $203.9 million, which reflects a Net loss of $338.8 million. Non-cash activities included a $164.3 million charge to Stock-based compensation expense, $94.2 million of amortization of the 2022 Premium deficiency reserve, and a $9.2 million Gain on investment related to the change in the equity structure of Character Biosciences. Payments due to CMS related to our Non-Insurance operations increased by $110.4 million. Change in our working capital included an increase within Surety bonds and deposits related to Non-Insurance.</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year ended December 31, 2021, Net cash used in operating activities was $282.3 million, which reflects a Net loss of $587.8 million. Non-cash activities included a $66.1 million gain as a result of the Change in fair value of warrants and a $163.7 million charge to Stock-based compensation expense. Changes to our working capital included a $110.6 million charge to our Premium deficiency reserve and an increase of $10.7 million within Surety bonds and deposits related to Non-Insurance.</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conclusion of the year ended December 31, 2022, we deposited $82.4 million into an escrow account to comply with the standard financial guarantee requirements for participants in the DC Model for performance year 2022. We view this impact as short-term in nature as we expect to settle the performance year 2022 obligation during the third quarter of the year ending December 31, 2023, after which we expect the associated financial guarantee to be released by CMS. Furthermore, we also paid the provisional settlement for the 2021 performance year of Direct Contracting of $60.3 million in 2022. After the year ended December 31, 2022, but prior to the filing date of this Form 10-K, we received approximately $20.8 million related to our performance year 2021 collateral guarantee with CMS.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investing activities for the year ended December 31, 2022, of $95.1 million was primarily due to $485.4 million provided from the sale and maturity of investment securities. This was offset by $369.4 million used to purchase investments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63" w:name="page64"/>
    <w:bookmarkEnd w:id="63"/>
    <w:p>
      <w:pPr>
        <w:jc w:val="both"/>
        <w:spacing w:after="0" w:line="292" w:lineRule="auto"/>
        <w:rPr>
          <w:sz w:val="20"/>
          <w:szCs w:val="20"/>
          <w:color w:val="auto"/>
        </w:rPr>
      </w:pPr>
      <w:r>
        <w:rPr>
          <w:rFonts w:ascii="Times New Roman" w:cs="Times New Roman" w:eastAsia="Times New Roman" w:hAnsi="Times New Roman"/>
          <w:sz w:val="17"/>
          <w:szCs w:val="17"/>
          <w:color w:val="auto"/>
        </w:rPr>
        <w:t>$16.2 million used in connection with the 2022 Business Combination. See Note 3 (Business Combination) to the consolidated financial statements included in this Form 10-K..</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2021, of $435.4 million was primarily due to $876.3 million used to purchase investment securities. This was partially offset by $441.5 million provided from the sale and maturity of investment securities.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additional information regarding our investing activities, please refer to Note 4 (Investment Securities) to our consolidated financial statements included in this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2022 of $5.0 million was primarily the result of the acquisition of $6.4 million in Treasury stock.</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2021 of $925.4 million was primarily the result of $666.2 million in proceeds from the reverse capitalization in connection with the 2021 Business Combination, net of transaction costs, and $6.1 million in proceeds from the issuance of common stock. These factors were partially offset by $30.9 million in principal payments on our outstanding Term Loan Notes.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Arrangements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 Notes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entered into a loan and security agreement with a commercial lender in March 2017, which provided for term loans in an aggregate principal amount of up to $60.0 million. At that time, we borrowed $40.0 million as a term loan under the agreement that was subject to an interest rate of 11.0%, payable monthly, and had a maturity date of March 1, 2022. In October 2017, we borrowed the remaining $20.0 million as a term loan under the agreement that was subject to an interest rate of 11.25%, payable monthly, and had a maturity date of October 1, 2022. Each loan was payable in monthly installments of interest only for the first 24 months, and thereafter interest and principal were payable in 36 equal monthly installments. The loans were secured by substantially all of our assets, including our intellectual property, and equity interests in our unregulated subsidiaries.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29, 2021, we voluntarily paid the remaining principal of $20.7 million and interest of $0.2 million, thereby terminating the loan.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Securities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2018, we entered into a convertible securities purchase agreement with qualified institutional buyers, including entities affiliated with our then-Chief Executive Officer and other holders of more than 5.0% of our common stock, for an aggregate principal amount of up to $500.0 million. In February, March, May, and August 2019, we issued an aggregate of $373.8 million initial principal amount of convertible securities (the "Convertible Securities") under the agreement.</w:t>
      </w:r>
    </w:p>
    <w:p>
      <w:pPr>
        <w:spacing w:after="0" w:line="3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connection with and upon the closing of the 2021 Business Combination, the Convertible Securities mandatorily converted into 74,694,107 shares of the Corporation's Class B Common Stock. For additional information about the Convertible Securities and the conversion of the Convertible Securities upon the closing of the 2021 Business Combination, see Note 12 (Notes and Securities Payable) to the consolidated financial statements included in this Form 10-K.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Material cash requirements from known contractual obligations and commitments at December 31, 2022 include: (1) the recognition of a performance guarantee of $73.8 million in connection with the Company's participation in the DC Model and (2) operating lease obligations of $5.9 million. These commitments are associated with contracts that were enforceable and legally binding at December 31, 2022,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December 31, 2022. For additional information regarding our remaining estimated contractual obligations and commitments, see Note 12 (Notes and Securities Payable), Note 15 (Leases), Note 21 (Commitments and Contingencies), and Note 22 (Non-Insurance) to the consolidated financial statements included in this Form 10-K.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revenues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form the basis for making judgments about the carrying value of assets and liabilities that are not readily apparent from other sources. Actual results could differ from those estimates under different assumptions or conditions, which could impact our reported results of operations and financial condition.</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to the consolidated financial statements included in this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Net Medical Claims Incurred</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net medical claims incurred is recognized in the period in which services are provided and includes paid claims and an estimate of the cost of services that have been incurred but not yet reported ("IBNR") and certain other unpaid claims and adjustments. IBNR represents a substantial portion of our unpaid claims, as reflected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14"/>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0" w:type="dxa"/>
            <w:vAlign w:val="bottom"/>
            <w:tcBorders>
              <w:bottom w:val="single" w:sz="8" w:color="auto"/>
            </w:tcBorders>
          </w:tcPr>
          <w:p>
            <w:pPr>
              <w:spacing w:after="0"/>
              <w:rPr>
                <w:sz w:val="18"/>
                <w:szCs w:val="18"/>
                <w:color w:val="auto"/>
              </w:rPr>
            </w:pPr>
          </w:p>
        </w:tc>
      </w:tr>
      <w:tr>
        <w:trPr>
          <w:trHeight w:val="214"/>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0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5"/>
                <w:szCs w:val="15"/>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IBNR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124,165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125,436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92.0 %</w:t>
            </w:r>
          </w:p>
        </w:tc>
      </w:tr>
      <w:tr>
        <w:trPr>
          <w:trHeight w:val="221"/>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unpaid claims</w:t>
            </w:r>
          </w:p>
        </w:tc>
        <w:tc>
          <w:tcPr>
            <w:tcW w:w="280" w:type="dxa"/>
            <w:vAlign w:val="bottom"/>
          </w:tcPr>
          <w:p>
            <w:pPr>
              <w:spacing w:after="0"/>
              <w:rPr>
                <w:sz w:val="19"/>
                <w:szCs w:val="19"/>
                <w:color w:val="auto"/>
              </w:rPr>
            </w:pP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8,255</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5,863</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4.3</w:t>
            </w: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Claims adjustment expense</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4,974</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5,018</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3.7</w:t>
            </w: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unpaid claims and claims adjustment expense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137,394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136,317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5" w:name="page66"/>
    <w:bookmarkEnd w:id="65"/>
    <w:p>
      <w:pPr>
        <w:jc w:val="both"/>
        <w:spacing w:after="0" w:line="276" w:lineRule="auto"/>
        <w:rPr>
          <w:sz w:val="20"/>
          <w:szCs w:val="20"/>
          <w:color w:val="auto"/>
        </w:rPr>
      </w:pPr>
      <w:r>
        <w:rPr>
          <w:rFonts w:ascii="Times New Roman" w:cs="Times New Roman" w:eastAsia="Times New Roman" w:hAnsi="Times New Roman"/>
          <w:sz w:val="17"/>
          <w:szCs w:val="17"/>
          <w:color w:val="auto"/>
        </w:rPr>
        <w:t>actuarial standards, there is a reasonable possibility that there could be variances between actual completion factors and those assumed in our December 31, 2022 and 2021, unpaid claim estimates.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Actuarial standards require the use of assumptions based on moderately adverse experience, and as such, a provision for adverse deviation ("PAD") is recognized on current reserves and released on prior reserves. For further discussion of our reserving methodology, including our use of completion factors to estimate IBNR, refer to Note 2 (Summary of Significant Accounting Policies) in the consolidated financial statements included in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Net Medical Claims Incurred</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Non-Insurance net medical claims incurred is recognized in the period in which services are provided and includes paid claims and an estimate of the cost of services that have been incurred but not yet reported and certain other unpaid claims and adjustments. IBNR represented all of our unpaid claims, as reflected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80" w:type="dxa"/>
            <w:vAlign w:val="bottom"/>
            <w:tcBorders>
              <w:bottom w:val="single" w:sz="8" w:color="auto"/>
            </w:tcBorders>
          </w:tcPr>
          <w:p>
            <w:pPr>
              <w:spacing w:after="0"/>
              <w:rPr>
                <w:sz w:val="19"/>
                <w:szCs w:val="19"/>
                <w:color w:val="auto"/>
              </w:rPr>
            </w:pPr>
          </w:p>
        </w:tc>
      </w:tr>
      <w:tr>
        <w:trPr>
          <w:trHeight w:val="214"/>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980" w:type="dxa"/>
            <w:vAlign w:val="bottom"/>
            <w:tcBorders>
              <w:bottom w:val="single" w:sz="8" w:color="auto"/>
            </w:tcBorders>
          </w:tcPr>
          <w:p>
            <w:pPr>
              <w:spacing w:after="0"/>
              <w:rPr>
                <w:sz w:val="18"/>
                <w:szCs w:val="18"/>
                <w:color w:val="auto"/>
              </w:rPr>
            </w:pPr>
          </w:p>
        </w:tc>
      </w:tr>
      <w:tr>
        <w:trPr>
          <w:trHeight w:val="214"/>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5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0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Pr>
          <w:p>
            <w:pPr>
              <w:spacing w:after="0"/>
              <w:rPr>
                <w:sz w:val="15"/>
                <w:szCs w:val="15"/>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IBNR</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6,119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4,607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4"/>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unpaid claims and claims adjustment expense</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6,119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4,607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actuaries estimate the unpaid claims by following a detailed actuarial process that uses historical claim payment patterns. We extrapolate in order to form an opinion of ultimate incurred claims based on claims that have been paid to date. This is generally most effective for mature coverage months under stable periods of claims adjudication; therefore, for the estimates of Primary Care Qualified Evaluation and Management expenses, we evaluate IBNR using the historical rate of payment for services based on the lag between service date and payment date. Under this approach, we include an average historical "age-to-age" estimate, excluding the highest and lowest of the historical factors. We also set a lower limit on the cumulative or "age-to-ultimate" development factors at 1.0, to prevent negative amounts incurred but not paid as a result of expected claim recoveries from being factored into our IBNR.</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for more recent coverage periods we utilize historical estimates of completed claims to estimate the cost of subsequent months based on either expected or known changes in cost drivers. These cost drivers include weekday seasonality, secular seasonality, direct COVID cases and other adjustments as necessary, which enable our actuaries to estimate claims when the available claims experience is either limited or ambiguous.</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actuaries also consider this population's history of observed completion percentages in estimating ultimate claims incurred, using completion percentages that are consistent with historical ranges and informed by new information with other functional departments.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reserving practice is to recognize the actuarial best estimate of our ultimate liability for claims. Actuarial standards require the use of assumptions based on moderately adverse experience, and as such, a provision for adverse deviation is recognized on current reserves and released on prior reserves. The PAD is lower for Non-Insurance than Insurance; for Non-Insurance, claims submission and payment patterns support more precise estimates than are observed in the Insurance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 (Benefit) Expense</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premium deficiency reserve is established when future premiums and current reserves are not sufficient to cover future claim payments and expenses for the remainder of a contract period. These reserves are required to monitor solvency and help ensure that a reporting entity's contractual obligations will be adequately funded. We assess the profitability of our MA contracts to identify where current operating results or forecasts indicate potential future losses. We do not assess the impacts of the premium deficiency reserve for our Non-Insurance operations as that business segment is not an insurance plan and is not accounted for under ASC 944- Financial Services—Insurance.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reserve is derived from the assessments performed and provides the amount by which insurance-related expenses are expected to exceed insurance revenues. There are key financial statement line items and associated drivers considered in determining the reserve. The most significant of financial statement line items considered when performing reserve assessments are premiums earned and Insurance net medical claims incurred. Key inputs considered for premiums earned include expected enrollment changes, revenue rates, risk adjustment, and risk score forecasts. Key metrics considered for Insurance net medical claims incurred include claims experience, benefit changes, membership mix, membership changes, and medical management programs. Administrative expenses are assessed for expenses directly and indirectly incurred in order to operate the insurance entities and cannot exceed a percentage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7"/>
          <w:szCs w:val="17"/>
          <w:color w:val="auto"/>
        </w:rPr>
        <w:t>regulatory entity premiums earned due to contractual agreements. There are other operating activities that are considered in accordance with regulatory guidelines.</w:t>
      </w: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premium deficiency reserve assessment is performed on a quarterly basis. Every quarter, reserve assessments are made for the period following the most recently ended period through to the end of the current year. For the fourth quarter, assessments are made related to the entire subsequent fiscal year's projected net performance. If a reserve is deemed necessary, a liability and expense will be recognized as of the end of the quarter directly preceding the period for which the future loss is projected. That reserve will be amortized over the course of the contract period assessed to have expected insurance expenses that will exceed insurance revenues. The amortization of the reserve occurs ratably over the assessed contract period and will offset expected future losses</w:t>
      </w:r>
      <w:r>
        <w:rPr>
          <w:rFonts w:ascii="Times New Roman" w:cs="Times New Roman" w:eastAsia="Times New Roman" w:hAnsi="Times New Roman"/>
          <w:sz w:val="17"/>
          <w:szCs w:val="17"/>
          <w:color w:val="222222"/>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Insurance</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receive monthly premiums from the federal government according to government-specified payment rates and various contractual terms. Revenue from premiums earned is recognized as income in the period in which members are entitled to receive services. Premiums received in advance of the service period are reported within other liabilities and subsequently recognized as revenue in the period earned.</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CMS uses a risk-adjustment model that adjusts premiums paid to MA contracts, based on member risk scores, which are meant to compensate plans that enroll Medicare members with higher-than-average health risks and to reduce payments for healthier Medicare beneficiaries who have lower health risks. Risk scores are based on member diagnoses from the previous year and are periodically adjusted retroactively based on additional plan data collection. Risk adjustments can have a positive or negative retroactive impact to rates. Prospective payments to MA plans are based on the estimated cost of providing standard Medicare-covered benefits to a member with an average risk profile. Under the risk-adjustment methodology, all MA plans must collect and submit the necessary diagnosis code information to CMS within prescribed deadlines. Estimated retroactive lump-sum settlement payments are accrued within revenue for premiums earned to account for the difference between lag risk scores, mid-year risk scores and final risk scores. Any known or expected unfavorable risk score impacts related to quality assurance diagnosis deletions or risk adjustment data validation audits are also considered within accruals and are recorded as a reduction of revenue from premiums earned, based on available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Medicare Advantage Part D</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Payments received from CMS and members in connection with our participation in the Medicare Advantage Part D program are determined from our annual bid and represent amounts for providing prescription drug insurance coverage; these amounts are recognized as premium revenue for providing this insurance coverage ratably over the term of the annual contract.</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 D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Management estimates and recognizes an adjustment to premium revenue related to these provisions based upon pharmacy claims experience and input from third-party experts. Management records a receivable or payable at the contract level.</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Rebates are paid by drug manufacturers to our pharmacy benefit manager ("PBM"), which shares a portion of the rebates with us. Management estimates favorable adjustments to medical expenses related to rebates negotiated by the PBM on our behalf. Estimates are based on both actual and estimated pharmacy claims experience throughout the year as well as input from third-party experts and the PBM. Management records a receivable at the contract level.</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are additional cost-sharing elements that are recorded within medical expenses and take into account factors such as member income levels, brand-name versus generic drug spend, and total spend by member within a plan year. Management estimates and recognizes adjustments to medical expenses based upon inputs such as pharmacy claims experience, rebate activity, and input from third-party experts. Management records a receivable or payable at the end of the year based on these items.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Non-Insurance</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Non-Insurance revenue represents CMS' total expense incurred for medical services provided on behalf of Non-Insurance Beneficiaries during months in which they were alignment-eligible during the performance year. Non-Insurance revenue is calculated as the sum of the capitation payments made to us for services within the scope of our capitation arrangement plus FFS payments made to providers directly from CMS. Non-Insurance revenue is also known in the DC Model as performance year expenditures and is the primary component used to calculate shared savings or shared loss versus the performance year benchmark. Non-Insurance revenue includes a direct reduction or increase of shared savings or loss, which is calculated as the difference between the total benchmark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the total cost of care. Premiums and recoupments incurred in direct relation to the DC Model are recognized as a reduction or increase in Non-Insurance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Receivable and Performance Year Obligation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Performance year receivable and obligation represents the average Medicare beneficiary's total cost of care for beneficiaries aligned to our DCE and refers to the target expenditure amount that will be compared to Medicare expenditures for items and services furnished to aligned beneficiaries during a performance year. This comparison will be used to calculate shared savings and shared losses.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key inputs in determining the performance year receivable and obligation are both driven by the benchmark, which is impacted by the retrospective trend adjustments ("RTA"s), risk score, and the number of beneficiaries aligned to the DCE. We begin our benchmark estimation process with reports from the Centers for Medicare &amp; Medicaid Services Innovation Center ("CMMI") on a quarterly basis. Prospective and retrospective trends are set at a national level. We can make adjustments from the benchmark report due to new information received directly from CMMI, national studies we complete ourselves, or other anticipated policy updates that we believe are probable and estimable. The preliminary benchmark is set based on risk scores with data captured as of a certain point in time. Once new data is received, an updated analysis of claims provides an opportunity for the benchmark to be adjusted. Lastly, Non-Insurance Beneficiary counts are updated through the year and represent a timing difference between CMMI reporting, for which we accrue.</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impacts of the key inputs to the Non-Insurance receivable and Non-Insurance performance year obligation that contribute to the change in the benchmark from beginning of the 2022 performance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Increase (Decrease) in the adjustment to Non-Insurance Receivable/Obligation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82"/>
        </w:trPr>
        <w:tc>
          <w:tcPr>
            <w:tcW w:w="766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Beneficiary Alignment</w:t>
            </w:r>
          </w:p>
        </w:tc>
        <w:tc>
          <w:tcPr>
            <w:tcW w:w="18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(0.7)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(17,670)</w:t>
            </w:r>
          </w:p>
        </w:tc>
      </w:tr>
      <w:tr>
        <w:trPr>
          <w:trHeight w:val="221"/>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Retrospective Trend Adjustment</w:t>
            </w:r>
          </w:p>
        </w:tc>
        <w:tc>
          <w:tcPr>
            <w:tcW w:w="1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3,308</w:t>
            </w:r>
          </w:p>
        </w:tc>
      </w:tr>
      <w:tr>
        <w:trPr>
          <w:trHeight w:val="22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Normalized Risk Score</w:t>
            </w:r>
          </w:p>
        </w:tc>
        <w:tc>
          <w:tcPr>
            <w:tcW w:w="18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w:t>
            </w:r>
          </w:p>
        </w:tc>
      </w:tr>
      <w:tr>
        <w:trPr>
          <w:trHeight w:val="221"/>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others (including change in total cost of care trend)</w:t>
            </w:r>
          </w:p>
        </w:tc>
        <w:tc>
          <w:tcPr>
            <w:tcW w:w="1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2,856</w:t>
            </w:r>
          </w:p>
        </w:tc>
      </w:tr>
      <w:tr>
        <w:trPr>
          <w:trHeight w:val="21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b w:val="1"/>
                <w:bCs w:val="1"/>
                <w:color w:val="auto"/>
              </w:rPr>
              <w:t>(0.6)%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(13,928)</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Warrants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September 2015, we issued warrants to purchase 2,100,000 shares of our common stock. On March 21, 2017, we entered into a loan facility (the "Loan Facility") for an aggregate principal amount of $60.0 million. In conjunction with the Loan Facility, we issued 1,266,284 warrants to purchase shares of our Series D preferred stock. The September 2015 warrants and the Loan Facility warrants were determined to be freestanding instruments as they were detachable and separately exercisable. On October 5, 2020, we entered into the Merger Agreement with SCH and simultaneously amended the terms of the legacy warrants, and they were automatically converted into common stock in connection with the 2021 Business Combination. For additional information related to the Legacy Warrants, please refer to Item 7. Management's Discussion and Analysis of Critical Accounting Policies and Estimates of our Annual Report on Form 10-K for the year ended December 31, 2021, filed with the SEC on February 28,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 and Private Placement Warrants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assumed, in connection with the 2021 Business Combination, public warrants and private placement warrants to purchase shares of our Class A Common Stock (the "Public Warrants" and the "Private Placement Warrants," respectively). These warrants were accounted for as liabilities in accordance with ASC 815-40 and are presented within warrants payable on the Consolidated Balance Sheets. The warrant liabilities are measured at fair value at inception and on a recurring basis until redeemed, with changes in fair value presented within Change in fair value of warrants within the Consolidated Statements of Operations and Comprehensive Loss. The Public Warrants were classified within Level 1 of the fair value hierarchy because the fair value was equal to the publicly traded price of the Public Warrants. The Private Placement Warrants were classified within Level 2 of the fair value hierarchy because the fair value was estimated using the price of the Public Warrants. On July 22, 2021, we issued a press release stating that we would redeem all unexercised Public Warrants and Private Placement Warrants. In connection with the redemption, effective August 24, 2021, the Public Warrants were delisted and classified within Level 2 of the fair value hierarchy as the fair value of the Public</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color w:val="auto"/>
        </w:rPr>
        <w:t>Warrants was based on proportional changes in the price of our common stock. There were no Private Placement Warrants outstanding at August 24, 2021.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Warrants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December 31, 2022,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Liabilities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evaluated the embedded features of the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embedded derivatives associated with the Convertible Securities were recognized as derivative liabilities and recorded at fair value.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Fair values of the Legacy warrants and derivative liabilities related to the Convertible Securities were estimated using a probability-weighted expected return method, where the values of various instruments were estimated based on an analysis of future values of our business, assuming various future outcomes. The resulting instruments' values were based upon the probability-weighted present value of expected future investment returns, considering each of the possible future outcomes available to us, as well as the economic benefits attributable to each class of instruments. The expected future investment returns were estimated using a variety of methodologies, including both the market approach and the income approach, where an observable quoted market does not exist, and were generally classified as Level 3. Such methodologies included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was performed using option pricing models, and probability-weighted average value indications were used to arrive at the estimated fair values.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information on fair values of the Public Warrants and Private Placement Warrants, please refer to the section entitled "Warrants"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awards, including stock options, restricted stock units granted to employees, directors, and non-employees, and stock purchase rights granted under the 2020 Employee Stock Purchase Plan ("ESPP") to employees, based on the estimated fair value of the awards on the date of grant. The fair value of each stock option and ESPP opportunity granted is estimated using the Black-Scholes option-pricing model. The fair value of each restricted stock unit ("RSU") is based on the estimated fair value of our common stock on the date of grant.</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within the Consolidated Statements of Operations and Comprehensive Loss within Salaries and benefits. We recognize stock-based compensation expense for the portion of awards that have vested. Forfeitures are recorded as they occur.</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also grant certain awards that have performance-based vesting conditions, including performance restricted stock units that become eligible to vest if, prior to the vesting date, the average closing price of one share of our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grant date fair value of the Market PRSUs is recognized as expense over the vesting period under the accelerated attribution method and is not adjusted in future periods for the success or failure to achieve the specified market condition. We have also determined the requisite service period for the Market PRSUs with multiple performance conditions to be the longest of the explicit, implicit, or derived service period. The determination of the grant-date fair value using an option-pricing model is affected by the estimated fair value of our common stock as well as assumptions regarding a number of other complex and subjective variables. These variables include expected stock price volatility over an expected term, actual and projected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9" w:name="page70"/>
    <w:bookmarkEnd w:id="69"/>
    <w:p>
      <w:pPr>
        <w:jc w:val="both"/>
        <w:spacing w:after="0" w:line="273" w:lineRule="auto"/>
        <w:rPr>
          <w:sz w:val="20"/>
          <w:szCs w:val="20"/>
          <w:color w:val="auto"/>
        </w:rPr>
      </w:pPr>
      <w:r>
        <w:rPr>
          <w:rFonts w:ascii="Times New Roman" w:cs="Times New Roman" w:eastAsia="Times New Roman" w:hAnsi="Times New Roman"/>
          <w:sz w:val="17"/>
          <w:szCs w:val="17"/>
          <w:color w:val="auto"/>
        </w:rPr>
        <w:t>employee stock option exercise behaviors, the risk-free interest rate for an expected term, and expected dividends. The assumptions used in our option-pricing model represent our best estimates. These estimates involve inherent uncertainties and the application of judgment. If factors change and different assumptions are used, our stock-based compensation expense could be materially different in the future. These assumptions are estimated as follows:</w:t>
      </w:r>
    </w:p>
    <w:p>
      <w:pPr>
        <w:spacing w:after="0" w:line="190" w:lineRule="exact"/>
        <w:rPr>
          <w:sz w:val="20"/>
          <w:szCs w:val="20"/>
          <w:color w:val="auto"/>
        </w:rPr>
      </w:pPr>
    </w:p>
    <w:p>
      <w:pPr>
        <w:jc w:val="both"/>
        <w:ind w:left="160" w:right="160"/>
        <w:spacing w:after="0" w:line="273" w:lineRule="auto"/>
        <w:rPr>
          <w:sz w:val="20"/>
          <w:szCs w:val="20"/>
          <w:color w:val="auto"/>
        </w:rPr>
      </w:pPr>
      <w:r>
        <w:rPr>
          <w:rFonts w:ascii="Times New Roman" w:cs="Times New Roman" w:eastAsia="Times New Roman" w:hAnsi="Times New Roman"/>
          <w:sz w:val="17"/>
          <w:szCs w:val="17"/>
          <w:color w:val="auto"/>
        </w:rPr>
        <w:t>Expected term - For stock options considered to be "plain 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190" w:lineRule="exact"/>
        <w:rPr>
          <w:sz w:val="20"/>
          <w:szCs w:val="20"/>
          <w:color w:val="auto"/>
        </w:rPr>
      </w:pPr>
    </w:p>
    <w:p>
      <w:pPr>
        <w:jc w:val="both"/>
        <w:ind w:left="160" w:right="160"/>
        <w:spacing w:after="0" w:line="292" w:lineRule="auto"/>
        <w:rPr>
          <w:sz w:val="20"/>
          <w:szCs w:val="20"/>
          <w:color w:val="auto"/>
        </w:rPr>
      </w:pPr>
      <w:r>
        <w:rPr>
          <w:rFonts w:ascii="Times New Roman" w:cs="Times New Roman" w:eastAsia="Times New Roman" w:hAnsi="Times New Roman"/>
          <w:sz w:val="17"/>
          <w:szCs w:val="17"/>
          <w:color w:val="auto"/>
        </w:rPr>
        <w:t>Expected volatility - We perform an analysis of the average volatility of a peer group of representative public companies with sufficient trading history over the expected term to develop an expected volatility assumption.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Note 18 (Employee Benefit Plans) to the Consolidated Financial Statements included in this Form 10-K for a complete description of the accounting for stock-based compensation awards.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Pronouncements</w:t>
      </w:r>
    </w:p>
    <w:p>
      <w:pPr>
        <w:spacing w:after="0" w:line="11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See Note 2 (Summary of Significant Accounting Policies) to the consolidated financial statements in this form 10-K for a discussion of accounting pronouncements recently adopted and recently issued accounting pronouncements not yet adopted and their potential impact to our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are also exposed to credit risk on our investment portfolio. We manage the exposure to credit risk in our portfolio by investing in high quality securities and diversifying our holdings.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December 31, 2022, none of our fixed maturity securities portfolio was unrated or rated below investment grade.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United States economy continues to be impacted by rising inflation.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 We continue to monitor the potential impacts from inflation and are prepared to respond to inflationary pressures as necessary. For further information regarding risks we encounter in our business due to economic conditions including inflationary pressures, see "Risk Factors" contained in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333333"/>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Clover Health Investments, Corp.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Clover Health Investments, Corp. (the Company) as of December 31, 2022 and 2021, the related consolidated statements of operations and comprehensive loss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changes in convertible preferred stock and stockholders' equity and cash flows for each of the three years in the period ended December 31, 2022,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2023expressed an unqualified opinion thereon.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Valuation of incurred but not reported reserves</w:t>
      </w:r>
    </w:p>
    <w:p>
      <w:pPr>
        <w:sectPr>
          <w:pgSz w:w="11900" w:h="16838" w:orient="portrait"/>
          <w:cols w:equalWidth="0" w:num="1">
            <w:col w:w="11220"/>
          </w:cols>
          <w:pgMar w:left="320" w:top="766"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2022, the Company’s unpaid claims were $137.4 million, of which, a significant portion is incurred but not reported reserves. As discussed in Notes 1 and 10 to the consolidated financial statements, the Company’s incurred but not reported (IBNR) liability for its Medicare Advantage and Direct Contracting Entity programs is determined by using actuarial methods that include a number of factors and assumptions, including completion factors, which seek to measure the cumulative percentage of claims expense that have been paid as of the reporting date based on historical claim payment patterns, and assumed medical cost trend factors, which represent an estimate of claims expense based on recent claims expense levels and medical cost levels. There is significant uncertainty inherent in determining management’s best estimate of completion and trend factors, which are used to calculate actuarial estimates of IBNR</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Auditing management’s best estimate of the IBNR was complex and required the involvement of our actuarial specialists due to the highly judgmental nature of completion and trend factor assumptions used in the valuation process. These assumptions have a significant effect on the valuation of the IBNR liability.</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actuarial process for estimating the liability for incurred but not paid claims. These audit procedures included among others, testing management review controls over the application of the actuarial assumptions within the reserve models and the review and approval processes that management has in place for estimating the liability for incurred but not paid claims.</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To test the Company’s liability for IBNR,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We involved actuarial specialists to assist with our audit procedures, which included, among others, evaluating the methodologies applied by the Company in determining the IBNR, evaluating the Company’s actuarial assumptions used in their analysis by comparing the significant assumptions to the Company’s historical claim experience, and independently calculating a range of IBNR estimates for comparison to management’s actuarial best estimate of the IBNR. Additionally, we performed a review of the prior period IBNR liabilities to subsequent claims development.</w:t>
      </w:r>
    </w:p>
    <w:p>
      <w:pPr>
        <w:spacing w:after="0" w:line="200" w:lineRule="exact"/>
        <w:rPr>
          <w:sz w:val="20"/>
          <w:szCs w:val="20"/>
          <w:color w:val="auto"/>
        </w:rPr>
      </w:pPr>
    </w:p>
    <w:p>
      <w:pPr>
        <w:sectPr>
          <w:pgSz w:w="11900" w:h="16838" w:orient="portrait"/>
          <w:cols w:equalWidth="0" w:num="2">
            <w:col w:w="2300" w:space="260"/>
            <w:col w:w="8660"/>
          </w:cols>
          <w:pgMar w:left="320" w:top="766" w:right="35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type w:val="continuous"/>
        </w:sectPr>
      </w:pPr>
    </w:p>
    <w:bookmarkStart w:id="72" w:name="page73"/>
    <w:bookmarkEnd w:id="72"/>
    <w:p>
      <w:pPr>
        <w:ind w:left="4300"/>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231F20"/>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8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3"/>
        </w:trPr>
        <w:tc>
          <w:tcPr>
            <w:tcW w:w="83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299,968</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293,851</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 (Amortized cost: 2022: $193,300; 2021: $21,142)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21,131</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 held-to-maturity (Fair value: 2022: $15; 2021: $307)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retrospective premiums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34,923</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receivables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14,282</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Healthcare receivables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48,042</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Non-Insurance receivable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12,170</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Surety bonds and deposits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10,656</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expenses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14,693</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w:t>
            </w:r>
          </w:p>
        </w:tc>
      </w:tr>
      <w:tr>
        <w:trPr>
          <w:trHeight w:val="214"/>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624,997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752,546</w:t>
            </w:r>
          </w:p>
        </w:tc>
      </w:tr>
      <w:tr>
        <w:trPr>
          <w:trHeight w:val="240"/>
        </w:trPr>
        <w:tc>
          <w:tcPr>
            <w:tcW w:w="8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 (Amortized cost: 2022: $142,940; 2021: $177,527)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175,604</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held-to-maturity (Fair value: 2022: $636; 2021: $364)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intangible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10,432</w:t>
            </w:r>
          </w:p>
        </w:tc>
      </w:tr>
      <w:tr>
        <w:trPr>
          <w:trHeight w:val="214"/>
        </w:trPr>
        <w:tc>
          <w:tcPr>
            <w:tcW w:w="8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808,620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950,804</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64135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39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1"/>
        </w:trPr>
        <w:tc>
          <w:tcPr>
            <w:tcW w:w="8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3"/>
        </w:trPr>
        <w:tc>
          <w:tcPr>
            <w:tcW w:w="832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Unpaid claims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138,604</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Due to related parties,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2,320</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performance year obligation, current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36,891</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Non-Insurance payable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37,773</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28,129</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Premium deficiency reserve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110,628</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 current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4"/>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440,656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372,624</w:t>
            </w:r>
          </w:p>
        </w:tc>
      </w:tr>
      <w:tr>
        <w:trPr>
          <w:trHeight w:val="188"/>
        </w:trPr>
        <w:tc>
          <w:tcPr>
            <w:tcW w:w="8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Notes and securities payable, net of discounts and deferred issuance costs</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19,938</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r>
      <w:tr>
        <w:trPr>
          <w:trHeight w:val="221"/>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14,095</w:t>
            </w:r>
          </w:p>
        </w:tc>
      </w:tr>
      <w:tr>
        <w:trPr>
          <w:trHeight w:val="214"/>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460,882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411,487</w:t>
            </w:r>
          </w:p>
        </w:tc>
      </w:tr>
      <w:tr>
        <w:trPr>
          <w:trHeight w:val="20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21)</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69"/>
        </w:trPr>
        <w:tc>
          <w:tcPr>
            <w:tcW w:w="83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A Common Stock, $0.0001 par value; 2,500,000,000 shares authorized at December 31, 2022 and 2021;</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383,998,718 and 352,645,626 issued and outstanding at December 31, 2022 and 2021, respectively</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169"/>
        </w:trPr>
        <w:tc>
          <w:tcPr>
            <w:tcW w:w="83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at December 31, 2022 and 2021;</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4"/>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94,394,852 and 118,206,768 issued and outstanding at December 31, 2022 and 2021, respectively</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2,154,187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(1,616,738)</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Treasury stock, at cost; 2,072,752 and 14,730 shares held at December 31, 2022 and 2021,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14"/>
        </w:trPr>
        <w:tc>
          <w:tcPr>
            <w:tcW w:w="8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Clover stockholders' equity</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535,414</w:t>
            </w:r>
          </w:p>
        </w:tc>
      </w:tr>
      <w:tr>
        <w:trPr>
          <w:trHeight w:val="22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r>
      <w:tr>
        <w:trPr>
          <w:trHeight w:val="214"/>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347,738</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539,317</w:t>
            </w:r>
          </w:p>
        </w:tc>
      </w:tr>
      <w:tr>
        <w:trPr>
          <w:trHeight w:val="239"/>
        </w:trPr>
        <w:tc>
          <w:tcPr>
            <w:tcW w:w="8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950,804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23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Years ended</w:t>
      </w:r>
    </w:p>
    <w:p>
      <w:pPr>
        <w:ind w:left="87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$470, $489, and $599 for the years ended December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 2022, 2021, and 2020, respectively)</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100" w:type="dxa"/>
            <w:vAlign w:val="bottom"/>
          </w:tcPr>
          <w:p>
            <w:pPr>
              <w:spacing w:after="0"/>
              <w:rPr>
                <w:sz w:val="21"/>
                <w:szCs w:val="21"/>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665,698</w:t>
            </w:r>
          </w:p>
        </w:tc>
      </w:tr>
      <w:tr>
        <w:trPr>
          <w:trHeight w:val="221"/>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7,190</w:t>
            </w:r>
          </w:p>
        </w:tc>
      </w:tr>
      <w:tr>
        <w:trPr>
          <w:trHeight w:val="214"/>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3,476,687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1,471,996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672,888</w:t>
            </w:r>
          </w:p>
        </w:tc>
      </w:tr>
      <w:tr>
        <w:trPr>
          <w:trHeight w:val="240"/>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7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590,082</w:t>
            </w:r>
          </w:p>
        </w:tc>
      </w:tr>
      <w:tr>
        <w:trPr>
          <w:trHeight w:val="221"/>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Salaries and benefits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71,256</w:t>
            </w:r>
          </w:p>
        </w:tc>
      </w:tr>
      <w:tr>
        <w:trPr>
          <w:trHeight w:val="221"/>
        </w:trPr>
        <w:tc>
          <w:tcPr>
            <w:tcW w:w="7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120,830</w:t>
            </w:r>
          </w:p>
        </w:tc>
      </w:tr>
      <w:tr>
        <w:trPr>
          <w:trHeight w:val="221"/>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Premium deficiency reserve (benefit)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w:t>
            </w:r>
          </w:p>
        </w:tc>
      </w:tr>
      <w:tr>
        <w:trPr>
          <w:trHeight w:val="221"/>
        </w:trPr>
        <w:tc>
          <w:tcPr>
            <w:tcW w:w="7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21"/>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3,847,611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2,108,988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765,595</w:t>
            </w:r>
          </w:p>
        </w:tc>
      </w:tr>
      <w:tr>
        <w:trPr>
          <w:trHeight w:val="214"/>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(92,707)</w:t>
            </w:r>
          </w:p>
        </w:tc>
      </w:tr>
      <w:tr>
        <w:trPr>
          <w:trHeight w:val="260"/>
        </w:trPr>
        <w:tc>
          <w:tcPr>
            <w:tcW w:w="7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80,328</w:t>
            </w: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35,990</w:t>
            </w: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w:t>
            </w: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derivative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(93,751)</w:t>
            </w: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2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data: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72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Net loss per share attributable to Class A and Class B common stockholders – basic and diluted </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number of Class A and Class B common shares and common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5"/>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share equivalents outstanding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476,244,262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412,922,424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88,691,582</w:t>
            </w:r>
          </w:p>
        </w:tc>
      </w:tr>
      <w:tr>
        <w:trPr>
          <w:trHeight w:val="260"/>
        </w:trPr>
        <w:tc>
          <w:tcPr>
            <w:tcW w:w="72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r>
      <w:tr>
        <w:trPr>
          <w:trHeight w:val="214"/>
        </w:trPr>
        <w:tc>
          <w:tcPr>
            <w:tcW w:w="7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Net unrealized loss on available-for-sale investments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9"/>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Comprehensive loss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(346,284)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(136,428)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160" w:hanging="156"/>
        <w:spacing w:after="0" w:line="261" w:lineRule="auto"/>
        <w:tabs>
          <w:tab w:leader="none" w:pos="147"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2020 results have been adjusted to reflect the exchange of Legacy Clover's common stock for Clover Class B Common Stock at an exchange ratio of approximately 2.0681 in January 2021 as a result of the 2021 Business Combination. See Note 3 (Business Combination) for additional information. Because the Company had a Net loss during the years ended December 31, 2022, 2021, and 2020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CHANGES IN CONVERTIBLE PREFERRED STOCK AND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ectPr>
          <w:pgSz w:w="11900" w:h="16838" w:orient="portrait"/>
          <w:cols w:equalWidth="0" w:num="1">
            <w:col w:w="9200"/>
          </w:cols>
          <w:pgMar w:left="1340" w:top="952" w:right="1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1080" w:type="dxa"/>
            <w:vAlign w:val="bottom"/>
          </w:tcPr>
          <w:p>
            <w:pPr>
              <w:spacing w:after="0"/>
              <w:rPr>
                <w:sz w:val="12"/>
                <w:szCs w:val="12"/>
                <w:color w:val="auto"/>
              </w:rPr>
            </w:pPr>
          </w:p>
        </w:tc>
        <w:tc>
          <w:tcPr>
            <w:tcW w:w="160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Convertible Preferred</w:t>
            </w:r>
          </w:p>
        </w:tc>
        <w:tc>
          <w:tcPr>
            <w:tcW w:w="60" w:type="dxa"/>
            <w:vAlign w:val="bottom"/>
          </w:tcPr>
          <w:p>
            <w:pPr>
              <w:spacing w:after="0"/>
              <w:rPr>
                <w:sz w:val="12"/>
                <w:szCs w:val="12"/>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stockholders'</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160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2"/>
                <w:szCs w:val="12"/>
                <w:color w:val="auto"/>
              </w:rPr>
            </w:pPr>
          </w:p>
        </w:tc>
        <w:tc>
          <w:tcPr>
            <w:tcW w:w="100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1"/>
              <w:spacing w:after="0" w:line="143"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2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5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08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Balance,</w:t>
            </w: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139,444,346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88,279,119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403,041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(891,633)</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(488,537)</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Stock issuance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for exercise 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stock options,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net of early</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1,297,977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Stock-based</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Buyback 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subsequent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cancellation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(370,830)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86"/>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on investment</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available-for-</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Interests issued</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20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(136,392)</w:t>
            </w:r>
          </w:p>
        </w:tc>
        <w:tc>
          <w:tcPr>
            <w:tcW w:w="0" w:type="dxa"/>
            <w:vAlign w:val="bottom"/>
          </w:tcPr>
          <w:p>
            <w:pPr>
              <w:spacing w:after="0"/>
              <w:rPr>
                <w:sz w:val="1"/>
                <w:szCs w:val="1"/>
                <w:color w:val="auto"/>
              </w:rPr>
            </w:pPr>
          </w:p>
        </w:tc>
      </w:tr>
      <w:tr>
        <w:trPr>
          <w:trHeight w:val="111"/>
        </w:trPr>
        <w:tc>
          <w:tcPr>
            <w:tcW w:w="108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Balance,</w:t>
            </w: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8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139,444,346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$447,747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89,206,266</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411,867</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(1,028,982)</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3,903</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(613,193)</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Stock issuance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for exercise of</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stock options,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net of early</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4,303,062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Stock-based</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163,723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163,723</w:t>
            </w:r>
          </w:p>
        </w:tc>
        <w:tc>
          <w:tcPr>
            <w:tcW w:w="0" w:type="dxa"/>
            <w:vAlign w:val="bottom"/>
          </w:tcPr>
          <w:p>
            <w:pPr>
              <w:spacing w:after="0"/>
              <w:rPr>
                <w:sz w:val="1"/>
                <w:szCs w:val="1"/>
                <w:color w:val="auto"/>
              </w:rPr>
            </w:pPr>
          </w:p>
        </w:tc>
      </w:tr>
      <w:tr>
        <w:trPr>
          <w:trHeight w:val="186"/>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w w:val="99"/>
              </w:rPr>
              <w:t>Vested restricted</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on investment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available-for-</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(139,444,346)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139,444,346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447,733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447,747</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related to</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exercises 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legacy</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7,205,490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97,782</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Convertible debt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conversion and</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75,084,703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issuances</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in connection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with 2021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Business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Combination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and PIPE</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143,475,108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(49,975,104)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666,232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666,241</w:t>
            </w:r>
          </w:p>
        </w:tc>
        <w:tc>
          <w:tcPr>
            <w:tcW w:w="0" w:type="dxa"/>
            <w:vAlign w:val="bottom"/>
          </w:tcPr>
          <w:p>
            <w:pPr>
              <w:spacing w:after="0"/>
              <w:rPr>
                <w:sz w:val="1"/>
                <w:szCs w:val="1"/>
                <w:color w:val="auto"/>
              </w:rPr>
            </w:pPr>
          </w:p>
        </w:tc>
      </w:tr>
      <w:tr>
        <w:trPr>
          <w:trHeight w:val="186"/>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from Class B</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to Class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 Common</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231,273,129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(231,273,129)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from Class A</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to Class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B Common</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(88,514,196)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88,514,196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4"/>
                <w:szCs w:val="14"/>
                <w:color w:val="auto"/>
              </w:rPr>
              <w:t>Capital</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contribution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for</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w w:val="99"/>
              </w:rPr>
              <w:t>extinguishment</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debt</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Acquisition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Public and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Private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Placement</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8"/>
              </w:rPr>
              <w:t>(147,582)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(147,582)</w:t>
            </w:r>
          </w:p>
        </w:tc>
        <w:tc>
          <w:tcPr>
            <w:tcW w:w="0" w:type="dxa"/>
            <w:vAlign w:val="bottom"/>
          </w:tcPr>
          <w:p>
            <w:pPr>
              <w:spacing w:after="0"/>
              <w:rPr>
                <w:sz w:val="1"/>
                <w:szCs w:val="1"/>
                <w:color w:val="auto"/>
              </w:rPr>
            </w:pPr>
          </w:p>
        </w:tc>
      </w:tr>
      <w:tr>
        <w:trPr>
          <w:trHeight w:val="186"/>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20" w:type="dxa"/>
            <w:vAlign w:val="bottom"/>
            <w:gridSpan w:val="3"/>
            <w:vMerge w:val="continue"/>
          </w:tcPr>
          <w:p>
            <w:pPr>
              <w:spacing w:after="0"/>
              <w:rPr>
                <w:sz w:val="16"/>
                <w:szCs w:val="16"/>
                <w:color w:val="auto"/>
              </w:rPr>
            </w:pPr>
          </w:p>
        </w:tc>
        <w:tc>
          <w:tcPr>
            <w:tcW w:w="6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related to</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exercises of</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Public and</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Private</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Placement</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9,408,264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81,673</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net of stock</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52,173,913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283,775</w:t>
            </w:r>
          </w:p>
        </w:tc>
        <w:tc>
          <w:tcPr>
            <w:tcW w:w="0" w:type="dxa"/>
            <w:vAlign w:val="bottom"/>
          </w:tcPr>
          <w:p>
            <w:pPr>
              <w:spacing w:after="0"/>
              <w:rPr>
                <w:sz w:val="1"/>
                <w:szCs w:val="1"/>
                <w:color w:val="auto"/>
              </w:rPr>
            </w:pPr>
          </w:p>
        </w:tc>
      </w:tr>
      <w:tr>
        <w:trPr>
          <w:trHeight w:val="181"/>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costs</w:t>
            </w:r>
          </w:p>
        </w:tc>
        <w:tc>
          <w:tcPr>
            <w:tcW w:w="920" w:type="dxa"/>
            <w:vAlign w:val="bottom"/>
            <w:gridSpan w:val="3"/>
            <w:vMerge w:val="continue"/>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4"/>
                <w:szCs w:val="14"/>
                <w:color w:val="auto"/>
              </w:rPr>
              <w:t>Treasury stock</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14,730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acquired</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(587,756)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(587,756)</w:t>
            </w:r>
          </w:p>
        </w:tc>
        <w:tc>
          <w:tcPr>
            <w:tcW w:w="0" w:type="dxa"/>
            <w:vAlign w:val="bottom"/>
          </w:tcPr>
          <w:p>
            <w:pPr>
              <w:spacing w:after="0"/>
              <w:rPr>
                <w:sz w:val="1"/>
                <w:szCs w:val="1"/>
                <w:color w:val="auto"/>
              </w:rPr>
            </w:pPr>
          </w:p>
        </w:tc>
      </w:tr>
      <w:tr>
        <w:trPr>
          <w:trHeight w:val="118"/>
        </w:trPr>
        <w:tc>
          <w:tcPr>
            <w:tcW w:w="108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w:t>
            </w: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352,645,626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118,206,768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14,730</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(147)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2,154,187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(1,616,738)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3,903</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539,317</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3"/>
            <w:vMerge w:val="continue"/>
            <w:shd w:val="clear" w:color="auto" w:fill="CCEEFF"/>
          </w:tcPr>
          <w:p>
            <w:pPr>
              <w:spacing w:after="0"/>
              <w:rPr>
                <w:sz w:val="16"/>
                <w:szCs w:val="16"/>
                <w:color w:val="auto"/>
              </w:rPr>
            </w:pPr>
          </w:p>
        </w:tc>
        <w:tc>
          <w:tcPr>
            <w:tcW w:w="6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36" w:right="239" w:bottom="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72390</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1200" w:type="dxa"/>
            <w:vAlign w:val="bottom"/>
          </w:tcPr>
          <w:p>
            <w:pPr>
              <w:spacing w:after="0"/>
              <w:rPr>
                <w:sz w:val="12"/>
                <w:szCs w:val="12"/>
                <w:color w:val="auto"/>
              </w:rPr>
            </w:pPr>
          </w:p>
        </w:tc>
        <w:tc>
          <w:tcPr>
            <w:tcW w:w="1200" w:type="dxa"/>
            <w:vAlign w:val="bottom"/>
            <w:tcBorders>
              <w:right w:val="single" w:sz="8" w:color="auto"/>
            </w:tcBorders>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40" w:type="dxa"/>
            <w:vAlign w:val="bottom"/>
          </w:tcPr>
          <w:p>
            <w:pPr>
              <w:spacing w:after="0"/>
              <w:rPr>
                <w:sz w:val="12"/>
                <w:szCs w:val="12"/>
                <w:color w:val="auto"/>
              </w:rPr>
            </w:pPr>
          </w:p>
        </w:tc>
        <w:tc>
          <w:tcPr>
            <w:tcW w:w="14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stockholders'</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1200" w:type="dxa"/>
            <w:vAlign w:val="bottom"/>
            <w:tcBorders>
              <w:right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24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80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920" w:type="dxa"/>
            <w:vAlign w:val="bottom"/>
            <w:gridSpan w:val="2"/>
            <w:vMerge w:val="continue"/>
          </w:tcPr>
          <w:p>
            <w:pPr>
              <w:spacing w:after="0"/>
              <w:rPr>
                <w:sz w:val="12"/>
                <w:szCs w:val="12"/>
                <w:color w:val="auto"/>
              </w:rPr>
            </w:pPr>
          </w:p>
        </w:tc>
        <w:tc>
          <w:tcPr>
            <w:tcW w:w="100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0" w:type="dxa"/>
            <w:vAlign w:val="bottom"/>
            <w:gridSpan w:val="3"/>
            <w:vMerge w:val="continue"/>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6"/>
                <w:szCs w:val="16"/>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2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20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3"/>
                <w:szCs w:val="13"/>
                <w:color w:val="auto"/>
              </w:rPr>
              <w:t>Stock issuance for</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options, net of</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early exercise</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4,367,985</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58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Stock-based</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8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0" w:type="dxa"/>
            <w:vAlign w:val="bottom"/>
          </w:tcPr>
          <w:p>
            <w:pPr>
              <w:spacing w:after="0"/>
              <w:rPr>
                <w:sz w:val="1"/>
                <w:szCs w:val="1"/>
                <w:color w:val="auto"/>
              </w:rPr>
            </w:pPr>
          </w:p>
        </w:tc>
      </w:tr>
      <w:tr>
        <w:trPr>
          <w:trHeight w:val="186"/>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gridSpan w:val="2"/>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Vested restricted</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2,974,581</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1,677,873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58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Vested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performance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8,951</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580" w:type="dxa"/>
            <w:vAlign w:val="bottom"/>
            <w:gridSpan w:val="2"/>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0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Unrealized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 on</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investment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securities,</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available for sale</w:t>
            </w:r>
          </w:p>
        </w:tc>
        <w:tc>
          <w:tcPr>
            <w:tcW w:w="58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Conversion from</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to Class A</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25,489,789</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(25,489,789)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580" w:type="dxa"/>
            <w:vAlign w:val="bottom"/>
            <w:gridSpan w:val="2"/>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(2,058,022)</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2,058,022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133"/>
        </w:trPr>
        <w:tc>
          <w:tcPr>
            <w:tcW w:w="12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Issuance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under Employee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Purchase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569,808</w:t>
            </w:r>
          </w:p>
        </w:tc>
        <w:tc>
          <w:tcPr>
            <w:tcW w:w="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w:t>
            </w:r>
          </w:p>
        </w:tc>
        <w:tc>
          <w:tcPr>
            <w:tcW w:w="580" w:type="dxa"/>
            <w:vAlign w:val="bottom"/>
            <w:gridSpan w:val="2"/>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Activities from</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1"/>
        </w:trPr>
        <w:tc>
          <w:tcPr>
            <w:tcW w:w="1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Seek Dissolution</w:t>
            </w:r>
          </w:p>
        </w:tc>
        <w:tc>
          <w:tcPr>
            <w:tcW w:w="580" w:type="dxa"/>
            <w:vAlign w:val="bottom"/>
            <w:gridSpan w:val="2"/>
            <w:vMerge w:val="continue"/>
            <w:shd w:val="clear" w:color="auto" w:fill="CCEEFF"/>
          </w:tcPr>
          <w:p>
            <w:pPr>
              <w:spacing w:after="0"/>
              <w:rPr>
                <w:sz w:val="16"/>
                <w:szCs w:val="16"/>
                <w:color w:val="auto"/>
              </w:rPr>
            </w:pPr>
          </w:p>
        </w:tc>
        <w:tc>
          <w:tcPr>
            <w:tcW w:w="6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0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Derecognition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88"/>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580" w:type="dxa"/>
            <w:vAlign w:val="bottom"/>
            <w:gridSpan w:val="2"/>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(338,844)</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(338,844)</w:t>
            </w:r>
          </w:p>
        </w:tc>
        <w:tc>
          <w:tcPr>
            <w:tcW w:w="0" w:type="dxa"/>
            <w:vAlign w:val="bottom"/>
          </w:tcPr>
          <w:p>
            <w:pPr>
              <w:spacing w:after="0"/>
              <w:rPr>
                <w:sz w:val="1"/>
                <w:szCs w:val="1"/>
                <w:color w:val="auto"/>
              </w:rPr>
            </w:pPr>
          </w:p>
        </w:tc>
      </w:tr>
      <w:tr>
        <w:trPr>
          <w:trHeight w:val="111"/>
        </w:trPr>
        <w:tc>
          <w:tcPr>
            <w:tcW w:w="120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Balance, December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right w:val="single" w:sz="8" w:color="auto"/>
            </w:tcBorders>
            <w:vMerge w:val="restart"/>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383,998,718</w:t>
            </w: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37</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$9</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2,072,752</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(6,509)</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$ 2,319,157</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(1,955,582)</w:t>
            </w: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347,738</w:t>
            </w:r>
          </w:p>
        </w:tc>
        <w:tc>
          <w:tcPr>
            <w:tcW w:w="0" w:type="dxa"/>
            <w:vAlign w:val="bottom"/>
          </w:tcPr>
          <w:p>
            <w:pPr>
              <w:spacing w:after="0"/>
              <w:rPr>
                <w:sz w:val="1"/>
                <w:szCs w:val="1"/>
                <w:color w:val="auto"/>
              </w:rPr>
            </w:pPr>
          </w:p>
        </w:tc>
      </w:tr>
      <w:tr>
        <w:trPr>
          <w:trHeight w:val="207"/>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5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64135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40" w:top="759"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color w:val="auto"/>
        </w:rPr>
        <w:t>CLOVER HEALTH INVESTMENTS, CORP.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Years ended</w:t>
      </w:r>
    </w:p>
    <w:p>
      <w:pPr>
        <w:ind w:left="89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(338,844)</w:t>
            </w:r>
          </w:p>
        </w:tc>
        <w:tc>
          <w:tcPr>
            <w:tcW w:w="6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(587,756)</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(136,392)</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1,187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notes and securities discounts and debt issuance costs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21,118</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164,305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Paid-in-kind interest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warrants and amortization of warrants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80,328</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derivative liabilities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(93,751)</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net of amortization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realized losses on investment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extinguishment of note payable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investment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(17,128)</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14,536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(21,604)</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Reinsurance recoverable</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Surety bonds and deposits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Healthcare receivables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(12,926)</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Non-Insurance receivable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1,984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Unpaid claims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26,090</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7,635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rent</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Performance year obligation</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36,953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Non-Insurance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110,418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(203,926)</w:t>
            </w: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(282,326)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(118,498)</w:t>
            </w:r>
          </w:p>
        </w:tc>
      </w:tr>
      <w:tr>
        <w:trPr>
          <w:trHeight w:val="185"/>
        </w:trPr>
        <w:tc>
          <w:tcPr>
            <w:tcW w:w="75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investments, available-for-sale, and held-to-maturity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(369,396)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(174,318)</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of short-term investments and available-for-sale securities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13,348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248,664</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maturities of short-term investments, available-for-sale, and held-to-maturity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472,098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63,751</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Character Biosciences, Inc. Series A preferred shares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95,133</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(435,447)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137,404</w:t>
            </w:r>
          </w:p>
        </w:tc>
      </w:tr>
      <w:tr>
        <w:trPr>
          <w:trHeight w:val="185"/>
        </w:trPr>
        <w:tc>
          <w:tcPr>
            <w:tcW w:w="75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notes payable principal</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(18,752)</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common stock, net of early exercise liability</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reverse recapitalization, net of transaction costs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Buyback and subsequent cancellation of common shares</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received for the exercise of public and private warrants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common stock, net of stock issuance costs</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the redemptions of public warrants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stock acquired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r>
      <w:tr>
        <w:trPr>
          <w:trHeight w:val="198"/>
        </w:trPr>
        <w:tc>
          <w:tcPr>
            <w:tcW w:w="758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925,393</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5,844</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(113,755)</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w:t>
            </w:r>
          </w:p>
        </w:tc>
      </w:tr>
      <w:tr>
        <w:trPr>
          <w:trHeight w:val="20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299,968</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67,598</w:t>
            </w:r>
          </w:p>
        </w:tc>
      </w:tr>
      <w:tr>
        <w:trPr>
          <w:trHeight w:val="22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186,213</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103,791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299,968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92,348</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82,422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58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186,213</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299,968</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6"/>
        </w:trPr>
        <w:tc>
          <w:tcPr>
            <w:tcW w:w="7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Supplemental cash flow disclosures</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during the year for health insurance industry fee</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activities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Conversion of preferred stock to common stock</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convertible debt</w:t>
            </w:r>
          </w:p>
        </w:tc>
        <w:tc>
          <w:tcPr>
            <w:tcW w:w="360" w:type="dxa"/>
            <w:vAlign w:val="bottom"/>
          </w:tcPr>
          <w:p>
            <w:pPr>
              <w:spacing w:after="0"/>
              <w:rPr>
                <w:sz w:val="17"/>
                <w:szCs w:val="17"/>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contribution for extinguishment of debt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Activities from Seek Dissolution</w:t>
            </w:r>
          </w:p>
        </w:tc>
        <w:tc>
          <w:tcPr>
            <w:tcW w:w="3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warrants exercised</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public and private warrants</w:t>
            </w:r>
          </w:p>
        </w:tc>
        <w:tc>
          <w:tcPr>
            <w:tcW w:w="360" w:type="dxa"/>
            <w:vAlign w:val="bottom"/>
          </w:tcPr>
          <w:p>
            <w:pPr>
              <w:spacing w:after="0"/>
              <w:rPr>
                <w:sz w:val="17"/>
                <w:szCs w:val="17"/>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147,582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the exercise of public and private warrants</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642</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Recognition of equity method investments and preferred stock</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8,644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Derecognition of noncontrolling interest</w:t>
            </w:r>
          </w:p>
        </w:tc>
        <w:tc>
          <w:tcPr>
            <w:tcW w:w="3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3,903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Conversion of Character Biosciences, Inc. convertible note to preferred stock</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CLOVER HEALTH INVESTMENTS, CORP.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Audited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Clover provides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Original Medicare beneficiaries (the "Non-Insurance Beneficiaries").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22 (Non-Insurance) in these financial statements.</w:t>
      </w:r>
    </w:p>
    <w:p>
      <w:pPr>
        <w:spacing w:after="0" w:line="3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"2021 Business Combination"). The 2021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financial statements for previous periods are disclosed in periodic reports filed with the SEC. As a result of the 2021 Business Combination, there were simultaneous changes to Legacy Clover's convertible securities, warrants, and convertible preferred stock. See Note 5 (Fair Value Measurements), Note 12 (Notes and Securities Payable), and Note 16 (Stockholders' Equity and Convertible Preferred Stock) for additional information regarding these changes. See also Note 3 (Business Combination) for additional information related to the 2021 Business Combination.</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2021 Business Combination has had a significant impact on the Company's reported financial condition and results of operations as a consequence of the reverse recapitalization. The 2021 Business Combination closed on January 7, 2021, and on the following day the Company's Class A Common Stock and then outstanding public warrants were listed on the Nasdaq Global Select Market ("Nasdaq") for trading in the public market.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GAAP requires management to make estimates and assumptions that impact the amounts reported in the consolidated financial statements and the accompanying notes.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Certain amounts in the prior years' Consolidated Balance Sheets, Consolidated Statements of Operations and Comprehensive Loss, and Consolidated Statements of Cash Flows have been reclassified to conform to the current year's presentation, primarily related to Surety bonds and deposits, Prepaid expenses, Property and equipment, net, Non-Insurance payable, and Other assets, current, Depreciation and amortization, and General and administrative expenses. Additionally, amounts within the prior years' Consolidated Statements of Operations and Comprehensive Loss related to Medicare Advantage ("MA") net medical claims incurred, direct contracting ("DC") net medical claims incurred, and other medical costs, have been combined to conform to the current year's presentation. These reclassifications had no material effect on the previously reported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Premiums earned, net is recognized as income in the period members are entitled to receive services, risk adjustment revenue, and other ancillary income. Premiums received in advance of the service period are reported as deferred revenue on the Consolidated Balance Sheets and recognized within Premiums earned, net once earned. Premiums anticipated to be received within twelve months based on the documented diagnostic criteria of the Company's members are estimated and included in revenue for the period including the member months for which the payment is designated by CMS.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method of accounting and variable interest entities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83" w:name="page84"/>
    <w:bookmarkEnd w:id="83"/>
    <w:p>
      <w:pPr>
        <w:jc w:val="both"/>
        <w:spacing w:after="0" w:line="273" w:lineRule="auto"/>
        <w:rPr>
          <w:sz w:val="20"/>
          <w:szCs w:val="20"/>
          <w:color w:val="auto"/>
        </w:rPr>
      </w:pPr>
      <w:r>
        <w:rPr>
          <w:rFonts w:ascii="Times New Roman" w:cs="Times New Roman" w:eastAsia="Times New Roman" w:hAnsi="Times New Roman"/>
          <w:sz w:val="17"/>
          <w:szCs w:val="17"/>
          <w:color w:val="auto"/>
        </w:rPr>
        <w:t>When the Company's carrying value in an equity method investee company is reduced to zero, no further losses are recorded in the Company's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accounts for business acquisitions under ASC 805, Business Combinations. The total purchase consideration for an acquisition is measured as the fair value of the assets given, equity instruments issued and liabilities assumed at the acquisition date. Costs that are directly attributable to the acquisition are expensed as incurred. Identifiable assets (including intangible assets) and liabilities assumed (including contingent liabilities) in an acquisition are measured initially at their fair values at the acquisition date. The Company recognizes goodwill to the extent that the fair value of the total purchase consideration is in excess of the net fair value of the identifiable assets acquired and the liabilities assumed. The Company includes the results of operations of the acquired business in the consolidated financial statements beginning on the acquisition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guarantees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Certain of the Company's arrangements with third-party providers require it to guarantee the performance of its care network to CMS. As a result of the Company's participation in the DC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Consolidated Balance Sheets.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With respect to each performance year in which the DCE is a participant, the final consideration due to the DCE from CMS ("shared savings") or the consideration due to CMS from the DCE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DCE has entered into an agreement with CMS and a third-party to cover the financial threshold determined by CMS. Within Surety bonds and deposits on the Consolidated Balance Sheets, the Company includes amounts held in escrow related to the financial guarantee as required with CMS, which is considered restricted cash in nature which is shown on the Company's Consolidated Statements of Cash Flow.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4" w:name="page85"/>
    <w:bookmarkEnd w:id="84"/>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2022 and 2021, the Company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investments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Short-term investments consist of investments that the Company expects to convert into cash within one year of the balance sheet date, including time deposits and debt securities, which have original maturities greater than 90 days. Short-term investments are measured at their amortized cost. The carrying values of these instruments approximate their respective fair value due to the short-term maturity of these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securities, available-for-sale</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Investment securities, which consist entirely of debt securities with fixed or determinable payments and fixed maturity dates, that the Company purchases that are not classified as held-to-maturity, are classified as available-for-sale financial assets. The Company's available-for-sale investments are U.S. Treasury fixed maturity securities.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Available-for-sale investments are measured at fair value, and unrealized gains and losses, if any, are recorded in other comprehensive income, net of applicable income taxes, until realized from a sale or an expected credit loss is 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securities, held-to-maturity</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 securities, which consist entirely of debt securities with fixed or determinable payments and fixed maturity dates, where the Company has a positive intent and ability to hold to maturity, are classified as held-to-maturity financial assets. The Company's held-to-maturity investments are comprised of U.S. Treasury fixed maturity securities. The held-to-maturity investments are measured at amortized cost using the effective interest method less impairment. Unrealized holding gains or losses are not recognized.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investment securities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January 1, 2021, the Company adopted the provisions of ASC 326 and modified its accounting policy for the assessment of available-for-sale and held-to-maturity securities for impairment, as further described below. Prior to January 1, 2021, the Company applied the other-than-temporary impairment model for available-for-sale securities in an unrealized loss position which did not result in impairments for 2020 or 2019. Beginning on January 1, 2021, the Company adopted ASC 326, which retained many similarities from the previous other-than-temporary impairment model but eliminated the consideration of the length of time over which the fair value had been less than cost. Additionally, under ASC 326, the expected losses on securities are recognized through an allowance for credit losses rather than as a reduction in the amortized cost of the security.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identifies securities that are in an unrealized loss position and could potentially have an impairment.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Company considers relevant facts and circumstances in evaluating the impairment of a security. Relevant facts and circumstances considered include (1) the extent to which the fair value has been below cost or amortized cost, (2) adverse conditions specifically related to the financial condition of the issuer or to the industry, (3) geographic area of the issuer, or the underlying collateral of a security including the current and future impact of any specific events, (4) the payment structure of the security, (5) changes in credit rating of the security by the rating agencies, and (6) the volatility of the fair value changes. There are a number of significant risks and uncertainties inherent in the process of monitoring impairments.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Company's management to determine the fair value estimates and impairments, and (4) the risk that new information obtained by the Company, or changes in other facts and circumstances, could lead the Company to change its intent to hold the security to maturity or until it recovers in value. Any of these situations could result in a charge to operations in a future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available-for-sale securities whose fair value is less than their amortized cost that the Company does not intend to sell or is not required to sell, management evaluates the expected cash flows to be received as compared to amortized cost and determines if an expected credit loss has occurred. If an expected credit loss occurs, only the amount of the impairment related to the expected credit loss is recognized in income with the remainder, if any, of the loss recognized in other comprehensive income.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5" w:name="page86"/>
    <w:bookmarkEnd w:id="85"/>
    <w:p>
      <w:pPr>
        <w:jc w:val="both"/>
        <w:spacing w:after="0" w:line="273" w:lineRule="auto"/>
        <w:rPr>
          <w:sz w:val="20"/>
          <w:szCs w:val="20"/>
          <w:color w:val="auto"/>
        </w:rPr>
      </w:pPr>
      <w:r>
        <w:rPr>
          <w:rFonts w:ascii="Times New Roman" w:cs="Times New Roman" w:eastAsia="Times New Roman" w:hAnsi="Times New Roman"/>
          <w:sz w:val="17"/>
          <w:szCs w:val="17"/>
          <w:color w:val="auto"/>
        </w:rPr>
        <w:t>To the extent the Company has the intent to sell the security or it is more likely than not that the Company will be required to sell the security before recovery of the amortized cost basis, management recognizes an impairment loss in income in an amount equal to the full difference between the amortized cost basis and the fair value.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Company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2022, 2021, and 2020, there was no impairment loss reported.</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Held-to-maturity securities are evaluated for potential credit loss on a collective basis. The estimate of credit losses considers historical credit loss information that is adjusted for current conditions and reasonable and supportable forecasts.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expected credit losses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assesses outstanding receivables at each period for credit risk. The majority of receivables are from CMS, a United States government entity that presents very limited credit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consists of income from operating subleases, miscellaneous revenue, investment income, commissions, and realized gains and losses.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Investment income includes interest, dividends received or accrued on investments, and realized gains or losses. Investment income is reported as earned and is presented net of related investment expenses and expected credit losses. Realized gains or losses are recognized based on the specific identification method. Purchases and sales are recorded on a trade-date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 determine the fair value of its investments, the Company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Company would use in pricing the Company's assets or liabilities based on independently derived and observable market data. Unobservable inputs are inputs that cannot be sourced from a broad active market in which assets or liabilities identical or similar to those of the Company are traded.</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fair value hierarchy includes three levels of inputs based on the degree to which the exit price is independently observable or determinable that may be used to measure fair value as described below:</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Valuations are based on quoted (unadjusted) market prices in active markets for identical assets or liabilities. Since valuations are based on quoted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6" w:name="page87"/>
    <w:bookmarkEnd w:id="86"/>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Valuations are based on observable inputs other than Level 1 prices such as quoted prices in active markets for similar assets or liabilities, quoted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identical or similar assets or liabilities in markets that are not active, or other inputs that are observable or can be corroborated by observable market data for substantially the full term of the assets or liabilities;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Valuations are based on techniques that use significant inputs that are unobservable and reflect management's best estimate of what market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Company's assessment of the significance of a particular input to the fair value measurement in its entirety requires judgment. In making the assessment, the Company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The Company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and cash equivalents. Cash and cash equivalents are held with financial institutions of high quality. Balances may exceed the amount of insurance provided on such balances.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 with its reinsurers.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 - cloud computing arrangements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within Prepaid expenses, and are generally amortized over the fixed, non-cancelable term of the associated hosting arrangement on a straight-line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acquisition costs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Acquisition costs directly related to the successful acquisition of new business, which are primarily made up of commissions costs, are deferred and subsequently amortized. Deferred acquisition costs are recorded within Other assets, current on the Consolidated Balance Sheets and are amortized over the estimated life of the related contracts. The amortization of deferred acquisition costs is recorded within General and administrative expenses within the Consolidated Statement of Operations and Comprehensive Loss. At December 31, 2022 and 2021, there were no deferred acquisition costs as a result of the acceleration of amortization for deferred acquisition costs due to the recognition of a premium deficiency reserve. For the years ended December 31, 2022 and 2021, charges related to deferred acquisition costs of $16.3 million, and $10.7 million, respectively, were recognized within General and administrative expenses. There was no amortization expense of deferred acquisition costs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within Other income (loss).</w:t>
      </w:r>
    </w:p>
    <w:p>
      <w:pPr>
        <w:spacing w:after="0" w:line="200" w:lineRule="exact"/>
        <w:rPr>
          <w:sz w:val="20"/>
          <w:szCs w:val="20"/>
          <w:color w:val="auto"/>
        </w:rPr>
      </w:pP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2022, 2021, and 2020.</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At December 31, 2022 and 2021, there were no circumstances that indicate that the carrying amount of intangible assets deemed to have an indefinite useful life may not be recoverable.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Reinsurance</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normal course of business, the Company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expected credit losses of Reinsurance recoverable is evaluated based upon a number of factors. Such factors include the amounts outstanding, history of losses, ratings of reinsurers, disputes, any collateral or letters of credit held and other relevant factors. The Company had no material credit allowances for Reinsurance recoverable at December 31, 2022 and 2021. Amounts recoverable from reinsurers are estimated in a manner consistent with the liability associated with the reinsured business and consistent with the terms of the underlying contracts. Although reinsurance agreements contractually obligate reinsurers to reimburse the Company for their share of losses, they do not discharge the primary liability of the Company. The Company remains liable for unpaid claims and claims adjustment expenses associated with ceded insured risks if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Unpaid claims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Unpaid claims and unpaid claims adjustment expenses include reported claims and incurred but not yet reported ("IBNR") claims, as well as the estimated expense of processing these claims. Management develops an estimate for IBNR using actuarial methodologies and assumptions, primarily based upon historical claim experience.</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Liabilities for both reported claims and IBNR not yet processed through the Company's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Company's reserving practice is to consistently recognize an actuarial best estimate inclusive of a provision for moderately adverse conditions. This provision is reported as part of incurred claims.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claims incurred</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recognizes the cost of medical claims in the period in which services are provided, including an estimate of the cost of medical claims IBNR. This methodology is applied for both the Company's Insurance and Non-Insurance operations. Medical claim expense reported within the Consolidated Statements of Operations and Comprehensive Loss includes direct medical expenses.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Direct medical expenses include amounts paid or payable to hospitals, physicians, pharmacy benefit managers, providers of ancillary services, mandatory supplemental benefits, and is inclusive of the medical expense related to the Company's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within Healthcare receivables within the Consolidated Balance Sheets. Overpayments to providers are recognized as a contra medical expense and reported within Other receivables within the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liability for premium deficiency reserves is an actuarial estimate for anticipated losses on the Company's MA and MA Part D ("MAPD") business.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purposes of calculating premium deficiency reserves, management groups contracts in a manner consistent with the method of acquiring, servicing, and measuring the profitability of such contracts.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Losses recognized as a premium deficiency are recorded in the period in which such losses were identified and reflected within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was inclusive of the 2020 HIF. The Company estimates a liability for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9" w:name="page90"/>
    <w:bookmarkEnd w:id="89"/>
    <w:p>
      <w:pPr>
        <w:jc w:val="both"/>
        <w:spacing w:after="0" w:line="267" w:lineRule="auto"/>
        <w:rPr>
          <w:sz w:val="20"/>
          <w:szCs w:val="20"/>
          <w:color w:val="auto"/>
        </w:rPr>
      </w:pPr>
      <w:r>
        <w:rPr>
          <w:rFonts w:ascii="Times New Roman" w:cs="Times New Roman" w:eastAsia="Times New Roman" w:hAnsi="Times New Roman"/>
          <w:sz w:val="17"/>
          <w:szCs w:val="17"/>
          <w:color w:val="auto"/>
        </w:rPr>
        <w:t>the HIF and records it in full once qualifying insurance coverage is provided in the applicable calendar year in which the fee is payable, with a corresponding deferred cost that is amortized ratably to expense over the same calendar year. The deferred cost is recorded within other assets on the Consolidated Balance Sheets. The Company paid the federal government approximately $8.0 million for the HIF in 2020, which is reflected within the Consolidated Statements of Operations and Comprehensive Loss. The HIF was repealed and no longer effective in years subsequent to 2020.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and securities payable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 costs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Costs incurred in connection with Company's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net</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within other liabilities on the Consolidated Balance Sheets and recognized as revenue when earned.</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Premiums anticipated to be received within twelve months based on the documented diagnostic criteria of the Company's enrollees are estimated and included in revenue for the period including the member months for which the payment is designated by CMS.</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CMS uses a risk-adjustment model which adjusts premiums paid to MA contracts, based on risk scores that are compared with the overall average risk scores for the relevant state and market pool. Generally, if a risk score is below the average risk score the Company is required to make a risk adjustment payment into the risk pool, and if a risk score is above the average risk score the Company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Company's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within the Company's Consolidated Statements of Operations and Comprehensive Loss, based upon available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Retrospective premiums involve the evaluation of past claims experience for the purpose of determining the actual cost of providing insurance for the customer.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evaluation is performed once every year and retrospective premiums are recognized in the year earned.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MAPD revenue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Payments received from CMS and members from Clover's participation in the MAPD program are determined from the Company's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Company or require the Company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0" w:name="page91"/>
    <w:bookmarkEnd w:id="90"/>
    <w:p>
      <w:pPr>
        <w:jc w:val="both"/>
        <w:spacing w:after="0" w:line="264" w:lineRule="auto"/>
        <w:rPr>
          <w:sz w:val="20"/>
          <w:szCs w:val="20"/>
          <w:color w:val="auto"/>
        </w:rPr>
      </w:pPr>
      <w:r>
        <w:rPr>
          <w:rFonts w:ascii="Times New Roman" w:cs="Times New Roman" w:eastAsia="Times New Roman" w:hAnsi="Times New Roman"/>
          <w:sz w:val="17"/>
          <w:szCs w:val="17"/>
          <w:color w:val="auto"/>
        </w:rPr>
        <w:t>Payments from CMS for reinsurance and low-income cost subsidies are based on assumptions submitted with the annual bid. A reconciliation and related settlement of CMS' prospective subsidies against actual prescription drug costs paid is made after the end of the year. Consumer discounts of 50.0% on brand name prescription drugs for participants in the coverage gap are funded by CMS and pharmaceutical manufacturers. The Company accounts for these subsidies and discounts within other assets in the Consolidated Balance Sheets and as an operating activity in the Consolidated Statements of Cash Flows. The Company does not recognize premiums revenue or claim expenses for these subsidies or discounts.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does not recognize leases with a lease term of one year or less on its Consolidated Balance Sheets. Leases with a term greater than one year are recognized on the balance sheet as right-of-use ("ROU") assets and lease liabilities. The Company has sublease arrangements and recognizes sublease income from leasing excess space. Sublease income is recognized on a straight-line basis over the sublease term. At December 31, 2022 and 2021, the Company did not have any financing leases.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At December 31, 2022 and 2021, the Company did not include optional extension periods in the measurement of its leases as they were not reasonably certain of exercise. The Company monitors its plans to renew its material leases on a quarterly basis.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Where the rates implicit in the Company's leases are not readily determinable, the Company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Company is estimated using a synthetic credit rating analysis since the Company does not currently have a rating agency-based credit rating.</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determining the classification of a lease as operating or finance,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Company applies the bright line thresholds referenced in the lease guidance of 75.0% to represent "a major part" and 90.0% to represent "substantially all" as allowed in ASC 842 in evaluating leases for appropriate classification. These are applied consistently to the Company's entire portfolio of leases.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accounts for all stock-based payment awards granted to employees and non-employees as stock-based compensation expense at fair value. The Company's stock-based payments include stock options, restricted stock units, and grants of common stock, including common stock subject to vesting. The measurement date for employee awards is the grant date, and stock-based compensation costs are recognized as expense over the employees' requisite service periods, which are the vesting periods, on a straight-line basis. Nonemployee share-based payment equity awards are measured at the grant-date fair value of the equity instruments, similar to employee share-based payment equity awards. Stock-based compensation costs for non-employees are recognized as expense over the vesting period on a straight-line basis. Stock-based compensation expense is classified within the accompanying Consolidated Statements of Operations and Comprehensive Loss within Salaries and benefits. The Company recognizes stock-based compensation expense for the portion of awards that have vested. Forfeitures are recorded as they occur.</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each stock option grant is estimated on the date of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Comprehensive income is a measurement of certain changes within Stockholders' equity that results from transactions and other economic events other than transactions with the stockholders. The cumulative amount of these changes is reported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taxes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Company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At December 31, 2022 and 2021, sufficient doubt existed over the Company's ability to generate sufficient taxable income to realize its deferred income tax assets, and accordingly, the Company provided a full valuation allowance against its deferred tax assets.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Company did not have any material uncertain tax positions during the years ended December 31, 2022 and 2021. The Company classifies interest and penalties associated with uncertain tax positions in its provision for income taxes. The Company did not incur or record any interest and penalties related to uncertain tax positions at or during the years ended December 31, 2022, 2021, and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potentially dilutive common shares. For purposes of this calculation, outstanding stock options, convertible preferred stock and warrants to purchase shares of convertible preferred stock are considered potential dilutive common shares.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attributable to common stockholders, such losses were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2" w:name="page93"/>
    <w:bookmarkEnd w:id="92"/>
    <w:p>
      <w:pPr>
        <w:jc w:val="both"/>
        <w:spacing w:after="0" w:line="292" w:lineRule="auto"/>
        <w:rPr>
          <w:sz w:val="20"/>
          <w:szCs w:val="20"/>
          <w:color w:val="auto"/>
        </w:rPr>
      </w:pPr>
      <w:r>
        <w:rPr>
          <w:rFonts w:ascii="Times New Roman" w:cs="Times New Roman" w:eastAsia="Times New Roman" w:hAnsi="Times New Roman"/>
          <w:sz w:val="17"/>
          <w:szCs w:val="17"/>
          <w:color w:val="auto"/>
        </w:rPr>
        <w:t>assumed to have been issued if their effect is anti-dilutive. The Company reported a net loss attributable to common stockholders for the years ended December 31, 2022, 2021, and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have been no new accounting pronouncements adopted since the filing of the Annual Report on Form 10-K for the year ended December 31, 2021 that are expected to materially impact the Company's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effective in future periods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August 2018, the FASB issued ASU 2018-12, </w:t>
      </w:r>
      <w:r>
        <w:rPr>
          <w:rFonts w:ascii="Times New Roman" w:cs="Times New Roman" w:eastAsia="Times New Roman" w:hAnsi="Times New Roman"/>
          <w:sz w:val="17"/>
          <w:szCs w:val="17"/>
          <w:i w:val="1"/>
          <w:iCs w:val="1"/>
          <w:color w:val="auto"/>
        </w:rPr>
        <w:t>Financial Services - Insurance (Topic 944): Targeted Improvements to the Accounting for Long-Duration</w:t>
      </w:r>
    </w:p>
    <w:p>
      <w:pPr>
        <w:spacing w:after="0" w:line="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Contracts, </w:t>
      </w:r>
      <w:r>
        <w:rPr>
          <w:rFonts w:ascii="Times New Roman" w:cs="Times New Roman" w:eastAsia="Times New Roman" w:hAnsi="Times New Roman"/>
          <w:sz w:val="17"/>
          <w:szCs w:val="17"/>
          <w:color w:val="auto"/>
        </w:rPr>
        <w:t>which was subsequently amended by ASU 2019-09,</w:t>
      </w:r>
      <w:r>
        <w:rPr>
          <w:rFonts w:ascii="Times New Roman" w:cs="Times New Roman" w:eastAsia="Times New Roman" w:hAnsi="Times New Roman"/>
          <w:sz w:val="17"/>
          <w:szCs w:val="17"/>
          <w:i w:val="1"/>
          <w:iCs w:val="1"/>
          <w:color w:val="auto"/>
        </w:rPr>
        <w:t xml:space="preserve"> Financial Services—Insurance (Topic 944): Effective Date </w:t>
      </w:r>
      <w:r>
        <w:rPr>
          <w:rFonts w:ascii="Times New Roman" w:cs="Times New Roman" w:eastAsia="Times New Roman" w:hAnsi="Times New Roman"/>
          <w:sz w:val="17"/>
          <w:szCs w:val="17"/>
          <w:color w:val="auto"/>
        </w:rPr>
        <w:t>and ASU 2020-11,</w:t>
      </w:r>
      <w:r>
        <w:rPr>
          <w:rFonts w:ascii="Times New Roman" w:cs="Times New Roman" w:eastAsia="Times New Roman" w:hAnsi="Times New Roman"/>
          <w:sz w:val="17"/>
          <w:szCs w:val="17"/>
          <w:i w:val="1"/>
          <w:iCs w:val="1"/>
          <w:color w:val="auto"/>
        </w:rPr>
        <w:t xml:space="preserve"> Financial Services —Insurance (Topic 944): Effective Date and Early Application</w:t>
      </w:r>
      <w:r>
        <w:rPr>
          <w:rFonts w:ascii="Times New Roman" w:cs="Times New Roman" w:eastAsia="Times New Roman" w:hAnsi="Times New Roman"/>
          <w:sz w:val="17"/>
          <w:szCs w:val="17"/>
          <w:color w:val="auto"/>
        </w:rPr>
        <w:t>. ASU 2020-11 was issued in consideration of the implications of COVID-19 and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as of the beginning of the earliest period presented, with an option to apply such amendments retrospectively with a cumulative-effect adjustment to the opening balance of retained earnings as of the earliest period presented. The amendments for market risk benefits are to be applied retrospectively. ASU 2020-11 is effective for public entities for periods beginning after December 15, 2022. The Company adopted this standard on January 1, 2023. The adoption of ASU 2018-12 and related amendments is not expected to have a material impact on the Company's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Business Combinations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Business Combination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November 14, 2022, the Company entered into a securities purchase agreement with an electronic health record software provider, Juxly, Inc. ("Juxly"), to acquire 100% of the outstanding equity interests of Juxly, for a total purchase price of approximately $16.5 million of which $3.0 million is considered contingent consideration and the maximum amount estimated to be paid (the "2022 Business Combination"). The acquisition of Juxly was entered into as part of Clover's broader strategy of integrating Clover Assistant into existing electronic health record platforms deployed in the health care environment. The goodwill resulting from the transaction that was recorded by the Company was approximately $10.5 million.</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total acquisition related costs were $0.2 million and were recognized in the Company's Consolidated Statement of Operations and Comprehensive Loss within General and administrative expenses.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acquisition described above was accounted for using the acquisition method of accounting, which requires, among other things, the assets acquired and the liabilities assumed be recognized at their fair values as of the acquisition date. The results of the acquisition were included within the consolidated financial statements commencing on the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The following table summarizes the fair value estimates of the assets acquired and liabilities assumed for the Juxly acquisition.</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20955</wp:posOffset>
            </wp:positionV>
            <wp:extent cx="7096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6125" cy="8255"/>
                    </a:xfrm>
                    <a:prstGeom prst="rect">
                      <a:avLst/>
                    </a:prstGeom>
                    <a:noFill/>
                  </pic:spPr>
                </pic:pic>
              </a:graphicData>
            </a:graphic>
          </wp:anchor>
        </w:drawing>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38" w:orient="portrait"/>
          <w:cols w:equalWidth="0" w:num="1">
            <w:col w:w="11240"/>
          </w:cols>
          <w:pgMar w:left="320" w:top="744" w:right="339" w:bottom="1440" w:gutter="0" w:footer="0" w:header="0"/>
        </w:sectPr>
      </w:pP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-120015</wp:posOffset>
            </wp:positionV>
            <wp:extent cx="7096125" cy="140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6125" cy="14033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096125" cy="140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6125" cy="14033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19685</wp:posOffset>
            </wp:positionV>
            <wp:extent cx="7096125" cy="140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6125" cy="14033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Goodwill and other intangible assets </w:t>
      </w:r>
      <w:r>
        <w:rPr>
          <w:rFonts w:ascii="Times New Roman" w:cs="Times New Roman" w:eastAsia="Times New Roman" w:hAnsi="Times New Roman"/>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-5080</wp:posOffset>
            </wp:positionV>
            <wp:extent cx="7096125" cy="148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6125" cy="1485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Total assets acquired</w:t>
      </w: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-120015</wp:posOffset>
            </wp:positionV>
            <wp:extent cx="7096125" cy="140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6125" cy="14033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Accrued salaries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096125" cy="140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6125" cy="14033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Current taxes payable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80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r>
    </w:tbl>
    <w:p>
      <w:pPr>
        <w:jc w:val="right"/>
        <w:ind w:right="100"/>
        <w:spacing w:after="0"/>
        <w:rPr>
          <w:sz w:val="20"/>
          <w:szCs w:val="20"/>
          <w:color w:val="auto"/>
        </w:rPr>
      </w:pPr>
      <w:r>
        <w:rPr>
          <w:rFonts w:ascii="Times New Roman" w:cs="Times New Roman" w:eastAsia="Times New Roman" w:hAnsi="Times New Roman"/>
          <w:sz w:val="17"/>
          <w:szCs w:val="17"/>
          <w:color w:val="auto"/>
        </w:rPr>
        <w:t>38</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11868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684</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47</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15,907</w:t>
      </w:r>
    </w:p>
    <w:p>
      <w:pPr>
        <w:spacing w:after="0" w:line="33" w:lineRule="exact"/>
        <w:rPr>
          <w:sz w:val="20"/>
          <w:szCs w:val="20"/>
          <w:color w:val="auto"/>
        </w:rPr>
      </w:pPr>
    </w:p>
    <w:p>
      <w:pPr>
        <w:ind w:left="1300" w:hanging="1300"/>
        <w:spacing w:after="0"/>
        <w:tabs>
          <w:tab w:leader="none" w:pos="1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11868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1"/>
        </w:trPr>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6"/>
        </w:trPr>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bl>
    <w:p>
      <w:pPr>
        <w:spacing w:after="0" w:line="1" w:lineRule="exact"/>
        <w:rPr>
          <w:sz w:val="20"/>
          <w:szCs w:val="20"/>
          <w:color w:val="auto"/>
        </w:rPr>
      </w:pPr>
    </w:p>
    <w:p>
      <w:pPr>
        <w:sectPr>
          <w:pgSz w:w="11900" w:h="16838" w:orient="portrait"/>
          <w:cols w:equalWidth="0" w:num="2">
            <w:col w:w="8640" w:space="720"/>
            <w:col w:w="1880"/>
          </w:cols>
          <w:pgMar w:left="320" w:top="744" w:right="339" w:bottom="1440" w:gutter="0" w:footer="0" w:header="0"/>
          <w:type w:val="continuous"/>
        </w:sectPr>
      </w:pPr>
    </w:p>
    <w:tbl>
      <w:tblPr>
        <w:tblLayout w:type="fixed"/>
        <w:tblInd w:w="40" w:type="dxa"/>
        <w:tblCellMar>
          <w:top w:w="0" w:type="dxa"/>
          <w:left w:w="0" w:type="dxa"/>
          <w:bottom w:w="0" w:type="dxa"/>
          <w:right w:w="0" w:type="dxa"/>
        </w:tblCellMar>
      </w:tblPr>
      <w:tr>
        <w:trPr>
          <w:trHeight w:val="214"/>
        </w:trPr>
        <w:tc>
          <w:tcPr>
            <w:tcW w:w="9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40"/>
        </w:trPr>
        <w:tc>
          <w:tcPr>
            <w:tcW w:w="9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1"/>
        </w:trPr>
        <w:tc>
          <w:tcPr>
            <w:tcW w:w="9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net assets acquired</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16,526</w:t>
            </w:r>
          </w:p>
        </w:tc>
      </w:tr>
      <w:tr>
        <w:trPr>
          <w:trHeight w:val="20"/>
        </w:trPr>
        <w:tc>
          <w:tcPr>
            <w:tcW w:w="9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6"/>
        </w:trPr>
        <w:tc>
          <w:tcPr>
            <w:tcW w:w="9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1"/>
        </w:trPr>
        <w:tc>
          <w:tcPr>
            <w:tcW w:w="9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acquisition consideration</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16,526</w:t>
            </w:r>
          </w:p>
        </w:tc>
      </w:tr>
      <w:tr>
        <w:trPr>
          <w:trHeight w:val="20"/>
        </w:trPr>
        <w:tc>
          <w:tcPr>
            <w:tcW w:w="9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160" w:hanging="156"/>
        <w:spacing w:after="0" w:line="266" w:lineRule="auto"/>
        <w:tabs>
          <w:tab w:leader="none" w:pos="131"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the fair value of Juxly's developed technology, which is being amortized on a straight-line basis over 5 years. The developed technology was valued using the cost approach and the useful life was estimated based on the time to recover the related future discounted cash flows.</w:t>
      </w:r>
    </w:p>
    <w:p>
      <w:pPr>
        <w:spacing w:after="0" w:line="19" w:lineRule="exact"/>
        <w:rPr>
          <w:rFonts w:ascii="Times New Roman" w:cs="Times New Roman" w:eastAsia="Times New Roman" w:hAnsi="Times New Roman"/>
          <w:sz w:val="16"/>
          <w:szCs w:val="16"/>
          <w:color w:val="auto"/>
          <w:vertAlign w:val="superscript"/>
        </w:rPr>
      </w:pPr>
    </w:p>
    <w:p>
      <w:pPr>
        <w:ind w:left="160" w:hanging="156"/>
        <w:spacing w:after="0" w:line="262" w:lineRule="auto"/>
        <w:tabs>
          <w:tab w:leader="none" w:pos="159"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the difference between the purchase price over the net identifiable tangible and intangible assets acquired allocated to goodwill, which is not deductible for tax purposes. Goodwill was assigned to Corporate/Other. The goodwill was primarily attributed to increased synergies that are expected to be achieved from the integration of Juxly.</w:t>
      </w:r>
    </w:p>
    <w:p>
      <w:pPr>
        <w:spacing w:after="0" w:line="11" w:lineRule="exact"/>
        <w:rPr>
          <w:rFonts w:ascii="Times New Roman" w:cs="Times New Roman" w:eastAsia="Times New Roman" w:hAnsi="Times New Roman"/>
          <w:sz w:val="9"/>
          <w:szCs w:val="9"/>
          <w:color w:val="auto"/>
        </w:rPr>
      </w:pPr>
    </w:p>
    <w:p>
      <w:pPr>
        <w:ind w:left="160"/>
        <w:spacing w:after="0" w:line="262" w:lineRule="auto"/>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Juxly's results of operations have been included in the Company's consolidated financial statements beginning on November 14, 2022. Juxly contributed revenue of $0.1 million and net loss of $0.4 million (after amortization of non-cash purchase accounting adjustments and transition and transaction costs) for the period from the date of acquisition through December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2021 Business Combination</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Merger Agreement, among other things, (i) all outstanding shares of common stock of Legacy Clover immediately prior to the effective time of the First Merger were canceled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Immediately after giving effect to the 2021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transaction closed on January 7, 2021, and on the following day the Company's Class A Common Stock and public warrants were listed on the Nasdaq Global Select Market (Nasdaq) under the symbols "CLOV" and "CLOVW," respectively, for trading in the public market.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type w:val="continuous"/>
        </w:sectPr>
      </w:pPr>
    </w:p>
    <w:bookmarkStart w:id="94" w:name="page95"/>
    <w:bookmarkEnd w:id="94"/>
    <w:p>
      <w:pPr>
        <w:spacing w:after="0" w:line="292" w:lineRule="auto"/>
        <w:rPr>
          <w:sz w:val="20"/>
          <w:szCs w:val="20"/>
          <w:color w:val="auto"/>
        </w:rPr>
      </w:pPr>
      <w:r>
        <w:rPr>
          <w:rFonts w:ascii="Times New Roman" w:cs="Times New Roman" w:eastAsia="Times New Roman" w:hAnsi="Times New Roman"/>
          <w:sz w:val="17"/>
          <w:szCs w:val="17"/>
          <w:color w:val="auto"/>
        </w:rPr>
        <w:t>See also Note 5 (Fair Value Measurements), Note 12 (Notes and Securities Payable), and Note 17 (Stockholders' Equity and Convertible Preferred Stock) for additional information regarding changes to the instruments as a result of the 2021 Business Combination.</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Investment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amortized cost and fair values of investments at December 31, 2022 and 2021, respectively:</w:t>
      </w:r>
    </w:p>
    <w:p>
      <w:pPr>
        <w:sectPr>
          <w:pgSz w:w="11900" w:h="16838" w:orient="portrait"/>
          <w:cols w:equalWidth="0" w:num="1">
            <w:col w:w="11240"/>
          </w:cols>
          <w:pgMar w:left="320" w:top="744"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 held-to-maturity</w:t>
      </w:r>
    </w:p>
    <w:p>
      <w:pPr>
        <w:spacing w:after="0" w:line="51" w:lineRule="exact"/>
        <w:rPr>
          <w:sz w:val="20"/>
          <w:szCs w:val="20"/>
          <w:color w:val="auto"/>
        </w:rPr>
      </w:pPr>
    </w:p>
    <w:p>
      <w:pPr>
        <w:ind w:left="20" w:right="1040" w:firstLine="156"/>
        <w:spacing w:after="0" w:line="302" w:lineRule="auto"/>
        <w:rPr>
          <w:sz w:val="20"/>
          <w:szCs w:val="20"/>
          <w:color w:val="auto"/>
        </w:rPr>
      </w:pPr>
      <w:r>
        <w:rPr>
          <w:rFonts w:ascii="Times New Roman" w:cs="Times New Roman" w:eastAsia="Times New Roman" w:hAnsi="Times New Roman"/>
          <w:sz w:val="17"/>
          <w:szCs w:val="17"/>
          <w:color w:val="auto"/>
        </w:rPr>
        <w:t>U.S. government and government agencies and authorities Investment securities, available-for-sale</w:t>
      </w:r>
    </w:p>
    <w:p>
      <w:pPr>
        <w:spacing w:after="0" w:line="1" w:lineRule="exact"/>
        <w:rPr>
          <w:sz w:val="20"/>
          <w:szCs w:val="20"/>
          <w:color w:val="auto"/>
        </w:rPr>
      </w:pPr>
    </w:p>
    <w:p>
      <w:pPr>
        <w:ind w:left="180" w:right="1040"/>
        <w:spacing w:after="0" w:line="326" w:lineRule="auto"/>
        <w:rPr>
          <w:sz w:val="20"/>
          <w:szCs w:val="20"/>
          <w:color w:val="auto"/>
        </w:rPr>
      </w:pPr>
      <w:r>
        <w:rPr>
          <w:rFonts w:ascii="Times New Roman" w:cs="Times New Roman" w:eastAsia="Times New Roman" w:hAnsi="Times New Roman"/>
          <w:sz w:val="17"/>
          <w:szCs w:val="17"/>
          <w:color w:val="auto"/>
        </w:rPr>
        <w:t>U.S. government and government agencies and authorities Corporate debt securities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 held-to-maturity</w:t>
      </w:r>
    </w:p>
    <w:p>
      <w:pPr>
        <w:spacing w:after="0" w:line="51" w:lineRule="exact"/>
        <w:rPr>
          <w:sz w:val="20"/>
          <w:szCs w:val="20"/>
          <w:color w:val="auto"/>
        </w:rPr>
      </w:pPr>
    </w:p>
    <w:p>
      <w:pPr>
        <w:ind w:left="20" w:right="1040" w:firstLine="156"/>
        <w:spacing w:after="0" w:line="302" w:lineRule="auto"/>
        <w:rPr>
          <w:sz w:val="20"/>
          <w:szCs w:val="20"/>
          <w:color w:val="auto"/>
        </w:rPr>
      </w:pPr>
      <w:r>
        <w:rPr>
          <w:rFonts w:ascii="Times New Roman" w:cs="Times New Roman" w:eastAsia="Times New Roman" w:hAnsi="Times New Roman"/>
          <w:sz w:val="17"/>
          <w:szCs w:val="17"/>
          <w:color w:val="auto"/>
        </w:rPr>
        <w:t>U.S. government and government agencies and authorities Investment securities, available-for-sale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U.S. government and government agencies and authorities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unrealized gains</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unrealized losses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9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47"/>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228,467</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336,997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327,517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16"/>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unrealized gains</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unrealized losses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9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4"/>
                <w:szCs w:val="24"/>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47"/>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196,735</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197,406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-2554605</wp:posOffset>
            </wp:positionV>
            <wp:extent cx="7137400" cy="156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-2240915</wp:posOffset>
            </wp:positionV>
            <wp:extent cx="7137400" cy="156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-1927860</wp:posOffset>
            </wp:positionV>
            <wp:extent cx="7137400" cy="156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-823595</wp:posOffset>
            </wp:positionV>
            <wp:extent cx="7137400" cy="156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-510540</wp:posOffset>
            </wp:positionV>
            <wp:extent cx="7137400" cy="156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-197485</wp:posOffset>
            </wp:positionV>
            <wp:extent cx="7137400" cy="181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744"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amortized cost and fair value of debt securities at December 31, 2022, by contractual maturity:</w:t>
      </w:r>
    </w:p>
    <w:p>
      <w:pPr>
        <w:sectPr>
          <w:pgSz w:w="11900" w:h="16838" w:orient="portrait"/>
          <w:cols w:equalWidth="0" w:num="1">
            <w:col w:w="11240"/>
          </w:cols>
          <w:pgMar w:left="320" w:top="744" w:right="339" w:bottom="1440" w:gutter="0" w:footer="0" w:header="0"/>
          <w:type w:val="continuous"/>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within one year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five years through ten years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ten years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20" w:type="dxa"/>
            <w:vAlign w:val="bottom"/>
          </w:tcPr>
          <w:p>
            <w:pPr>
              <w:spacing w:after="0"/>
              <w:rPr>
                <w:sz w:val="18"/>
                <w:szCs w:val="18"/>
                <w:color w:val="auto"/>
              </w:rPr>
            </w:pPr>
          </w:p>
        </w:tc>
        <w:tc>
          <w:tcPr>
            <w:tcW w:w="2460" w:type="dxa"/>
            <w:vAlign w:val="bottom"/>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214"/>
        </w:trPr>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193,300</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189,498</w:t>
            </w:r>
          </w:p>
        </w:tc>
      </w:tr>
      <w:tr>
        <w:trPr>
          <w:trHeight w:val="267"/>
        </w:trPr>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137,368</w:t>
            </w:r>
          </w:p>
        </w:tc>
      </w:tr>
      <w:tr>
        <w:trPr>
          <w:trHeight w:val="226"/>
        </w:trPr>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336,240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326,866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-823595</wp:posOffset>
            </wp:positionV>
            <wp:extent cx="7137400" cy="156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-510540</wp:posOffset>
            </wp:positionV>
            <wp:extent cx="7137400" cy="156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-197485</wp:posOffset>
            </wp:positionV>
            <wp:extent cx="7137400" cy="181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744" w:right="339" w:bottom="1440" w:gutter="0" w:footer="0" w:header="0"/>
          <w:type w:val="continuous"/>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type w:val="continuous"/>
        </w:sectPr>
      </w:pPr>
    </w:p>
    <w:bookmarkStart w:id="95" w:name="page96"/>
    <w:bookmarkEnd w:id="95"/>
    <w:p>
      <w:pPr>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2022, 2021, and 2020, respectively, net investment income, which is included within Other income within the Consolidated Statements of Operations and Comprehensive Loss, was derived from the following sources:</w:t>
      </w:r>
    </w:p>
    <w:p>
      <w:pPr>
        <w:sectPr>
          <w:pgSz w:w="11900" w:h="16838" w:orient="portrait"/>
          <w:cols w:equalWidth="0" w:num="1">
            <w:col w:w="11240"/>
          </w:cols>
          <w:pgMar w:left="320" w:top="9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investments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w:t>
      </w:r>
    </w:p>
    <w:p>
      <w:pPr>
        <w:spacing w:after="0" w:line="90" w:lineRule="exact"/>
        <w:rPr>
          <w:sz w:val="20"/>
          <w:szCs w:val="20"/>
          <w:color w:val="auto"/>
        </w:rPr>
      </w:pPr>
    </w:p>
    <w:p>
      <w:pPr>
        <w:jc w:val="right"/>
        <w:ind w:right="3780"/>
        <w:spacing w:after="0"/>
        <w:rPr>
          <w:sz w:val="20"/>
          <w:szCs w:val="20"/>
          <w:color w:val="auto"/>
        </w:rPr>
      </w:pPr>
      <w:r>
        <w:rPr>
          <w:rFonts w:ascii="Times New Roman" w:cs="Times New Roman" w:eastAsia="Times New Roman" w:hAnsi="Times New Roman"/>
          <w:sz w:val="17"/>
          <w:szCs w:val="17"/>
          <w:color w:val="auto"/>
        </w:rPr>
        <w:t>Investment income, net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Years ended</w:t>
      </w:r>
    </w:p>
    <w:p>
      <w:pPr>
        <w:ind w:left="19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85"/>
        </w:trPr>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4"/>
        </w:trPr>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67"/>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26"/>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6"/>
        </w:trPr>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9"/>
        </w:trPr>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-666750</wp:posOffset>
            </wp:positionV>
            <wp:extent cx="7137400" cy="156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-353695</wp:posOffset>
            </wp:positionV>
            <wp:extent cx="7137400" cy="156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952" w:right="339" w:bottom="1440" w:gutter="0" w:footer="0" w:header="0"/>
          <w:type w:val="continuous"/>
        </w:sectPr>
      </w:pPr>
    </w:p>
    <w:p>
      <w:pPr>
        <w:spacing w:after="0" w:line="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Gross unrealized losses and fair values aggregated by investment category and length of time that individual securities have been in a continuous unrealized loss position were as follows at December 31, 2022, and December 31, 2021,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8"/>
                <w:szCs w:val="18"/>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(9,106)</w:t>
            </w:r>
          </w:p>
        </w:tc>
        <w:tc>
          <w:tcPr>
            <w:tcW w:w="0" w:type="dxa"/>
            <w:vAlign w:val="bottom"/>
          </w:tcPr>
          <w:p>
            <w:pPr>
              <w:spacing w:after="0"/>
              <w:rPr>
                <w:sz w:val="1"/>
                <w:szCs w:val="1"/>
                <w:color w:val="auto"/>
              </w:rPr>
            </w:pPr>
          </w:p>
        </w:tc>
      </w:tr>
      <w:tr>
        <w:trPr>
          <w:trHeight w:val="24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39"/>
        </w:trPr>
        <w:tc>
          <w:tcPr>
            <w:tcW w:w="3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142,553</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147,757</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290,310</w:t>
            </w: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5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24"/>
                <w:szCs w:val="24"/>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24"/>
                <w:szCs w:val="24"/>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and authorities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187,251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195,153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0" w:type="dxa"/>
            <w:vAlign w:val="bottom"/>
          </w:tcPr>
          <w:p>
            <w:pPr>
              <w:spacing w:after="0"/>
              <w:rPr>
                <w:sz w:val="1"/>
                <w:szCs w:val="1"/>
                <w:color w:val="auto"/>
              </w:rPr>
            </w:pPr>
          </w:p>
        </w:tc>
      </w:tr>
      <w:tr>
        <w:trPr>
          <w:trHeight w:val="21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187,251</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195,153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Number of positions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record any credit allowances for debt securities that were in an unrealized loss position at December 31, 2022 and 2021.</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December 31, 2022,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December 31, 2022, were assessed, based on, among other things:</w:t>
      </w:r>
    </w:p>
    <w:p>
      <w:pPr>
        <w:spacing w:after="0" w:line="88" w:lineRule="exact"/>
        <w:rPr>
          <w:sz w:val="20"/>
          <w:szCs w:val="20"/>
          <w:color w:val="auto"/>
        </w:rPr>
      </w:pPr>
    </w:p>
    <w:p>
      <w:pPr>
        <w:ind w:left="620" w:hanging="305"/>
        <w:spacing w:after="0"/>
        <w:tabs>
          <w:tab w:leader="none" w:pos="6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relative magnitude to which fair values of these securities have been below their amortized cost was not indicative of an impairment loss;</w:t>
      </w:r>
    </w:p>
    <w:p>
      <w:pPr>
        <w:spacing w:after="0" w:line="124" w:lineRule="exact"/>
        <w:rPr>
          <w:rFonts w:ascii="Times New Roman" w:cs="Times New Roman" w:eastAsia="Times New Roman" w:hAnsi="Times New Roman"/>
          <w:sz w:val="21"/>
          <w:szCs w:val="21"/>
          <w:color w:val="auto"/>
        </w:rPr>
      </w:pPr>
    </w:p>
    <w:p>
      <w:pPr>
        <w:ind w:left="620" w:hanging="305"/>
        <w:spacing w:after="0" w:line="238" w:lineRule="auto"/>
        <w:tabs>
          <w:tab w:leader="none" w:pos="61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absence of compelling evidence that would cause the Company to call into question the financial condition or near-term prospects of the issuer of the applicable security; and</w:t>
      </w:r>
    </w:p>
    <w:p>
      <w:pPr>
        <w:spacing w:after="0" w:line="109"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96" w:name="page97"/>
    <w:bookmarkEnd w:id="96"/>
    <w:p>
      <w:pPr>
        <w:jc w:val="both"/>
        <w:spacing w:after="0" w:line="273" w:lineRule="auto"/>
        <w:rPr>
          <w:sz w:val="20"/>
          <w:szCs w:val="20"/>
          <w:color w:val="auto"/>
        </w:rPr>
      </w:pPr>
      <w:r>
        <w:rPr>
          <w:rFonts w:ascii="Times New Roman" w:cs="Times New Roman" w:eastAsia="Times New Roman" w:hAnsi="Times New Roman"/>
          <w:sz w:val="17"/>
          <w:szCs w:val="17"/>
          <w:color w:val="auto"/>
        </w:rPr>
        <w:t>Proceeds from sales and maturities of investment securities, inclusive of Short-term investments, and related gross realized gains (losses) which are included within Other income within the Consolidated Statements of Operations and Comprehensive Loss, were as follows for the years ended December 31, 2022, 2021, and 2020, respectively:</w:t>
      </w:r>
    </w:p>
    <w:p>
      <w:pPr>
        <w:spacing w:after="0" w:line="196"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b w:val="1"/>
          <w:bCs w:val="1"/>
          <w:color w:val="auto"/>
        </w:rPr>
        <w:t>Years ended</w:t>
      </w:r>
    </w:p>
    <w:p>
      <w:pPr>
        <w:ind w:left="83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6"/>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6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 of investment securities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248,664</w:t>
            </w:r>
          </w:p>
        </w:tc>
      </w:tr>
      <w:tr>
        <w:trPr>
          <w:trHeight w:val="247"/>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 securities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472,098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63,751</w:t>
            </w:r>
          </w:p>
        </w:tc>
      </w:tr>
      <w:tr>
        <w:trPr>
          <w:trHeight w:val="143"/>
        </w:trPr>
        <w:tc>
          <w:tcPr>
            <w:tcW w:w="6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26"/>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realized gains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r>
      <w:tr>
        <w:trPr>
          <w:trHeight w:val="20"/>
        </w:trPr>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4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4"/>
        </w:trPr>
        <w:tc>
          <w:tcPr>
            <w:tcW w:w="6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realized losses</w:t>
            </w: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2022 and 2021, the Company had $14.3 million and $11.1 million, respectively, in deposits with various states and regulatory bodies that are included as part of the Company's investment balances.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 summary of fair value measurements for financial instruments at December 31, 2022 and 2021,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Total fair</w:t>
            </w:r>
          </w:p>
        </w:tc>
      </w:tr>
      <w:tr>
        <w:trPr>
          <w:trHeight w:val="22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6"/>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8"/>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228,467</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228,467</w:t>
            </w:r>
          </w:p>
        </w:tc>
      </w:tr>
      <w:tr>
        <w:trPr>
          <w:trHeight w:val="24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40" w:type="dxa"/>
            <w:vAlign w:val="bottom"/>
          </w:tcPr>
          <w:p>
            <w:pPr>
              <w:spacing w:after="0"/>
              <w:rPr>
                <w:sz w:val="21"/>
                <w:szCs w:val="21"/>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r>
      <w:tr>
        <w:trPr>
          <w:trHeight w:val="24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326,866</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327,766</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Total fair</w:t>
            </w:r>
          </w:p>
        </w:tc>
      </w:tr>
      <w:tr>
        <w:trPr>
          <w:trHeight w:val="22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6"/>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8"/>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7"/>
        </w:trPr>
        <w:tc>
          <w:tcPr>
            <w:tcW w:w="5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960" w:type="dxa"/>
            <w:vAlign w:val="bottom"/>
            <w:tcBorders>
              <w:bottom w:val="single" w:sz="8" w:color="CFF0FC"/>
            </w:tcBorders>
            <w:shd w:val="clear" w:color="auto" w:fill="CFF0FC"/>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196,735</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196,735</w:t>
            </w:r>
          </w:p>
        </w:tc>
      </w:tr>
      <w:tr>
        <w:trPr>
          <w:trHeight w:val="21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196,735</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196,735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The changes in balances of Legacy Clover's Level 3 financial assets and liabilities during the years ended December 31, 2022 and 2021,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8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440" w:type="dxa"/>
            <w:vAlign w:val="bottom"/>
          </w:tcPr>
          <w:p>
            <w:pPr>
              <w:spacing w:after="0"/>
              <w:rPr>
                <w:sz w:val="19"/>
                <w:szCs w:val="19"/>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6"/>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8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r>
      <w:tr>
        <w:trPr>
          <w:trHeight w:val="23"/>
        </w:trPr>
        <w:tc>
          <w:tcPr>
            <w:tcW w:w="8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2021</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Receipts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0"/>
        </w:trPr>
        <w:tc>
          <w:tcPr>
            <w:tcW w:w="8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7"/>
        </w:trPr>
        <w:tc>
          <w:tcPr>
            <w:tcW w:w="8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in</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7"/>
        </w:trPr>
        <w:tc>
          <w:tcPr>
            <w:tcW w:w="8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out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realized losses (gains)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6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payable</w:t>
            </w:r>
          </w:p>
        </w:tc>
        <w:tc>
          <w:tcPr>
            <w:tcW w:w="300" w:type="dxa"/>
            <w:vAlign w:val="bottom"/>
          </w:tcPr>
          <w:p>
            <w:pPr>
              <w:spacing w:after="0"/>
              <w:rPr>
                <w:sz w:val="19"/>
                <w:szCs w:val="19"/>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6"/>
        </w:trPr>
        <w:tc>
          <w:tcPr>
            <w:tcW w:w="5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8"/>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949,553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1,092,145</w:t>
            </w:r>
          </w:p>
        </w:tc>
      </w:tr>
      <w:tr>
        <w:trPr>
          <w:trHeight w:val="226"/>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7"/>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(949,553)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(1,092,145)</w:t>
            </w:r>
          </w:p>
        </w:tc>
      </w:tr>
      <w:tr>
        <w:trPr>
          <w:trHeight w:val="226"/>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Transfers in</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7"/>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Transfers out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realized losses (gains)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5"/>
        </w:trPr>
        <w:tc>
          <w:tcPr>
            <w:tcW w:w="5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Balance, December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Level 3 financial liabilities in the table above, on September 25, 2020, Seek Insurance Services, Inc. ("Seek"), a field marketing organization and an indirect wholly-owned subsidiary of the Company, entered into a note purchase agreement with a third-party investor and issued a note (the "Seek Convertible Note") in the principal amount of $20.0 million, for which the carrying value is approximately the same as the fair value. At December 31, 2022, upon the dissolution of Seek, all outstanding amounts related to the Seek note were canceled and forgiven. At December 31, 2021, the carrying value, which includes accrued interest, and the fair value of the Seek Convertible Note was $22.0 million, and was considered a Level 3 financial liability. For additional information, see Note 12 (Notes and Securities Payable).</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November 14, 2022, the Company recognized contingent consideration of $3.0 million, for which the carrying value is approximately the same as the fair value, and was included as part of the consideration transferred for the 2022 Business Combination. For additional information, see Note 3 (Business Combination).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in or out of Level 3 financial assets or liabilities for the years ended December 31, 2022 or December 31,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Warrants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October 5, 2020, the Company entered into the Merger Agreement with SCH and simultaneously amended the warrants to be automatically exercisable for common stock in connection with the 2021 Business Combination. Pursuant to the Merger Agreement, the Loan Facility warrants and the September 2015 warrants automatically converted into 3,484,154 shares of Legacy Clover common stock and, after giving effect to the Exchange Ratio, converted into 7,205,490 shares of Class B Common Stock upon the closing of the 2021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 and Private Placement Warrants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a result of the 2021 Business Combination, the Company assumed, at January 7, 2021, public warrants to purchase an aggregate of 27,599,938 shares of the Company's Class A Common Stock and private placement warrants to purchase an aggregate of 10,933,333 shares of the Company's Class A Common Stock. Each whole warrant entitled the registered holder to purchase one whole share of Class A Common Stock at a price of $11.50 per share, at any time commencing on April 24,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December 31, 2022,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 These warrants at initial measurement date, December 31, 2022, were assessed to have a fair value of $0.9 million, with no other activity for the year ended December 31,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Measurement</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Warrants were accounted for as liabilities in accordance with ASC 815-40 and are presented within Warrants payable on the Consolidated Balance Sheets. The warrant liabilities were measured at fair value at inception and measured on a recurring basis, with changes in fair value presented within Change in fair value of warrants within the Consolidated Statements of Operations and Comprehensive Loss. The Company determined that the public warrants assumed in connection with the 2021 Business Combination were classified within Level 1 of the fair value hierarchy as the fair value was equal to the publicly traded price of the public warrants, and the private placement warrants, also assumed in connection with the 2021 Business Combination, were classified within Level 2 of the fair value hierarchy as the fair value was estimated using the price of the public warrants. On July 22, 2021, the Company issued a press release stating that it would redeem all of its public and private placement warrants. In connection with the redemption, effective August 24, 2021, the public warrants were delisted and classified within Level 2 of the fair value hierarchy as the fair value of the public warrants was based on proportional changes in the price of the Company's common stock. The end of the redemption period was September 9, 2021, at which time the Company redeemed all unexercised public and private placement warrants at a price of $0.10 per warrant. Following the redemption, no public or private placement warrants were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warrants payable:</w:t>
            </w:r>
          </w:p>
        </w:tc>
        <w:tc>
          <w:tcPr>
            <w:tcW w:w="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8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Public and Private Placement</w:t>
            </w:r>
          </w:p>
        </w:tc>
        <w:tc>
          <w:tcPr>
            <w:tcW w:w="0" w:type="dxa"/>
            <w:vAlign w:val="bottom"/>
          </w:tcPr>
          <w:p>
            <w:pPr>
              <w:spacing w:after="0"/>
              <w:rPr>
                <w:sz w:val="1"/>
                <w:szCs w:val="1"/>
                <w:color w:val="auto"/>
              </w:rPr>
            </w:pPr>
          </w:p>
        </w:tc>
      </w:tr>
      <w:tr>
        <w:trPr>
          <w:trHeight w:val="234"/>
        </w:trPr>
        <w:tc>
          <w:tcPr>
            <w:tcW w:w="894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jc w:val="center"/>
              <w:ind w:right="316"/>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176"/>
        </w:trPr>
        <w:tc>
          <w:tcPr>
            <w:tcW w:w="8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2"/>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Initial measurement, January 7, 2021</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147,582</w:t>
            </w:r>
          </w:p>
        </w:tc>
        <w:tc>
          <w:tcPr>
            <w:tcW w:w="0" w:type="dxa"/>
            <w:vAlign w:val="bottom"/>
          </w:tcPr>
          <w:p>
            <w:pPr>
              <w:spacing w:after="0"/>
              <w:rPr>
                <w:sz w:val="1"/>
                <w:szCs w:val="1"/>
                <w:color w:val="auto"/>
              </w:rPr>
            </w:pPr>
          </w:p>
        </w:tc>
      </w:tr>
      <w:tr>
        <w:trPr>
          <w:trHeight w:val="221"/>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adjustment</w:t>
            </w:r>
          </w:p>
        </w:tc>
        <w:tc>
          <w:tcPr>
            <w:tcW w:w="4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(66,214)</w:t>
            </w:r>
          </w:p>
        </w:tc>
        <w:tc>
          <w:tcPr>
            <w:tcW w:w="0" w:type="dxa"/>
            <w:vAlign w:val="bottom"/>
          </w:tcPr>
          <w:p>
            <w:pPr>
              <w:spacing w:after="0"/>
              <w:rPr>
                <w:sz w:val="1"/>
                <w:szCs w:val="1"/>
                <w:color w:val="auto"/>
              </w:rPr>
            </w:pPr>
          </w:p>
        </w:tc>
      </w:tr>
      <w:tr>
        <w:trPr>
          <w:trHeight w:val="221"/>
        </w:trPr>
        <w:tc>
          <w:tcPr>
            <w:tcW w:w="8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Warrants payable balance, Warrants exercised</w:t>
            </w:r>
          </w:p>
        </w:tc>
        <w:tc>
          <w:tcPr>
            <w:tcW w:w="4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(81,283)</w:t>
            </w:r>
          </w:p>
        </w:tc>
        <w:tc>
          <w:tcPr>
            <w:tcW w:w="0" w:type="dxa"/>
            <w:vAlign w:val="bottom"/>
          </w:tcPr>
          <w:p>
            <w:pPr>
              <w:spacing w:after="0"/>
              <w:rPr>
                <w:sz w:val="1"/>
                <w:szCs w:val="1"/>
                <w:color w:val="auto"/>
              </w:rPr>
            </w:pPr>
          </w:p>
        </w:tc>
      </w:tr>
      <w:tr>
        <w:trPr>
          <w:trHeight w:val="221"/>
        </w:trPr>
        <w:tc>
          <w:tcPr>
            <w:tcW w:w="8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Warrants payable balance, Warrant redemption</w:t>
            </w:r>
          </w:p>
        </w:tc>
        <w:tc>
          <w:tcPr>
            <w:tcW w:w="4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Warrants payable balance, December 31, 2021</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Healthcare Receivables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Healthcare receivables include pharmaceutical rebates which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$70.6 million and $48.0 million within Healthcare receivables at December 31, 2022, and December 31,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Related Party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agreements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which provides healthcare services to CarePoint Health. Expenses and fees incurred related to Clover's contracts with CarePoint Health, recorded within Net medical claims incurred, were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99" w:name="page100"/>
    <w:bookmarkEnd w:id="99"/>
    <w:p>
      <w:pPr>
        <w:jc w:val="both"/>
        <w:spacing w:after="0" w:line="292" w:lineRule="auto"/>
        <w:rPr>
          <w:sz w:val="20"/>
          <w:szCs w:val="20"/>
          <w:color w:val="auto"/>
        </w:rPr>
      </w:pPr>
      <w:r>
        <w:rPr>
          <w:rFonts w:ascii="Times New Roman" w:cs="Times New Roman" w:eastAsia="Times New Roman" w:hAnsi="Times New Roman"/>
          <w:sz w:val="17"/>
          <w:szCs w:val="17"/>
          <w:color w:val="auto"/>
        </w:rPr>
        <w:t>$12.6 million, $12.7 million, and $11.1 million for the years ended December 31, 2022, 2021, and 2020, respectively. Additionally, $1.6 million and $2.3 million were payable to CarePoint Health at December 31, 2022, and December 31, 2021, respectively.</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contracted with Rogue Trading, LLC ("Rogue"), a marketing services provider. The Company's Chief Executive Officer and a Director, Andrew Toy, is related to the Chief Executive Officer of Rogue. There were no expenses and fees related to these contracts for the year ended December 31, 2022. Expenses and fees incurred related to these contracts were $0.3 million, and $0.3 million for the years ended December 31, 2021, and 2020, respectively.</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a contract with Medical Records Exchange, LLC (d/b/a ChartFast) pursuant to which the Company receives administrative services related to medical records via ChartFast's electronic applications and web portal platform. ChartFast is ultimately owned and controlled by Mr. Garipalli. Expenses and fees incurred related to this agreement were $0.3 million and $0.2 million for the years ended December 31, 2022 and 2021, respectively. There were no expenses and fees incurred related to this agreement for the year ended December 31, 2020.</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2, 2021, the Company entered into a contract with Thyme Care, Inc. ("Thyme Care"), an oncology benefit management company, through which Thyme Care was engaged to provide concierge cancer coordination services to the Company's Insurance members in New Jersey and develop a provider network to help ensure member access to high-value oncology care. Mr. Garipalli is a member of the Board of Thyme Care and holds an equity interest of less than five percent (5%) of that entity. Expenses and fees incurred related to this agreement were $1.6 million and $0.3 million for the years ended December 31, 2022 and 2021, respectively. Additionally, $0.3 million and $0.1 million were payable to Thyme Care at December 31, 2022, and December 31, 2021, respectively.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Property and Equipment, Net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41"/>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8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spacing w:after="0"/>
              <w:rPr>
                <w:sz w:val="15"/>
                <w:szCs w:val="15"/>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r>
      <w:tr>
        <w:trPr>
          <w:trHeight w:val="22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w:t>
            </w:r>
          </w:p>
        </w:tc>
      </w:tr>
      <w:tr>
        <w:trPr>
          <w:trHeight w:val="221"/>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furniture and fixtures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1"/>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4"/>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w:t>
            </w:r>
          </w:p>
        </w:tc>
      </w:tr>
      <w:tr>
        <w:trPr>
          <w:trHeight w:val="221"/>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w:t>
            </w:r>
          </w:p>
        </w:tc>
      </w:tr>
      <w:tr>
        <w:trPr>
          <w:trHeight w:val="214"/>
        </w:trPr>
        <w:tc>
          <w:tcPr>
            <w:tcW w:w="8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r>
    </w:tbl>
    <w:p>
      <w:pPr>
        <w:spacing w:after="0" w:line="3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Depreciation expense recorded by the Company was approximately $0.4 million, $0.3 million, and $0.5 million for the years ended December 31, 2022, 2021, and 2020, respectively. Amortization expense recorded by the Company was approximately $0.8 million, $0.2 million, and $0.1 million for the years ended December 31, 2022, 2021, and 2020,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Goodwill and Other Intangible Assets</w:t>
      </w:r>
    </w:p>
    <w:p>
      <w:pPr>
        <w:spacing w:after="0" w:line="248"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7"/>
          <w:szCs w:val="17"/>
          <w:color w:val="auto"/>
        </w:rPr>
        <w:t>Changes in the carrying amount of goodwill for the Company's reportable segments for the years ended December 31, 2022 and 2021, respectively,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82"/>
        </w:trPr>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2021</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21"/>
        </w:trPr>
        <w:tc>
          <w:tcPr>
            <w:tcW w:w="6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w:t>
            </w:r>
          </w:p>
        </w:tc>
        <w:tc>
          <w:tcPr>
            <w:tcW w:w="300" w:type="dxa"/>
            <w:vAlign w:val="bottom"/>
          </w:tcPr>
          <w:p>
            <w:pPr>
              <w:spacing w:after="0"/>
              <w:rPr>
                <w:sz w:val="19"/>
                <w:szCs w:val="19"/>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21"/>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Acquisitions</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10,507</w:t>
            </w:r>
          </w:p>
        </w:tc>
      </w:tr>
      <w:tr>
        <w:trPr>
          <w:trHeight w:val="26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The following table presents details of the Company's other intangible assets at December 31, 2022 and 2021, respectively: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7"/>
                <w:szCs w:val="17"/>
                <w:b w:val="1"/>
                <w:bCs w:val="1"/>
                <w:color w:val="auto"/>
              </w:rPr>
              <w:t>2021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96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40" w:type="dxa"/>
            <w:vAlign w:val="bottom"/>
          </w:tcPr>
          <w:p>
            <w:pPr>
              <w:jc w:val="right"/>
              <w:ind w:right="133"/>
              <w:spacing w:after="0" w:line="162"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300" w:type="dxa"/>
            <w:vAlign w:val="bottom"/>
          </w:tcPr>
          <w:p>
            <w:pPr>
              <w:jc w:val="right"/>
              <w:ind w:right="157"/>
              <w:spacing w:after="0" w:line="162"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Cost</w:t>
            </w:r>
          </w:p>
        </w:tc>
        <w:tc>
          <w:tcPr>
            <w:tcW w:w="128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life</w:t>
            </w:r>
          </w:p>
        </w:tc>
        <w:tc>
          <w:tcPr>
            <w:tcW w:w="960" w:type="dxa"/>
            <w:vAlign w:val="bottom"/>
            <w:vMerge w:val="continue"/>
          </w:tcPr>
          <w:p>
            <w:pPr>
              <w:spacing w:after="0"/>
              <w:rPr>
                <w:sz w:val="20"/>
                <w:szCs w:val="20"/>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300" w:type="dxa"/>
            <w:vAlign w:val="bottom"/>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60" w:type="dxa"/>
            <w:vAlign w:val="bottom"/>
            <w:vMerge w:val="continue"/>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2"/>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Licenses</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Indefinite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2,990</w:t>
            </w: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2,990</w:t>
            </w:r>
          </w:p>
        </w:tc>
        <w:tc>
          <w:tcPr>
            <w:tcW w:w="540" w:type="dxa"/>
            <w:vAlign w:val="bottom"/>
          </w:tcPr>
          <w:p>
            <w:pPr>
              <w:spacing w:after="0"/>
              <w:rPr>
                <w:sz w:val="19"/>
                <w:szCs w:val="19"/>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Developed Technology</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139</w:t>
            </w:r>
          </w:p>
        </w:tc>
        <w:tc>
          <w:tcPr>
            <w:tcW w:w="13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5,261</w:t>
            </w:r>
          </w:p>
        </w:tc>
        <w:tc>
          <w:tcPr>
            <w:tcW w:w="11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32"/>
        </w:trPr>
        <w:tc>
          <w:tcPr>
            <w:tcW w:w="6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Amortization expense for other intangible assets was approximately $0.1 million in 2022.</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7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estimate of amortization expense for each of the five next succeeding fiscal years: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21"/>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21"/>
        </w:trPr>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21"/>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licenses with indefinite useful lives are related to Certificates of Operating Authority in 45 states and the District of Columbia. Intangible assets with indefinite useful lives and goodwill are not amortized but are tested for impairment in the fourth quarter, or more frequently if events or changes in circumstances indicate that the assets may be impaired. At December 31, 2022 and 2021, there were no circumstances that indicate that the carrying amount within goodwill and intangible assets deemed to have an indefinite or definite useful life may not be recoverable. No impairment was recorded during the years ended December 31, 2022, 2021, and 2020.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Unpaid Claims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Activity within the liability for Unpaid claims, including claims adjustment expenses, for the years ended December 31, 2022 and 2021, respectively, is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2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8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spacing w:after="0"/>
              <w:rPr>
                <w:sz w:val="15"/>
                <w:szCs w:val="15"/>
                <w:color w:val="auto"/>
              </w:rPr>
            </w:pPr>
          </w:p>
        </w:tc>
      </w:tr>
      <w:tr>
        <w:trPr>
          <w:trHeight w:val="226"/>
        </w:trPr>
        <w:tc>
          <w:tcPr>
            <w:tcW w:w="84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Gross and net balance, beginning of period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103,976</w:t>
            </w:r>
          </w:p>
        </w:tc>
      </w:tr>
      <w:tr>
        <w:trPr>
          <w:trHeight w:val="221"/>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Incurred related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822,300</w:t>
            </w:r>
          </w:p>
        </w:tc>
      </w:tr>
      <w:tr>
        <w:trPr>
          <w:trHeight w:val="221"/>
        </w:trPr>
        <w:tc>
          <w:tcPr>
            <w:tcW w:w="8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15,834</w:t>
            </w:r>
          </w:p>
        </w:tc>
      </w:tr>
      <w:tr>
        <w:trPr>
          <w:trHeight w:val="214"/>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incurred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984,031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838,134</w:t>
            </w:r>
          </w:p>
        </w:tc>
      </w:tr>
      <w:tr>
        <w:trPr>
          <w:trHeight w:val="221"/>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Paid related to:</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892,495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692,116</w:t>
            </w:r>
          </w:p>
        </w:tc>
      </w:tr>
      <w:tr>
        <w:trPr>
          <w:trHeight w:val="221"/>
        </w:trPr>
        <w:tc>
          <w:tcPr>
            <w:tcW w:w="8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90,458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113,677</w:t>
            </w:r>
          </w:p>
        </w:tc>
      </w:tr>
      <w:tr>
        <w:trPr>
          <w:trHeight w:val="214"/>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982,953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805,793</w:t>
            </w:r>
          </w:p>
        </w:tc>
      </w:tr>
      <w:tr>
        <w:trPr>
          <w:trHeight w:val="214"/>
        </w:trPr>
        <w:tc>
          <w:tcPr>
            <w:tcW w:w="84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Gross and net balance, end of period </w:t>
            </w:r>
            <w:r>
              <w:rPr>
                <w:rFonts w:ascii="Times New Roman" w:cs="Times New Roman" w:eastAsia="Times New Roman" w:hAnsi="Times New Roman"/>
                <w:sz w:val="22"/>
                <w:szCs w:val="22"/>
                <w:color w:val="auto"/>
                <w:vertAlign w:val="superscript"/>
              </w:rPr>
              <w:t>(1)(2)</w:t>
            </w: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137,395</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136,317</w:t>
            </w:r>
          </w:p>
        </w:tc>
      </w:tr>
      <w:tr>
        <w:trPr>
          <w:trHeight w:val="20"/>
        </w:trPr>
        <w:tc>
          <w:tcPr>
            <w:tcW w:w="8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6216650</wp:posOffset>
            </wp:positionH>
            <wp:positionV relativeFrom="paragraph">
              <wp:posOffset>-328930</wp:posOffset>
            </wp:positionV>
            <wp:extent cx="577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-897890</wp:posOffset>
            </wp:positionV>
            <wp:extent cx="577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-1457960</wp:posOffset>
            </wp:positionV>
            <wp:extent cx="57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3" w:lineRule="exact"/>
        <w:rPr>
          <w:sz w:val="20"/>
          <w:szCs w:val="20"/>
          <w:color w:val="auto"/>
        </w:rPr>
      </w:pPr>
    </w:p>
    <w:p>
      <w:pPr>
        <w:ind w:left="200" w:hanging="196"/>
        <w:spacing w:after="0"/>
        <w:tabs>
          <w:tab w:leader="none" w:pos="20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related parties.</w:t>
      </w:r>
    </w:p>
    <w:p>
      <w:pPr>
        <w:spacing w:after="0" w:line="52" w:lineRule="exact"/>
        <w:rPr>
          <w:rFonts w:ascii="Times New Roman" w:cs="Times New Roman" w:eastAsia="Times New Roman" w:hAnsi="Times New Roman"/>
          <w:sz w:val="18"/>
          <w:szCs w:val="18"/>
          <w:color w:val="auto"/>
          <w:vertAlign w:val="superscript"/>
        </w:rPr>
      </w:pPr>
    </w:p>
    <w:p>
      <w:pPr>
        <w:ind w:left="160" w:right="140" w:hanging="156"/>
        <w:spacing w:after="0" w:line="219" w:lineRule="auto"/>
        <w:tabs>
          <w:tab w:leader="none" w:pos="199"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Differs from the total Unpaid claims amount reported on the Consolidated Balance Sheets due to the fact the figure here excludes unpaid claims for the Company's Non-Insurance operations of $6.1 million and $4.6 million at December 31, 2022 and 2021, respectively.</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1" w:name="page102"/>
    <w:bookmarkEnd w:id="101"/>
    <w:p>
      <w:pPr>
        <w:jc w:val="both"/>
        <w:spacing w:after="0" w:line="292" w:lineRule="auto"/>
        <w:rPr>
          <w:sz w:val="20"/>
          <w:szCs w:val="20"/>
          <w:color w:val="auto"/>
        </w:rPr>
      </w:pPr>
      <w:r>
        <w:rPr>
          <w:rFonts w:ascii="Times New Roman" w:cs="Times New Roman" w:eastAsia="Times New Roman" w:hAnsi="Times New Roman"/>
          <w:sz w:val="17"/>
          <w:szCs w:val="17"/>
          <w:color w:val="auto"/>
        </w:rPr>
        <w:t>account for the purposes of calculating the liability for unpaid claims. Management believes that the current reserves are adequate based on currently available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Unpaid Claims for Insurance Operations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Unpaid claims for Insurance operations were $137.4 million at December 31, 2022. During the year ended December 31, 2022, $90.5 million was paid for incurred claims attributable to insured events of prior years. A favorable development of $39.3 million was recognized during the year ended December 31, 2022, resulting from the Company's actual experience with claims developing differently as compared to the Company's estimates at December 31, 2021. An unfavorable development of $15.8 million was recognized during the year ended December 31, 2021, resulting from the Company's actual experience with claims developing differently as compared to the Company's estimates at December 31, 2020. Original estimates are increased or decreased, as additional information becomes known regarding individual claims. The ratio of current year medical claims paid as a percentage of current year Net medical claims incurred was 87.2% for the year ended December 31, 2022, and 84.2% for the year ended December 31, 2021. This ratio serves as an indicator of claims processing speed, indicating that claims were processed at a faster rate during the year ended December 31, 2022, than during the year ended December 31, 2021.</w:t>
      </w:r>
    </w:p>
    <w:p>
      <w:pPr>
        <w:spacing w:after="0" w:line="1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tables provide information regarding incurred and paid claims development for medical claims, as well as cumulative claim frequency and the total of incurred but not reported liabilities at December 31, 2022:</w:t>
      </w:r>
    </w:p>
    <w:p>
      <w:pPr>
        <w:spacing w:after="0" w:line="205"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7"/>
          <w:szCs w:val="17"/>
          <w:b w:val="1"/>
          <w:bCs w:val="1"/>
          <w:color w:val="auto"/>
        </w:rPr>
        <w:t>Cumulative incurred claims for the</w:t>
      </w:r>
    </w:p>
    <w:p>
      <w:pPr>
        <w:jc w:val="center"/>
        <w:ind w:left="196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7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Incurred year</w:t>
            </w:r>
          </w:p>
        </w:tc>
        <w:tc>
          <w:tcPr>
            <w:tcW w:w="240" w:type="dxa"/>
            <w:vAlign w:val="bottom"/>
          </w:tcPr>
          <w:p>
            <w:pPr>
              <w:spacing w:after="0"/>
              <w:rPr>
                <w:sz w:val="17"/>
                <w:szCs w:val="17"/>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IBNR</w:t>
            </w:r>
            <w:r>
              <w:rPr>
                <w:rFonts w:ascii="Times New Roman" w:cs="Times New Roman" w:eastAsia="Times New Roman" w:hAnsi="Times New Roman"/>
                <w:sz w:val="22"/>
                <w:szCs w:val="22"/>
                <w:b w:val="1"/>
                <w:bCs w:val="1"/>
                <w:color w:val="auto"/>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34"/>
        </w:trPr>
        <w:tc>
          <w:tcPr>
            <w:tcW w:w="46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reported claims</w:t>
            </w:r>
          </w:p>
        </w:tc>
        <w:tc>
          <w:tcPr>
            <w:tcW w:w="0" w:type="dxa"/>
            <w:vAlign w:val="bottom"/>
          </w:tcPr>
          <w:p>
            <w:pPr>
              <w:spacing w:after="0"/>
              <w:rPr>
                <w:sz w:val="1"/>
                <w:szCs w:val="1"/>
                <w:color w:val="auto"/>
              </w:rPr>
            </w:pPr>
          </w:p>
        </w:tc>
      </w:tr>
      <w:tr>
        <w:trPr>
          <w:trHeight w:val="182"/>
        </w:trPr>
        <w:tc>
          <w:tcPr>
            <w:tcW w:w="4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ones)</w:t>
            </w:r>
          </w:p>
        </w:tc>
        <w:tc>
          <w:tcPr>
            <w:tcW w:w="0" w:type="dxa"/>
            <w:vAlign w:val="bottom"/>
          </w:tcPr>
          <w:p>
            <w:pPr>
              <w:spacing w:after="0"/>
              <w:rPr>
                <w:sz w:val="1"/>
                <w:szCs w:val="1"/>
                <w:color w:val="auto"/>
              </w:rPr>
            </w:pPr>
          </w:p>
        </w:tc>
      </w:tr>
      <w:tr>
        <w:trPr>
          <w:trHeight w:val="47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 and prior</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1,547,806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1,563,639</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1,559,073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1,433,039</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822,300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787,543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2,384,691</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132,861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2,937,039</w:t>
            </w:r>
          </w:p>
        </w:tc>
        <w:tc>
          <w:tcPr>
            <w:tcW w:w="0" w:type="dxa"/>
            <w:vAlign w:val="bottom"/>
          </w:tcPr>
          <w:p>
            <w:pPr>
              <w:spacing w:after="0"/>
              <w:rPr>
                <w:sz w:val="1"/>
                <w:szCs w:val="1"/>
                <w:color w:val="auto"/>
              </w:rPr>
            </w:pPr>
          </w:p>
        </w:tc>
      </w:tr>
      <w:tr>
        <w:trPr>
          <w:trHeight w:val="214"/>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1,547,806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2,385,940</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3,369,971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137,395</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6,754,769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160" w:hanging="156"/>
        <w:spacing w:after="0" w:line="219" w:lineRule="auto"/>
        <w:tabs>
          <w:tab w:leader="none" w:pos="238"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Differs from the total Unpaid claims amount reported on the Consolidated Balance Sheets due to the fact the figure here excludes the Company's Non-Insurance unpaid claims of $6.1 million at December 31, 2022.</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Unaudited supplemental information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gridSpan w:val="6"/>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rPr>
              <w:t>Cumulative net paid claims through December 31,</w:t>
            </w:r>
          </w:p>
        </w:tc>
        <w:tc>
          <w:tcPr>
            <w:tcW w:w="1260" w:type="dxa"/>
            <w:vAlign w:val="bottom"/>
            <w:tcBorders>
              <w:bottom w:val="single" w:sz="8" w:color="auto"/>
            </w:tcBorders>
          </w:tcPr>
          <w:p>
            <w:pPr>
              <w:spacing w:after="0"/>
              <w:rPr>
                <w:sz w:val="19"/>
                <w:szCs w:val="19"/>
                <w:color w:val="auto"/>
              </w:rPr>
            </w:pPr>
          </w:p>
        </w:tc>
      </w:tr>
      <w:tr>
        <w:trPr>
          <w:trHeight w:val="25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Paid year</w:t>
            </w:r>
          </w:p>
        </w:tc>
        <w:tc>
          <w:tcPr>
            <w:tcW w:w="460" w:type="dxa"/>
            <w:vAlign w:val="bottom"/>
          </w:tcPr>
          <w:p>
            <w:pPr>
              <w:spacing w:after="0"/>
              <w:rPr>
                <w:sz w:val="21"/>
                <w:szCs w:val="21"/>
                <w:color w:val="auto"/>
              </w:rPr>
            </w:pPr>
          </w:p>
        </w:tc>
        <w:tc>
          <w:tcPr>
            <w:tcW w:w="160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center"/>
              <w:ind w:right="276"/>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4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45"/>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Incurred year</w:t>
            </w: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46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2020 and prior</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1,443,830</w:t>
            </w:r>
          </w:p>
        </w:tc>
        <w:tc>
          <w:tcPr>
            <w:tcW w:w="80" w:type="dxa"/>
            <w:vAlign w:val="bottom"/>
          </w:tcPr>
          <w:p>
            <w:pPr>
              <w:spacing w:after="0"/>
              <w:rPr>
                <w:sz w:val="24"/>
                <w:szCs w:val="24"/>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1,557,507</w:t>
            </w:r>
          </w:p>
        </w:tc>
        <w:tc>
          <w:tcPr>
            <w:tcW w:w="80" w:type="dxa"/>
            <w:vAlign w:val="bottom"/>
          </w:tcPr>
          <w:p>
            <w:pPr>
              <w:spacing w:after="0"/>
              <w:rPr>
                <w:sz w:val="24"/>
                <w:szCs w:val="24"/>
                <w:color w:val="auto"/>
              </w:rPr>
            </w:pP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1,562,766</w:t>
            </w:r>
          </w:p>
        </w:tc>
      </w:tr>
      <w:tr>
        <w:trPr>
          <w:trHeight w:val="2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692,116</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777,315</w:t>
            </w: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892,495</w:t>
            </w:r>
          </w:p>
        </w:tc>
      </w:tr>
      <w:tr>
        <w:trPr>
          <w:trHeight w:val="239"/>
        </w:trPr>
        <w:tc>
          <w:tcPr>
            <w:tcW w:w="48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1,443,830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2,249,623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3,232,576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Unaudited supplemental information</w:t>
      </w:r>
    </w:p>
    <w:p>
      <w:pPr>
        <w:spacing w:after="0" w:line="21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reconciliation of net incurred and paid claims development tables to unpaid claims and claims adjustment expenses for medical claims on the Consolidated Balance Sheets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40" w:type="dxa"/>
            <w:vAlign w:val="bottom"/>
          </w:tcPr>
          <w:p>
            <w:pPr>
              <w:spacing w:after="0"/>
              <w:rPr>
                <w:sz w:val="19"/>
                <w:szCs w:val="19"/>
                <w:color w:val="auto"/>
              </w:rPr>
            </w:pPr>
          </w:p>
        </w:tc>
        <w:tc>
          <w:tcPr>
            <w:tcW w:w="190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4"/>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incurred claims, net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3,369,971</w:t>
            </w:r>
          </w:p>
        </w:tc>
      </w:tr>
      <w:tr>
        <w:trPr>
          <w:trHeight w:val="221"/>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cumulative paid claims, net</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3,232,576</w:t>
            </w:r>
          </w:p>
        </w:tc>
      </w:tr>
      <w:tr>
        <w:trPr>
          <w:trHeight w:val="214"/>
        </w:trPr>
        <w:tc>
          <w:tcPr>
            <w:tcW w:w="900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Net unpaid claims, including claims adjustment expenses</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137,395</w:t>
            </w:r>
          </w:p>
        </w:tc>
      </w:tr>
    </w:tbl>
    <w:p>
      <w:pPr>
        <w:spacing w:after="0" w:line="55" w:lineRule="exact"/>
        <w:rPr>
          <w:sz w:val="20"/>
          <w:szCs w:val="20"/>
          <w:color w:val="auto"/>
        </w:rPr>
      </w:pPr>
    </w:p>
    <w:p>
      <w:pPr>
        <w:ind w:left="160" w:hanging="156"/>
        <w:spacing w:after="0" w:line="248" w:lineRule="auto"/>
        <w:tabs>
          <w:tab w:leader="none" w:pos="137"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following balance reflects the unpaid claims for Insurance operations only. The Non-Insurance and other medical unpaid claims should be included in order to reconcile to the total Unpaid claims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11. Reinsurance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Medicare Advantage Reinsurance Agreement</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January 1, 2021, the Company renewed a specific excess loss reinsurance agreement to reinsure its MA plan liabilities in excess of approximately $0.6 million, $0.6 million, and $0.5 million per covered person per agreement terms for the years ended December 31, 2022, 2021, and 2020, respectively.</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effects of the reinsurance agreements on the accompanying consolidated financial statements for the years ended December 31, 2022, 2021, and 2020, respectively,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Pr>
          <w:p>
            <w:pPr>
              <w:spacing w:after="0"/>
              <w:rPr>
                <w:sz w:val="22"/>
                <w:szCs w:val="22"/>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82"/>
        </w:trPr>
        <w:tc>
          <w:tcPr>
            <w:tcW w:w="6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earned, gross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666,297</w:t>
            </w:r>
          </w:p>
        </w:tc>
      </w:tr>
      <w:tr>
        <w:trPr>
          <w:trHeight w:val="221"/>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Premiums earned, ceded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39"/>
        </w:trPr>
        <w:tc>
          <w:tcPr>
            <w:tcW w:w="6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665,698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Pr>
          <w:p>
            <w:pPr>
              <w:spacing w:after="0"/>
              <w:rPr>
                <w:sz w:val="22"/>
                <w:szCs w:val="22"/>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80" w:type="dxa"/>
            <w:vAlign w:val="bottom"/>
          </w:tcPr>
          <w:p>
            <w:pPr>
              <w:spacing w:after="0"/>
              <w:rPr>
                <w:sz w:val="22"/>
                <w:szCs w:val="22"/>
                <w:color w:val="auto"/>
              </w:rPr>
            </w:pPr>
          </w:p>
        </w:tc>
      </w:tr>
      <w:tr>
        <w:trPr>
          <w:trHeight w:val="182"/>
        </w:trPr>
        <w:tc>
          <w:tcPr>
            <w:tcW w:w="6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Claims incurred, gross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985,197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right="2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585,915</w:t>
            </w:r>
          </w:p>
        </w:tc>
        <w:tc>
          <w:tcPr>
            <w:tcW w:w="80" w:type="dxa"/>
            <w:vAlign w:val="bottom"/>
          </w:tcPr>
          <w:p>
            <w:pPr>
              <w:spacing w:after="0"/>
              <w:rPr>
                <w:sz w:val="19"/>
                <w:szCs w:val="19"/>
                <w:color w:val="auto"/>
              </w:rPr>
            </w:pPr>
          </w:p>
        </w:tc>
      </w:tr>
      <w:tr>
        <w:trPr>
          <w:trHeight w:val="221"/>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Claims incurred, ceded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19"/>
                <w:szCs w:val="19"/>
                <w:color w:val="auto"/>
              </w:rPr>
            </w:pPr>
          </w:p>
        </w:tc>
      </w:tr>
      <w:tr>
        <w:trPr>
          <w:trHeight w:val="239"/>
        </w:trPr>
        <w:tc>
          <w:tcPr>
            <w:tcW w:w="6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claims incurred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984,031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838,134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ind w:right="2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585,432</w:t>
            </w:r>
          </w:p>
        </w:tc>
        <w:tc>
          <w:tcPr>
            <w:tcW w:w="80" w:type="dxa"/>
            <w:vAlign w:val="bottom"/>
          </w:tcPr>
          <w:p>
            <w:pPr>
              <w:spacing w:after="0"/>
              <w:rPr>
                <w:sz w:val="20"/>
                <w:szCs w:val="20"/>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4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Reinsurance recoverable for the MA plan at December 31, 2022 and 2021, respectively, were comprised of the following:</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6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auto"/>
            </w:tcBorders>
          </w:tcPr>
          <w:p>
            <w:pPr>
              <w:spacing w:after="0"/>
              <w:rPr>
                <w:sz w:val="24"/>
                <w:szCs w:val="24"/>
                <w:color w:val="auto"/>
              </w:rPr>
            </w:pPr>
          </w:p>
        </w:tc>
      </w:tr>
      <w:tr>
        <w:trPr>
          <w:trHeight w:val="182"/>
        </w:trPr>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recoverable on paid claims, gross and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w:t>
            </w:r>
          </w:p>
        </w:tc>
        <w:tc>
          <w:tcPr>
            <w:tcW w:w="4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 Contracting Reinsurance Arrangement</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Within the DCE arrangement there is an option for each DCE participant to elect participation in a reinsurance arrangement, which is not a separate contract and is included in the current DCE arrangement. The stop loss (charges) premiums and recoupments are incurred in accordance with the regulations set forth in the participation agreement in direct relation to the direct contracting program and will reduce the exposure of high dollar claims to the Company. The premiums (recoupments) are recognized as revenue (contra-revenue), respectively, within Non-Insurance revenue on the Statement of Operations as there is a right to the recoupments as the point of attachment in the stop loss agreement.</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effects of the DCE reinsurance arrangements on the accompanying consolidated financial statements for the years ended December 31, 2022 and 2021, respectively,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60" w:type="dxa"/>
            <w:vAlign w:val="bottom"/>
          </w:tcPr>
          <w:p>
            <w:pPr>
              <w:spacing w:after="0"/>
              <w:rPr>
                <w:sz w:val="22"/>
                <w:szCs w:val="22"/>
                <w:color w:val="auto"/>
              </w:rPr>
            </w:pPr>
          </w:p>
        </w:tc>
        <w:tc>
          <w:tcPr>
            <w:tcW w:w="1540" w:type="dxa"/>
            <w:vAlign w:val="bottom"/>
          </w:tcPr>
          <w:p>
            <w:pPr>
              <w:jc w:val="right"/>
              <w:ind w:right="7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Pr>
          <w:p>
            <w:pPr>
              <w:spacing w:after="0"/>
              <w:rPr>
                <w:sz w:val="22"/>
                <w:szCs w:val="22"/>
                <w:color w:val="auto"/>
              </w:rPr>
            </w:pPr>
          </w:p>
        </w:tc>
        <w:tc>
          <w:tcPr>
            <w:tcW w:w="138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7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top w:val="single" w:sz="8" w:color="auto"/>
            </w:tcBorders>
          </w:tcPr>
          <w:p>
            <w:pPr>
              <w:spacing w:after="0"/>
              <w:rPr>
                <w:sz w:val="15"/>
                <w:szCs w:val="15"/>
                <w:color w:val="auto"/>
              </w:rPr>
            </w:pPr>
          </w:p>
        </w:tc>
      </w:tr>
      <w:tr>
        <w:trPr>
          <w:trHeight w:val="22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Non-Insurance revenue, gross and net</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68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667,639</w:t>
            </w:r>
          </w:p>
        </w:tc>
      </w:tr>
      <w:tr>
        <w:trPr>
          <w:trHeight w:val="221"/>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Claims incurred, gross and net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2,460,879</w:t>
            </w:r>
          </w:p>
        </w:tc>
        <w:tc>
          <w:tcPr>
            <w:tcW w:w="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705,407</w:t>
            </w:r>
          </w:p>
        </w:tc>
      </w:tr>
      <w:tr>
        <w:trPr>
          <w:trHeight w:val="221"/>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recoverable, gross and net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52,955</w:t>
            </w: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12,170</w:t>
            </w:r>
          </w:p>
        </w:tc>
      </w:tr>
    </w:tbl>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Life Policies and Annuity Contracts</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3" w:name="page104"/>
    <w:bookmarkEnd w:id="103"/>
    <w:p>
      <w:pPr>
        <w:jc w:val="both"/>
        <w:spacing w:after="0" w:line="292" w:lineRule="auto"/>
        <w:rPr>
          <w:sz w:val="20"/>
          <w:szCs w:val="20"/>
          <w:color w:val="auto"/>
        </w:rPr>
      </w:pPr>
      <w:r>
        <w:rPr>
          <w:rFonts w:ascii="Times New Roman" w:cs="Times New Roman" w:eastAsia="Times New Roman" w:hAnsi="Times New Roman"/>
          <w:sz w:val="17"/>
          <w:szCs w:val="17"/>
          <w:color w:val="auto"/>
        </w:rPr>
        <w:t>A large portion of these cessions are in the form of 100% coinsurance where, in addition to the underwriting risk, administrative responsibilities, including premium collections and claim payments, are ceded to third party reinsurers.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Approximately $5.4 million and $5.3 million of life insurance reserves at both December 31, 2022 and 2021,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Company's experience and industry data. Interest rate assumptions used in establishing such reserves range from less than 1.0% to 4.5%. Under the arrangement, SFLIC is required to hold in trust an amount that covers all of the outstanding liabilities as of the reporting date.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Approximately $0.9 million and $0.9 million of annuity reserves at both December 31, 2022 and 2021, respectively, related to annuity contracts originally issued by Ullico, are 100% ceded to Sagicor Life Insurance Company, a Texas domestic company, in full transfer of risk related to these contracts. The annuity reserves are computed principally using assumptions based on the Company's experience and industry data. Interest rate assumptions used in establishing such reserves range from less than 1.0% to 5.8%. Ceded life insurance and annuity reserves are included within other assets and gross life insurance and annuity reserves are included within other liabilities on the Consolidated Balance Sheets, respectively.</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Company of its potential liability to the ultimate insured. However, given the transfer of underwriting risk, such potential liability is limited to the credit exposure which exists should the reinsurer be unable to meet its obligations under these reinsurance agreements. The Company evaluates its reinsurers on a regular basis including their ratings and financial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Notes and Securities Payable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Securities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Convertible Agreement, dated December 27, 2018, between the Company and certain qualified institutional buyers, including entities affiliated with the Company, for an aggregate principal amount of up to $500.0 million (the "Convertible Agreement"). On January 7, 2021, the 2021 Business Combination was completed and the convertible securities were redeemed or converted into a total of 36,117,708 shares of Class Z common stock. After giving effect to the Exchange Ratio, pursuant to the terms of the Merger Agreement, these shares of Class Z common stock were converted into 74,694,107 shares of Class B Common Stock upon the closing of the 2021 Business Combination. See Note 3 (Business Combination) for additional information on the 2021 Business Combination.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Dissolution of Seek and Associated Convertible Note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Seek operated as a wholly owned subsidiary of Clover Health Corp., a wholly owned subsidiary of the Company. On September 25, 2020, Seek entered into a Convertible Note Purchase Agreement (the "Agreement") to issue the convertible note (the "Note") to Well Ventures, LLC (or the "Holder" or "Well") for $20.0 million in exchange for cash. On October 11, 2022, Seek's board of directors approved the wind down and dissolution of Seek. Seek then obtained written consent approving and authorizing the dissolution on October 19, 2022. Subsequently, on October 25, 2022, Clover's board of directors approved the dissolution of Seek. As a result of the planned liquidation of the entity, it was recorded in accordance with ASC 205-30 - </w:t>
      </w:r>
      <w:r>
        <w:rPr>
          <w:rFonts w:ascii="Times New Roman" w:cs="Times New Roman" w:eastAsia="Times New Roman" w:hAnsi="Times New Roman"/>
          <w:sz w:val="17"/>
          <w:szCs w:val="17"/>
          <w:i w:val="1"/>
          <w:iCs w:val="1"/>
          <w:color w:val="auto"/>
        </w:rPr>
        <w:t>Liquidation Basis of Accounting</w:t>
      </w:r>
      <w:r>
        <w:rPr>
          <w:rFonts w:ascii="Times New Roman" w:cs="Times New Roman" w:eastAsia="Times New Roman" w:hAnsi="Times New Roman"/>
          <w:sz w:val="17"/>
          <w:szCs w:val="17"/>
          <w:color w:val="auto"/>
        </w:rPr>
        <w:t>. In accordance with the accounting guidance, all Seek related assets and liabilities not related to the Note were written-off to $0. The cumulative impact of these adjustments was not material. Liquidation of the entity was completed by December 31, 2022.</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and as a direct result of the dissolution of Seek, all amounts outstanding under the Note under the note were waived, and by all other rights, covenants, and obligations under the Note were terminated. Therefore, the forgiveness of the Note was treated as an extinguishment. As a result, the Company recognized a $23.3 million gain on extinguishment.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Derivative Liabilities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$373.8 million of convertible securities issued in 2019, the Company determined that certain of the conversion and redemption features were embedded derivatives and were bifurcated from the host instrument and accounted for as embedded derivative instruments. In connection with the convertible securities, the Company recognized a capital contribution of $44.8 million during the year ended December 31, 2021. This capital contribution of $44.8 million was recorded as an increase in additional paid in capital as the notes were issued to affiliates of the Company. The Company recognized a gain of $93.8 million from activity related to derivative liabilities in connection with the convertible securities during the year ended December 31, 2020, which was recognized within Gain on derivative in the Consolidated Statement of Operations and Comprehensive Loss. Upon the completion of the 2021</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4" w:name="page105"/>
    <w:bookmarkEnd w:id="104"/>
    <w:p>
      <w:pPr>
        <w:jc w:val="both"/>
        <w:spacing w:after="0" w:line="292" w:lineRule="auto"/>
        <w:rPr>
          <w:sz w:val="20"/>
          <w:szCs w:val="20"/>
          <w:color w:val="auto"/>
        </w:rPr>
      </w:pPr>
      <w:r>
        <w:rPr>
          <w:rFonts w:ascii="Times New Roman" w:cs="Times New Roman" w:eastAsia="Times New Roman" w:hAnsi="Times New Roman"/>
          <w:sz w:val="17"/>
          <w:szCs w:val="17"/>
          <w:color w:val="auto"/>
        </w:rPr>
        <w:t>Business Combination with SCH on January 7, 2021, the derivative balance was extinguished at January 7, 2021. See Note 3 (Business Combination) and Note 5 (Fair Value Measurements)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Letter of Credit</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April 19, 2018, the Company entered into a secured letter of credit agreement (the "Letter") required for its subsidiary, Clover HMO of New Jersey, Inc., for an aggregate amount of up to $2.5 million. The Letter is with a commercial lender and it renews on an annual basis. The Letter bears interest at a rate of 0.75%. There was an unused balance of $2.5 million at both December 31, 2022, and December 31, 2021.</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leases office space in New Jersey, Tennessee, Georgia, and Hong Kong under non-cancelable operating leases. At December 31, 2022, the remaining terms of the operating leases were between one month and 63 months, and certain lease agreements contain provisions for future rent increases. For each lease the Company recorded a right-of-use (ROU) asset and lease liability at the earlier of the ASC 842 effective date or lease commencement date. The Company utilizes the straight-line method of recognizing lease expense. However, the Company is required to pay certain variable executory costs including common area maintenance, real estate taxes, and insurance that are expensed as incurred. These variable costs are excluded from the measurement of leases. Certain of the Company's leases include options to renew, with renewal terms that can extend the lease term. The exercise of lease renewal options is at the Company's sole discretion. The ability to terminate a lease is determined by the applicable lease terms and conditions. The Company is not reasonably certain that it will exercise the renewal or termination options. Therefore, these options are not recognized as part of the ROU asset and lease liability.</w:t>
      </w:r>
    </w:p>
    <w:p>
      <w:pPr>
        <w:spacing w:after="0" w:line="1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subleases certain of its leases to third parties for which it receives rental income to manage occupancy costs. These subleases are classified as operating 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Lease Costs Recognized Under ASC 842:</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 contains a summary of the lease costs recognized under ASC 842 and other information pertaining to the Company's operating leases for the years ended December 31, 2022, 2021, and 2020,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1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6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2,651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4,515</w:t>
            </w:r>
          </w:p>
        </w:tc>
        <w:tc>
          <w:tcPr>
            <w:tcW w:w="100" w:type="dxa"/>
            <w:vAlign w:val="bottom"/>
            <w:shd w:val="clear" w:color="auto" w:fill="CCEEFF"/>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4,533</w:t>
            </w:r>
          </w:p>
        </w:tc>
        <w:tc>
          <w:tcPr>
            <w:tcW w:w="0" w:type="dxa"/>
            <w:vAlign w:val="bottom"/>
          </w:tcPr>
          <w:p>
            <w:pPr>
              <w:spacing w:after="0"/>
              <w:rPr>
                <w:sz w:val="1"/>
                <w:szCs w:val="1"/>
                <w:color w:val="auto"/>
              </w:rPr>
            </w:pPr>
          </w:p>
        </w:tc>
      </w:tr>
      <w:tr>
        <w:trPr>
          <w:trHeight w:val="221"/>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22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1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(3,098)</w:t>
            </w:r>
          </w:p>
        </w:tc>
        <w:tc>
          <w:tcPr>
            <w:tcW w:w="0" w:type="dxa"/>
            <w:vAlign w:val="bottom"/>
          </w:tcPr>
          <w:p>
            <w:pPr>
              <w:spacing w:after="0"/>
              <w:rPr>
                <w:sz w:val="1"/>
                <w:szCs w:val="1"/>
                <w:color w:val="auto"/>
              </w:rPr>
            </w:pPr>
          </w:p>
        </w:tc>
      </w:tr>
      <w:tr>
        <w:trPr>
          <w:trHeight w:val="239"/>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1,583</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2,348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2,087</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1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600" w:type="dxa"/>
            <w:vAlign w:val="bottom"/>
            <w:gridSpan w:val="3"/>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3,340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5,248</w:t>
            </w:r>
          </w:p>
        </w:tc>
        <w:tc>
          <w:tcPr>
            <w:tcW w:w="100" w:type="dxa"/>
            <w:vAlign w:val="bottom"/>
            <w:shd w:val="clear" w:color="auto" w:fill="CCEEFF"/>
          </w:tcPr>
          <w:p>
            <w:pPr>
              <w:spacing w:after="0"/>
              <w:rPr>
                <w:sz w:val="19"/>
                <w:szCs w:val="19"/>
                <w:color w:val="auto"/>
              </w:rPr>
            </w:pPr>
          </w:p>
        </w:tc>
        <w:tc>
          <w:tcPr>
            <w:tcW w:w="36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4,979</w:t>
            </w:r>
          </w:p>
        </w:tc>
        <w:tc>
          <w:tcPr>
            <w:tcW w:w="0" w:type="dxa"/>
            <w:vAlign w:val="bottom"/>
          </w:tcPr>
          <w:p>
            <w:pPr>
              <w:spacing w:after="0"/>
              <w:rPr>
                <w:sz w:val="1"/>
                <w:szCs w:val="1"/>
                <w:color w:val="auto"/>
              </w:rPr>
            </w:pPr>
          </w:p>
        </w:tc>
      </w:tr>
      <w:tr>
        <w:trPr>
          <w:trHeight w:val="221"/>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5.2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years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years</w:t>
            </w:r>
          </w:p>
        </w:tc>
        <w:tc>
          <w:tcPr>
            <w:tcW w:w="0" w:type="dxa"/>
            <w:vAlign w:val="bottom"/>
          </w:tcPr>
          <w:p>
            <w:pPr>
              <w:spacing w:after="0"/>
              <w:rPr>
                <w:sz w:val="1"/>
                <w:szCs w:val="1"/>
                <w:color w:val="auto"/>
              </w:rPr>
            </w:pPr>
          </w:p>
        </w:tc>
      </w:tr>
      <w:tr>
        <w:trPr>
          <w:trHeight w:val="221"/>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10.65 %</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10.36 %</w:t>
            </w:r>
          </w:p>
        </w:tc>
        <w:tc>
          <w:tcPr>
            <w:tcW w:w="100" w:type="dxa"/>
            <w:vAlign w:val="bottom"/>
            <w:shd w:val="clear" w:color="auto" w:fill="CCEEFF"/>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10.17 %</w:t>
            </w:r>
          </w:p>
        </w:tc>
        <w:tc>
          <w:tcPr>
            <w:tcW w:w="0" w:type="dxa"/>
            <w:vAlign w:val="bottom"/>
          </w:tcPr>
          <w:p>
            <w:pPr>
              <w:spacing w:after="0"/>
              <w:rPr>
                <w:sz w:val="1"/>
                <w:szCs w:val="1"/>
                <w:color w:val="auto"/>
              </w:rPr>
            </w:pPr>
          </w:p>
        </w:tc>
      </w:tr>
      <w:tr>
        <w:trPr>
          <w:trHeight w:val="714"/>
        </w:trPr>
        <w:tc>
          <w:tcPr>
            <w:tcW w:w="5180" w:type="dxa"/>
            <w:vAlign w:val="bottom"/>
          </w:tcPr>
          <w:p>
            <w:pPr>
              <w:spacing w:after="0"/>
              <w:rPr>
                <w:sz w:val="24"/>
                <w:szCs w:val="24"/>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The following table summarizes the Company's future lease payments for non-cancelable Operating lease liabilities at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w:t>
            </w:r>
          </w:p>
        </w:tc>
      </w:tr>
      <w:tr>
        <w:trPr>
          <w:trHeight w:val="221"/>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w:t>
            </w:r>
          </w:p>
        </w:tc>
      </w:tr>
      <w:tr>
        <w:trPr>
          <w:trHeight w:val="22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r>
      <w:tr>
        <w:trPr>
          <w:trHeight w:val="221"/>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w:t>
            </w:r>
          </w:p>
        </w:tc>
      </w:tr>
      <w:tr>
        <w:trPr>
          <w:trHeight w:val="22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21"/>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1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7,357</w:t>
            </w:r>
          </w:p>
        </w:tc>
      </w:tr>
      <w:tr>
        <w:trPr>
          <w:trHeight w:val="221"/>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w:t>
            </w:r>
          </w:p>
        </w:tc>
      </w:tr>
      <w:tr>
        <w:trPr>
          <w:trHeight w:val="239"/>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Stockholders' Equity and Convertible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was authorized to issue up to 2,500,000,000 shares of Class A common stock at December 31, 2022 and 2021, and up to 500,000,000 shares of Class B common stock at December 31, 2022 and 2021. At December 31, 2022 and 2021, there were 383,998,718 and 352,645,626 shares of Class A common stock issued and outstanding, respectively. There were 94,394,852 and 118,206,768 shares of Class B common stock issued and outstanding at December 31, 2022 and 2021, respectively. Class B common stock has 10 votes per share, and Class A common stock has one vote per share. The Company had 2,072,752 and 14,730 shares held in treasury at December 31, 2022 and 2021, respectively. These amounts represent shares withheld to cover taxes upon vesting of employee stock-based awards.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At December 31, 2022, the Company was authorized to issue 25,000,000 shares of preferred stock having a par value of $0.0001 per share, and the Company's Board has the authority to determine the rights, preferences, privileges, and restrictions, including voting rights, of those shares. At December 31, 2022, there were no shares of preferred stock issued and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 of Common Stock</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November 2021, the Company sold 52,173,913 shares of Class A common stock at a public offering price of $5.75 per share for gross proceeds of approximately $300.0 million, before deducting underwriting discounts and commissions and other expenses payable by the Company, of $16.2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Preferred Stock</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Each share of Legacy Clover's preferred stock was convertible at the option of the holder, at any time and from time to time, and without the payment of additional consideration by the holder thereof, into fully paid and non-assessable shares of common stock.</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Pursuant to the Merger Agreement, all outstanding shares of Legacy Clover's preferred stock automatically converted into 139,444,346 shares of Class B Common Stock upon the closing of the 2021 Business Combination. For additional information, see Note 3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Variable Interest Entity and Equity Method of Accounting</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spacing w:after="0" w:line="3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determined that it does have a significant influence over Character Biosciences and, therefore, it began accounting for its common stock investment in Character Biosciences using the equity method on February 4, 2022. The Company derecognized all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6" w:name="page107"/>
    <w:bookmarkEnd w:id="106"/>
    <w:p>
      <w:pPr>
        <w:jc w:val="both"/>
        <w:spacing w:after="0" w:line="267" w:lineRule="auto"/>
        <w:rPr>
          <w:sz w:val="20"/>
          <w:szCs w:val="20"/>
          <w:color w:val="auto"/>
        </w:rPr>
      </w:pPr>
      <w:r>
        <w:rPr>
          <w:rFonts w:ascii="Times New Roman" w:cs="Times New Roman" w:eastAsia="Times New Roman" w:hAnsi="Times New Roman"/>
          <w:sz w:val="17"/>
          <w:szCs w:val="17"/>
          <w:color w:val="auto"/>
        </w:rPr>
        <w:t>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Consolidated Balance Sheets, and recognized a gain of $9.2 million, which is included within Gain on investment on the Consolidated Statements of Operations and Comprehensive Loss for the year ended December 31, 2022.</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loss on investment on the Consolidated Statements of Operations and Comprehensive Loss.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The carrying amount of the investment is included within Other assets, non-current in the Consolidated Balance Sheets. In accordance with ASC 321, for each reporting period, the Company completes a qualitative assessment considering impairment indicators to evaluate whether the investment is impaired.</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accordance with ASC 323, for the year ended December 31, 2022, the Company recognized the proportionate share of Character Bioscience's net losses up to the investment carrying amount. At December 31, 2022, the Company discontinued applying the equity method to account for its common stock interest in Character Biosciences as the Company's net losses exceeded the Company's investment carrying amount. The equity method investment in Character Biosciences was reduced to zero and no further losses were recorded in the Company's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January 23, 2023, Character Biosciences, completed a second private capital transaction in which it raised an additional capital from the issuance of additional shares of its preferred stock. Upon completion of this transaction, the Company's ownership percentage in Character Biosciences decreased.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Employee Benefit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Savings Plan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$1.6 million, $1.2 million, and $1.2 million for the years ended December 31, 2022, 2021, and 2020, respectively, and are included within Salaries and benefits on the Consolidated Statements of Operations and Comprehensive Loss. The Company's cash match is invested pursuant to the participant's contribution direction. Employer contributions are immediately 100.0% vested.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2020 Equity Incentive Plan (the "2020 Plan") provides for grants of restricted stocks units ("RSUs") and options to acquire shares of the Company's common stock, par value $0.0001 per share, to employees, directors, officers, and consultants of the Company, and the Company's 2020 Management Incentive Plan (the "2020 MIP") provides for grants of RSUs to our Executive Chair and CEO.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her commencement of employment with the Company, and such grant is an inducement material to his or her entering into employment with the Company.</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determined by the Board.</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maximum number of shares of the Company's common stock reserved for issuance over the term of the Plans, shares outstanding under the Plans, and shares remaining under the Plans at December 31, 2022 and 2021, respectively,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174"/>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3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rPr>
              <w:t>Authorized</w:t>
            </w:r>
          </w:p>
        </w:tc>
        <w:tc>
          <w:tcPr>
            <w:tcW w:w="13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28"/>
        </w:trPr>
        <w:tc>
          <w:tcPr>
            <w:tcW w:w="7320" w:type="dxa"/>
            <w:vAlign w:val="bottom"/>
            <w:gridSpan w:val="2"/>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0" w:type="dxa"/>
            <w:vAlign w:val="bottom"/>
          </w:tcPr>
          <w:p>
            <w:pPr>
              <w:spacing w:after="0"/>
              <w:rPr>
                <w:sz w:val="1"/>
                <w:szCs w:val="1"/>
                <w:color w:val="auto"/>
              </w:rPr>
            </w:pPr>
          </w:p>
        </w:tc>
      </w:tr>
      <w:tr>
        <w:trPr>
          <w:trHeight w:val="214"/>
        </w:trPr>
        <w:tc>
          <w:tcPr>
            <w:tcW w:w="7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2014 Plan</w:t>
            </w:r>
          </w:p>
        </w:tc>
        <w:tc>
          <w:tcPr>
            <w:tcW w:w="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54,402,264</w:t>
            </w:r>
          </w:p>
        </w:tc>
        <w:tc>
          <w:tcPr>
            <w:tcW w:w="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36,378,558</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2020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31,884,272</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29,805,319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242,473</w:t>
            </w:r>
          </w:p>
        </w:tc>
        <w:tc>
          <w:tcPr>
            <w:tcW w:w="0" w:type="dxa"/>
            <w:vAlign w:val="bottom"/>
          </w:tcPr>
          <w:p>
            <w:pPr>
              <w:spacing w:after="0"/>
              <w:rPr>
                <w:sz w:val="1"/>
                <w:szCs w:val="1"/>
                <w:color w:val="auto"/>
              </w:rPr>
            </w:pPr>
          </w:p>
        </w:tc>
      </w:tr>
      <w:tr>
        <w:trPr>
          <w:trHeight w:val="221"/>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2020 MIP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33,426,983</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30,084,285</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Inducement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169"/>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8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Authorized</w:t>
            </w: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34"/>
        </w:trPr>
        <w:tc>
          <w:tcPr>
            <w:tcW w:w="7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0" w:type="dxa"/>
            <w:vAlign w:val="bottom"/>
          </w:tcPr>
          <w:p>
            <w:pPr>
              <w:spacing w:after="0"/>
              <w:rPr>
                <w:sz w:val="1"/>
                <w:szCs w:val="1"/>
                <w:color w:val="auto"/>
              </w:rPr>
            </w:pPr>
          </w:p>
        </w:tc>
      </w:tr>
      <w:tr>
        <w:trPr>
          <w:trHeight w:val="214"/>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2014 Plan</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54,402,264</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41,905,875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1"/>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 Plan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30,641,401</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6,690,048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23,442,323</w:t>
            </w:r>
          </w:p>
        </w:tc>
        <w:tc>
          <w:tcPr>
            <w:tcW w:w="0" w:type="dxa"/>
            <w:vAlign w:val="bottom"/>
          </w:tcPr>
          <w:p>
            <w:pPr>
              <w:spacing w:after="0"/>
              <w:rPr>
                <w:sz w:val="1"/>
                <w:szCs w:val="1"/>
                <w:color w:val="auto"/>
              </w:rPr>
            </w:pPr>
          </w:p>
        </w:tc>
      </w:tr>
      <w:tr>
        <w:trPr>
          <w:trHeight w:val="221"/>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2020 MIP</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33,426,983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33,426,983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as of the closing of the 2021 Business Combination, the 2014 Plan was terminated, at which time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Shares may be issued from authorized but unissued Company stock.</w:t>
      </w:r>
    </w:p>
    <w:p>
      <w:pPr>
        <w:spacing w:after="0" w:line="3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Plans are administered by the Talent and Compensation Committee of the Board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recorded Stock-based compensation expense for options, RSUs, and performance restricted stock units ("PRSUs") granted under the Plans, the Inducement Plan, and discounts offered in connection with the Company's 2020 Employee Stock Purchase Plan ("ESPP") of $164.3 million, $163.7 million, and $7.1 million during the years ended December 31, 2022, 2021, and 2020, respectively, and such expenses are presented within Salaries and benefits in the accompanying Consolidated Statements of Operations and Comprehensive Loss.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8" w:name="page109"/>
    <w:bookmarkEnd w:id="108"/>
    <w:p>
      <w:pPr>
        <w:jc w:val="both"/>
        <w:spacing w:after="0" w:line="292" w:lineRule="auto"/>
        <w:rPr>
          <w:sz w:val="20"/>
          <w:szCs w:val="20"/>
          <w:color w:val="auto"/>
        </w:rPr>
      </w:pPr>
      <w:r>
        <w:rPr>
          <w:rFonts w:ascii="Times New Roman" w:cs="Times New Roman" w:eastAsia="Times New Roman" w:hAnsi="Times New Roman"/>
          <w:sz w:val="17"/>
          <w:szCs w:val="17"/>
          <w:color w:val="auto"/>
        </w:rPr>
        <w:t>Compensation cost presented within Salaries and benefits within the accompanying Consolidated Statements of Operations and Comprehensive Loss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280" w:type="dxa"/>
            <w:vAlign w:val="bottom"/>
          </w:tcPr>
          <w:p>
            <w:pPr>
              <w:spacing w:after="0"/>
              <w:rPr>
                <w:sz w:val="19"/>
                <w:szCs w:val="19"/>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82"/>
        </w:trPr>
        <w:tc>
          <w:tcPr>
            <w:tcW w:w="7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7,078</w:t>
            </w:r>
          </w:p>
        </w:tc>
      </w:tr>
      <w:tr>
        <w:trPr>
          <w:trHeight w:val="22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3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5425440</wp:posOffset>
            </wp:positionH>
            <wp:positionV relativeFrom="paragraph">
              <wp:posOffset>-24130</wp:posOffset>
            </wp:positionV>
            <wp:extent cx="5778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85" cy="16510"/>
                    </a:xfrm>
                    <a:prstGeom prst="rect">
                      <a:avLst/>
                    </a:prstGeom>
                    <a:noFill/>
                  </pic:spPr>
                </pic:pic>
              </a:graphicData>
            </a:graphic>
          </wp:anchor>
        </w:drawing>
      </w:r>
    </w:p>
    <w:p>
      <w:pPr>
        <w:spacing w:after="0" w:line="2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December 31, 2022, there was approximately $340.5 million of unrecognized stock-based compensation expense related to unvested stock options, RSUs, PRSUs, and the ESPP, estimated to be recognized over a period of 4.00 years. The Company recognized $85.3 million and $89.9 million in share-based based compensation related to PRSUs for the years ended December 31, 2022 and 2021, respectively. The Company has granted PRSUs to certain executives, which become eligible to vest if prior to the vesting date the average closing price of one share of the Company's common stock for 90 consecutive days equals or exceeds a specified price (the "Market PRSUs"). The expense referenced above is mainly attributable to Market PRSUs that vest based on pre-established milestones including Company performance. These milestones primarily consist of the volume-weighted average stock closing price ranging from $20 to $30 for 90 consecutive days. The grant date fair value of the Market PRSUs is recognized as expense over the vesting period under the accelerated attribution method and is not adjusted in future periods for the success or failure to achieve the specified market condition. At December 31, 2022, the market condition component of these awards has not been met, so the awards have not been earned. This expense represents more than 50% of the total compensation cost recognized for stock-based compensation plans presented within Salaries and benefits within the accompanying Consolidated Statements of Operations and Comprehensive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assumptions that the Company used in the Black-Scholes option-pricing model to determine the grant-date fair value of stock options granted for the years ended December 31, 2021 and December 31, 2020, respectively,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0" w:type="dxa"/>
            <w:vAlign w:val="bottom"/>
          </w:tcPr>
          <w:p>
            <w:pPr>
              <w:spacing w:after="0"/>
              <w:rPr>
                <w:sz w:val="1"/>
                <w:szCs w:val="1"/>
                <w:color w:val="auto"/>
              </w:rPr>
            </w:pPr>
          </w:p>
        </w:tc>
      </w:tr>
      <w:tr>
        <w:trPr>
          <w:trHeight w:val="214"/>
        </w:trPr>
        <w:tc>
          <w:tcPr>
            <w:tcW w:w="8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0.84 %</w:t>
            </w:r>
          </w:p>
        </w:tc>
        <w:tc>
          <w:tcPr>
            <w:tcW w:w="0" w:type="dxa"/>
            <w:vAlign w:val="bottom"/>
          </w:tcPr>
          <w:p>
            <w:pPr>
              <w:spacing w:after="0"/>
              <w:rPr>
                <w:sz w:val="1"/>
                <w:szCs w:val="1"/>
                <w:color w:val="auto"/>
              </w:rPr>
            </w:pPr>
          </w:p>
        </w:tc>
      </w:tr>
      <w:tr>
        <w:trPr>
          <w:trHeight w:val="221"/>
        </w:trPr>
        <w:tc>
          <w:tcPr>
            <w:tcW w:w="8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21"/>
        </w:trPr>
        <w:tc>
          <w:tcPr>
            <w:tcW w:w="8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34.66 %</w:t>
            </w:r>
          </w:p>
        </w:tc>
        <w:tc>
          <w:tcPr>
            <w:tcW w:w="0" w:type="dxa"/>
            <w:vAlign w:val="bottom"/>
          </w:tcPr>
          <w:p>
            <w:pPr>
              <w:spacing w:after="0"/>
              <w:rPr>
                <w:sz w:val="1"/>
                <w:szCs w:val="1"/>
                <w:color w:val="auto"/>
              </w:rPr>
            </w:pPr>
          </w:p>
        </w:tc>
      </w:tr>
      <w:tr>
        <w:trPr>
          <w:trHeight w:val="226"/>
        </w:trPr>
        <w:tc>
          <w:tcPr>
            <w:tcW w:w="8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8"/>
        </w:trPr>
        <w:tc>
          <w:tcPr>
            <w:tcW w:w="8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summary of option activity under the 2020 Plan during the year ended December 31, 2022, was as follows: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28"/>
        </w:trPr>
        <w:tc>
          <w:tcPr>
            <w:tcW w:w="8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214"/>
        </w:trPr>
        <w:tc>
          <w:tcPr>
            <w:tcW w:w="840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January 1, 2022</w:t>
            </w:r>
          </w:p>
        </w:tc>
        <w:tc>
          <w:tcPr>
            <w:tcW w:w="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1,753,799</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21"/>
        </w:trPr>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Granted during 2022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39"/>
        </w:trPr>
        <w:tc>
          <w:tcPr>
            <w:tcW w:w="840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December 31, 2022</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1,364,822</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0"/>
        </w:trPr>
        <w:tc>
          <w:tcPr>
            <w:tcW w:w="8320" w:type="dxa"/>
            <w:vAlign w:val="bottom"/>
            <w:tcBorders>
              <w:top w:val="single" w:sz="8" w:color="CFF0FC"/>
              <w:bottom w:val="single" w:sz="8" w:color="CFF0FC"/>
            </w:tcBorders>
            <w:vMerge w:val="restart"/>
          </w:tcPr>
          <w:p>
            <w:pPr>
              <w:ind w:left="550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8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-560070</wp:posOffset>
            </wp:positionV>
            <wp:extent cx="5778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-716280</wp:posOffset>
            </wp:positionV>
            <wp:extent cx="577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6"/>
        </w:trPr>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option activity under the 2014 Plan during the year ended December 31, 2022, was as follows: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02"/>
        </w:trPr>
        <w:tc>
          <w:tcPr>
            <w:tcW w:w="840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w:t>
            </w:r>
          </w:p>
        </w:tc>
      </w:tr>
      <w:tr>
        <w:trPr>
          <w:trHeight w:val="231"/>
        </w:trPr>
        <w:tc>
          <w:tcPr>
            <w:tcW w:w="8400" w:type="dxa"/>
            <w:vAlign w:val="bottom"/>
          </w:tcPr>
          <w:p>
            <w:pPr>
              <w:spacing w:after="0"/>
              <w:rPr>
                <w:sz w:val="20"/>
                <w:szCs w:val="20"/>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0" w:type="dxa"/>
            <w:vAlign w:val="bottom"/>
          </w:tcPr>
          <w:p>
            <w:pPr>
              <w:spacing w:after="0"/>
              <w:rPr>
                <w:sz w:val="20"/>
                <w:szCs w:val="20"/>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16"/>
        </w:trPr>
        <w:tc>
          <w:tcPr>
            <w:tcW w:w="84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31,155,742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21"/>
        </w:trPr>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 during 2022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(4,367,985)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21"/>
        </w:trPr>
        <w:tc>
          <w:tcPr>
            <w:tcW w:w="8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(1,156,072)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3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25,631,685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6208395</wp:posOffset>
            </wp:positionH>
            <wp:positionV relativeFrom="paragraph">
              <wp:posOffset>-24130</wp:posOffset>
            </wp:positionV>
            <wp:extent cx="5778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6208395</wp:posOffset>
            </wp:positionH>
            <wp:positionV relativeFrom="paragraph">
              <wp:posOffset>-180975</wp:posOffset>
            </wp:positionV>
            <wp:extent cx="577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weighted-average grant date fair value of stock options granted during the years ended December 31, 2021 and December 31, 2020 were $3.36 and $1.04 per share, respectively.</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At December 31, 2022, outstanding stock options, substantially all of which are expected to vest, had an aggregate intrinsic value of $340.5 million, and a weighted-average remaining contractual term of 4.00 years. At December 31, 2022, there were 21,662,878 options exercisable under the Plan, with an aggregate intrinsic value of $0.1 million, a weighted-average exercise price of $2.85 per share, and a weighted-average remaining contractual term of 6.13 years. The total value of stock options exercised during the years ended December 31, 2022, 2021, and 2020 was $11.3 million, $39.3 million, and $5.8 million, respectively. Cash received from stock option exercises during the years ended December 31, 2022, 2021, and 2020 totaled $1.0 million, $6.1 million, and $2.1 million, respectively.</w:t>
      </w:r>
    </w:p>
    <w:p>
      <w:pPr>
        <w:spacing w:after="0" w:line="3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early, the Company must redeem those shares at the original exercise price and remit payment of the forfeited portion of shares back to the employee.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total RSU activity is presented below:</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69"/>
        </w:trPr>
        <w:tc>
          <w:tcPr>
            <w:tcW w:w="834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20" w:type="dxa"/>
            <w:vAlign w:val="bottom"/>
          </w:tcPr>
          <w:p>
            <w:pPr>
              <w:spacing w:after="0"/>
              <w:rPr>
                <w:sz w:val="14"/>
                <w:szCs w:val="14"/>
                <w:color w:val="auto"/>
              </w:rPr>
            </w:pPr>
          </w:p>
        </w:tc>
        <w:tc>
          <w:tcPr>
            <w:tcW w:w="1280" w:type="dxa"/>
            <w:vAlign w:val="bottom"/>
          </w:tcPr>
          <w:p>
            <w:pPr>
              <w:jc w:val="right"/>
              <w:ind w:right="73"/>
              <w:spacing w:after="0" w:line="169"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value per share</w:t>
            </w:r>
          </w:p>
        </w:tc>
        <w:tc>
          <w:tcPr>
            <w:tcW w:w="0" w:type="dxa"/>
            <w:vAlign w:val="bottom"/>
          </w:tcPr>
          <w:p>
            <w:pPr>
              <w:spacing w:after="0"/>
              <w:rPr>
                <w:sz w:val="1"/>
                <w:szCs w:val="1"/>
                <w:color w:val="auto"/>
              </w:rPr>
            </w:pPr>
          </w:p>
        </w:tc>
      </w:tr>
      <w:tr>
        <w:trPr>
          <w:trHeight w:val="214"/>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January 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 during 2021</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22,031,869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(639,752)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21"/>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(97,276)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4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21,294,841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123"/>
        </w:trPr>
        <w:tc>
          <w:tcPr>
            <w:tcW w:w="8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January 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21,294,841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w:t>
            </w:r>
          </w:p>
        </w:tc>
        <w:tc>
          <w:tcPr>
            <w:tcW w:w="0" w:type="dxa"/>
            <w:vAlign w:val="bottom"/>
          </w:tcPr>
          <w:p>
            <w:pPr>
              <w:spacing w:after="0"/>
              <w:rPr>
                <w:sz w:val="1"/>
                <w:szCs w:val="1"/>
                <w:color w:val="auto"/>
              </w:rPr>
            </w:pPr>
          </w:p>
        </w:tc>
      </w:tr>
      <w:tr>
        <w:trPr>
          <w:trHeight w:val="221"/>
        </w:trPr>
        <w:tc>
          <w:tcPr>
            <w:tcW w:w="8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 during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34,706,132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0" w:type="dxa"/>
            <w:vAlign w:val="bottom"/>
          </w:tcPr>
          <w:p>
            <w:pPr>
              <w:spacing w:after="0"/>
              <w:rPr>
                <w:sz w:val="1"/>
                <w:szCs w:val="1"/>
                <w:color w:val="auto"/>
              </w:rPr>
            </w:pPr>
          </w:p>
        </w:tc>
      </w:tr>
      <w:tr>
        <w:trPr>
          <w:trHeight w:val="22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(4,656,884)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0" w:type="dxa"/>
            <w:vAlign w:val="bottom"/>
          </w:tcPr>
          <w:p>
            <w:pPr>
              <w:spacing w:after="0"/>
              <w:rPr>
                <w:sz w:val="1"/>
                <w:szCs w:val="1"/>
                <w:color w:val="auto"/>
              </w:rPr>
            </w:pPr>
          </w:p>
        </w:tc>
      </w:tr>
      <w:tr>
        <w:trPr>
          <w:trHeight w:val="221"/>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(1,726,890)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49,617,199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Restricted Stock Units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10" w:name="page111"/>
    <w:bookmarkEnd w:id="110"/>
    <w:p>
      <w:pPr>
        <w:spacing w:after="0" w:line="292" w:lineRule="auto"/>
        <w:rPr>
          <w:sz w:val="20"/>
          <w:szCs w:val="20"/>
          <w:color w:val="auto"/>
        </w:rPr>
      </w:pPr>
      <w:r>
        <w:rPr>
          <w:rFonts w:ascii="Times New Roman" w:cs="Times New Roman" w:eastAsia="Times New Roman" w:hAnsi="Times New Roman"/>
          <w:sz w:val="17"/>
          <w:szCs w:val="17"/>
          <w:color w:val="auto"/>
        </w:rPr>
        <w:t>determined the requisite service period for the PRSUs with multiple performance conditions to be the longest of the explicit, implicit, or derived service period for each tranche.</w:t>
      </w:r>
    </w:p>
    <w:p>
      <w:pPr>
        <w:spacing w:after="0" w:line="1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2"/>
                <w:szCs w:val="22"/>
                <w:color w:val="auto"/>
                <w:vertAlign w:val="superscript"/>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6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2"/>
                <w:szCs w:val="22"/>
                <w:color w:val="auto"/>
                <w:vertAlign w:val="superscript"/>
              </w:rPr>
              <w:t>(2)</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0.5</w:t>
            </w:r>
          </w:p>
        </w:tc>
      </w:tr>
      <w:tr>
        <w:trPr>
          <w:trHeight w:val="260"/>
        </w:trPr>
        <w:tc>
          <w:tcPr>
            <w:tcW w:w="9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Dividend yield </w:t>
            </w:r>
            <w:r>
              <w:rPr>
                <w:rFonts w:ascii="Times New Roman" w:cs="Times New Roman" w:eastAsia="Times New Roman" w:hAnsi="Times New Roman"/>
                <w:sz w:val="22"/>
                <w:szCs w:val="22"/>
                <w:color w:val="auto"/>
                <w:vertAlign w:val="superscript"/>
              </w:rPr>
              <w:t>(3)</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bl>
    <w:p>
      <w:pPr>
        <w:spacing w:after="0" w:line="45" w:lineRule="exact"/>
        <w:rPr>
          <w:sz w:val="20"/>
          <w:szCs w:val="20"/>
          <w:color w:val="auto"/>
        </w:rPr>
      </w:pPr>
    </w:p>
    <w:p>
      <w:pPr>
        <w:ind w:left="140" w:hanging="136"/>
        <w:spacing w:after="0"/>
        <w:tabs>
          <w:tab w:leader="none" w:pos="14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Expected volatility is based on a blend of peer group company historical data adjusted for the Company's leverage.</w:t>
      </w:r>
    </w:p>
    <w:p>
      <w:pPr>
        <w:ind w:left="140" w:hanging="136"/>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Risk-free interest rate based on U.S. Treasury yields with a term equal to the remaining Performance Period as of the grant date.</w:t>
      </w:r>
    </w:p>
    <w:p>
      <w:pPr>
        <w:spacing w:after="0" w:line="4" w:lineRule="exact"/>
        <w:rPr>
          <w:rFonts w:ascii="Times New Roman" w:cs="Times New Roman" w:eastAsia="Times New Roman" w:hAnsi="Times New Roman"/>
          <w:sz w:val="9"/>
          <w:szCs w:val="9"/>
          <w:color w:val="auto"/>
        </w:rPr>
      </w:pPr>
    </w:p>
    <w:p>
      <w:pPr>
        <w:ind w:left="140" w:hanging="136"/>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PRSU activity is presented below:</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8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74"/>
        </w:trPr>
        <w:tc>
          <w:tcPr>
            <w:tcW w:w="8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20" w:type="dxa"/>
            <w:vAlign w:val="bottom"/>
          </w:tcPr>
          <w:p>
            <w:pPr>
              <w:spacing w:after="0"/>
              <w:rPr>
                <w:sz w:val="15"/>
                <w:szCs w:val="15"/>
                <w:color w:val="auto"/>
              </w:rPr>
            </w:pPr>
          </w:p>
        </w:tc>
        <w:tc>
          <w:tcPr>
            <w:tcW w:w="1320" w:type="dxa"/>
            <w:vAlign w:val="bottom"/>
          </w:tcPr>
          <w:p>
            <w:pPr>
              <w:jc w:val="center"/>
              <w:ind w:right="33"/>
              <w:spacing w:after="0" w:line="174"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228"/>
        </w:trPr>
        <w:tc>
          <w:tcPr>
            <w:tcW w:w="8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value per share</w:t>
            </w:r>
          </w:p>
        </w:tc>
        <w:tc>
          <w:tcPr>
            <w:tcW w:w="0" w:type="dxa"/>
            <w:vAlign w:val="bottom"/>
          </w:tcPr>
          <w:p>
            <w:pPr>
              <w:spacing w:after="0"/>
              <w:rPr>
                <w:sz w:val="1"/>
                <w:szCs w:val="1"/>
                <w:color w:val="auto"/>
              </w:rPr>
            </w:pPr>
          </w:p>
        </w:tc>
      </w:tr>
      <w:tr>
        <w:trPr>
          <w:trHeight w:val="214"/>
        </w:trPr>
        <w:tc>
          <w:tcPr>
            <w:tcW w:w="8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January 1, 2021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Granted during 2021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27,818,524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40"/>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27,818,524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123"/>
        </w:trPr>
        <w:tc>
          <w:tcPr>
            <w:tcW w:w="8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January 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27,818,524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0" w:type="dxa"/>
            <w:vAlign w:val="bottom"/>
          </w:tcPr>
          <w:p>
            <w:pPr>
              <w:spacing w:after="0"/>
              <w:rPr>
                <w:sz w:val="1"/>
                <w:szCs w:val="1"/>
                <w:color w:val="auto"/>
              </w:rPr>
            </w:pPr>
          </w:p>
        </w:tc>
      </w:tr>
      <w:tr>
        <w:trPr>
          <w:trHeight w:val="221"/>
        </w:trPr>
        <w:tc>
          <w:tcPr>
            <w:tcW w:w="8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 during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2,405,281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21"/>
        </w:trPr>
        <w:tc>
          <w:tcPr>
            <w:tcW w:w="8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(265,306)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3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29,945,235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2022, there was $79.9 million of unrecognized share-based compensation expense related to PRSUs, which is expected to be recognized over a period of 4.00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2020 Employee Stock Purchase Plan</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6,312,038 shares, and the maximum number of shares that may be purchased on any single purchase date by any one participant is 5,000 shares. At December 31, 2022, 5,742,230 shares of Class A common stock were available for issuance under the ESPP.</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initial offering period for the ESPP was five months, which commenced on September 1, 2021, and ended on January 31, 2022. The second offering period began on March 14, 2022, and ended November 22, 2022, and the third offering period began on November 23, 2022, and will end on May 21,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At December 31, 2022, 569,808 shares of the Company's Class A common stock have been purchased or distributed pursuant to the ESPP.</w:t>
      </w:r>
    </w:p>
    <w:p>
      <w:pPr>
        <w:spacing w:after="0" w:line="2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assumptions that the Company used in the Black-Scholes option-pricing model to determine the fair value of the purchase rights under the ESPP for the year ended December 31, 2022, is as follows: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4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467.0 %</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4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78.4 %</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warrants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November 2016 and December 2017, the Company issued warrants to purchase 139,629 shares of the Company's common stock at an exercise price of $2.61 per share, and 122,052 shares of the Company's common stock at an exercise price of $3.45 per share, respectively, as part of payment to certain providers for services provided to the Company. These warrants were automatically exercised in connection with the 2021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consisted of the following for the years ended December 31, 2022, 2021, and 2020, respectively: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Pr>
          <w:p>
            <w:pPr>
              <w:spacing w:after="0"/>
              <w:rPr>
                <w:sz w:val="19"/>
                <w:szCs w:val="19"/>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82"/>
        </w:trPr>
        <w:tc>
          <w:tcPr>
            <w:tcW w:w="6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expense</w:t>
            </w:r>
          </w:p>
        </w:tc>
        <w:tc>
          <w:tcPr>
            <w:tcW w:w="30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8"/>
        </w:trPr>
        <w:tc>
          <w:tcPr>
            <w:tcW w:w="69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provision for income taxes was different from the amount computed using the federal statutory rate of 21% for the years ended December 31, 2022, 2021, and 2020, respectively, due to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Pr>
          <w:p>
            <w:pPr>
              <w:spacing w:after="0"/>
              <w:rPr>
                <w:sz w:val="19"/>
                <w:szCs w:val="19"/>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82"/>
        </w:trPr>
        <w:tc>
          <w:tcPr>
            <w:tcW w:w="6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at federal statutory rate (21%)</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(28,642)</w:t>
            </w:r>
          </w:p>
        </w:tc>
      </w:tr>
      <w:tr>
        <w:trPr>
          <w:trHeight w:val="205"/>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on convertible securities</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w:t>
            </w:r>
          </w:p>
        </w:tc>
      </w:tr>
      <w:tr>
        <w:trPr>
          <w:trHeight w:val="21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on convertible securities discount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w:t>
            </w:r>
          </w:p>
        </w:tc>
      </w:tr>
      <w:tr>
        <w:trPr>
          <w:trHeight w:val="205"/>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Debt issuance cost related to convertible securities</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liability related to convertible securities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(19,688)</w:t>
            </w:r>
          </w:p>
        </w:tc>
      </w:tr>
      <w:tr>
        <w:trPr>
          <w:trHeight w:val="205"/>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Warrant expense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16,823</w:t>
            </w:r>
          </w:p>
        </w:tc>
      </w:tr>
      <w:tr>
        <w:trPr>
          <w:trHeight w:val="21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Meals and entertainment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Health insurance industry fee</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1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5"/>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 year true-up</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05"/>
        </w:trPr>
        <w:tc>
          <w:tcPr>
            <w:tcW w:w="6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Valuation allowance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112,661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18,585</w:t>
            </w:r>
          </w:p>
        </w:tc>
      </w:tr>
      <w:tr>
        <w:trPr>
          <w:trHeight w:val="228"/>
        </w:trPr>
        <w:tc>
          <w:tcPr>
            <w:tcW w:w="6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issued convertible securities for which the interest expense recorded in 2022 and 2021 was none, and approximately $31.1 million for 2020. This interest expense is not deductible for tax purposes.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6"/>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components of net deferred tax balances at December 31, 2022 and 2021, respectively, were as follows: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00" w:type="dxa"/>
            <w:vAlign w:val="bottom"/>
          </w:tcPr>
          <w:p>
            <w:pPr>
              <w:spacing w:after="0"/>
              <w:rPr>
                <w:sz w:val="24"/>
                <w:szCs w:val="24"/>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42"/>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8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top w:val="single" w:sz="8" w:color="auto"/>
            </w:tcBorders>
          </w:tcPr>
          <w:p>
            <w:pPr>
              <w:spacing w:after="0"/>
              <w:rPr>
                <w:sz w:val="15"/>
                <w:szCs w:val="15"/>
                <w:color w:val="auto"/>
              </w:rPr>
            </w:pPr>
          </w:p>
        </w:tc>
      </w:tr>
      <w:tr>
        <w:trPr>
          <w:trHeight w:val="21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5"/>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operating loss carryforward (NOL)</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294,335</w:t>
            </w:r>
          </w:p>
        </w:tc>
        <w:tc>
          <w:tcPr>
            <w:tcW w:w="100" w:type="dxa"/>
            <w:vAlign w:val="bottom"/>
          </w:tcPr>
          <w:p>
            <w:pPr>
              <w:spacing w:after="0"/>
              <w:rPr>
                <w:sz w:val="17"/>
                <w:szCs w:val="17"/>
                <w:color w:val="auto"/>
              </w:rPr>
            </w:pPr>
          </w:p>
        </w:tc>
        <w:tc>
          <w:tcPr>
            <w:tcW w:w="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207,713</w:t>
            </w: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35,374</w:t>
            </w:r>
          </w:p>
        </w:tc>
      </w:tr>
      <w:tr>
        <w:trPr>
          <w:trHeight w:val="205"/>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23,232</w:t>
            </w: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Unpaid claim reserve discounting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404</w:t>
            </w:r>
          </w:p>
        </w:tc>
      </w:tr>
      <w:tr>
        <w:trPr>
          <w:trHeight w:val="205"/>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1,657</w:t>
            </w: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Fixed assets and intangible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2,267</w:t>
            </w:r>
          </w:p>
        </w:tc>
      </w:tr>
      <w:tr>
        <w:trPr>
          <w:trHeight w:val="205"/>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Accruals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2,950</w:t>
            </w: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3,434</w:t>
            </w:r>
          </w:p>
        </w:tc>
      </w:tr>
      <w:tr>
        <w:trPr>
          <w:trHeight w:val="198"/>
        </w:trPr>
        <w:tc>
          <w:tcPr>
            <w:tcW w:w="8340" w:type="dxa"/>
            <w:vAlign w:val="bottom"/>
            <w:tcBorders>
              <w:bottom w:val="single" w:sz="8" w:color="CCEEFF"/>
            </w:tcBorders>
            <w:gridSpan w:val="2"/>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deferred income tax assets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277,031</w:t>
            </w:r>
          </w:p>
        </w:tc>
      </w:tr>
      <w:tr>
        <w:trPr>
          <w:trHeight w:val="203"/>
        </w:trPr>
        <w:tc>
          <w:tcPr>
            <w:tcW w:w="8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(369,530)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(275,865)</w:t>
            </w:r>
          </w:p>
        </w:tc>
      </w:tr>
      <w:tr>
        <w:trPr>
          <w:trHeight w:val="198"/>
        </w:trPr>
        <w:tc>
          <w:tcPr>
            <w:tcW w:w="8340" w:type="dxa"/>
            <w:vAlign w:val="bottom"/>
            <w:tcBorders>
              <w:bottom w:val="single" w:sz="8" w:color="CCEEFF"/>
            </w:tcBorders>
            <w:gridSpan w:val="2"/>
          </w:tcPr>
          <w:p>
            <w:pPr>
              <w:ind w:left="340"/>
              <w:spacing w:after="0" w:line="183" w:lineRule="exact"/>
              <w:rPr>
                <w:sz w:val="20"/>
                <w:szCs w:val="20"/>
                <w:color w:val="auto"/>
              </w:rPr>
            </w:pPr>
            <w:r>
              <w:rPr>
                <w:rFonts w:ascii="Times New Roman" w:cs="Times New Roman" w:eastAsia="Times New Roman" w:hAnsi="Times New Roman"/>
                <w:sz w:val="16"/>
                <w:szCs w:val="16"/>
                <w:color w:val="auto"/>
              </w:rPr>
              <w:t>Total deferred income tax assets, net of valuation allowance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1,166</w:t>
            </w:r>
          </w:p>
        </w:tc>
      </w:tr>
      <w:tr>
        <w:trPr>
          <w:trHeight w:val="229"/>
        </w:trPr>
        <w:tc>
          <w:tcPr>
            <w:tcW w:w="8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5"/>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05"/>
        </w:trPr>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Nontaxable gain on deconsolidation of entity</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8"/>
        </w:trPr>
        <w:tc>
          <w:tcPr>
            <w:tcW w:w="8340" w:type="dxa"/>
            <w:vAlign w:val="bottom"/>
            <w:tcBorders>
              <w:bottom w:val="single" w:sz="8" w:color="CCEEFF"/>
            </w:tcBorders>
            <w:gridSpan w:val="2"/>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deferred income tax 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26"/>
        </w:trPr>
        <w:tc>
          <w:tcPr>
            <w:tcW w:w="8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income tax assets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 and tax credit carryforwards and protective tax deposits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unused operating loss carryforwards available of approximately $1,401.6 million and $989.1 million at December 31, 2022 and 2021,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Company's ability to use the loss carryforwards and other deferred tax assets, valuation allowances of approximately $369.5 million and $275.9 million were established in 2022 and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deposits admitted under Section 6603 of the Internal Revenue Code.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tax planning strategies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any tax planning strategies that include the use of reinsurance and there are no deferred tax liabilities not recognized.</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files income tax returns in the United States. The U.S. Internal Revenue Service ("IRS") is not currently conducting any income tax audits of the Company's returns. The Company's federal income tax returns filed related to tax years subsequent to 2019 remain subject to examination by the IRS. The Company is not aware of any material adjustments that may be proposed as a result of any ongoing or future examinations and does not have material uncertain tax positions reflected in the Consolidated Balance Sheets.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Company has determined that neither the CARES Act and Consolidated Appropriations Act, nor changes to income tax laws or regulations in other jurisdictions, had a significant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20. Net Loss per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Basic and diluted net loss per share attributable to Class A common stockholders and Class B common stockholders (collectively, "Common Stockholders") for the years indicated was calculated as follows:</w:t>
      </w:r>
    </w:p>
    <w:p>
      <w:pPr>
        <w:spacing w:after="0" w:line="18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Years ended</w:t>
      </w:r>
    </w:p>
    <w:p>
      <w:pPr>
        <w:ind w:left="86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137"/>
        </w:trPr>
        <w:tc>
          <w:tcPr>
            <w:tcW w:w="7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w w:val="97"/>
              </w:rPr>
              <w:t>(in thousands,</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3"/>
        </w:trPr>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gridSpan w:val="7"/>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except per share and share amounts)</w:t>
            </w:r>
          </w:p>
        </w:tc>
      </w:tr>
      <w:tr>
        <w:trPr>
          <w:trHeight w:val="23"/>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(136,392)</w:t>
            </w:r>
          </w:p>
        </w:tc>
      </w:t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(136,392)</w:t>
            </w:r>
          </w:p>
        </w:tc>
      </w:tr>
      <w:tr>
        <w:trPr>
          <w:trHeight w:val="169"/>
        </w:trPr>
        <w:tc>
          <w:tcPr>
            <w:tcW w:w="72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Basic and diluted weighted average number of common shares and common share equivalents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476,244,262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412,922,424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88,691,582</w:t>
            </w: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Stockholders—basic and diluted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Because the Company had a Net loss during the years ended December 31, 2022, 2021, and 2020,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spacing w:after="0" w:line="21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Years ended</w:t>
      </w:r>
    </w:p>
    <w:p>
      <w:pPr>
        <w:ind w:left="86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4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26,996,507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32,879,626</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36,557,759</w:t>
            </w:r>
          </w:p>
        </w:tc>
      </w:tr>
      <w:tr>
        <w:trPr>
          <w:trHeight w:val="221"/>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49,617,199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21,294,841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29,945,235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27,818,524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preferred stock (as converted to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139,444,346</w:t>
            </w:r>
          </w:p>
        </w:tc>
      </w:tr>
      <w:tr>
        <w:trPr>
          <w:trHeight w:val="26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to purchase common stock (as converted to common stock)</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7,502,902</w:t>
            </w:r>
          </w:p>
        </w:tc>
      </w:tr>
      <w:tr>
        <w:trPr>
          <w:trHeight w:val="214"/>
        </w:trPr>
        <w:tc>
          <w:tcPr>
            <w:tcW w:w="7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anti-dilutive shares excluded from computation of net loss per share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106,558,941</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81,992,991</w:t>
            </w:r>
          </w:p>
        </w:tc>
        <w:tc>
          <w:tcPr>
            <w:tcW w:w="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183,505,007</w:t>
            </w:r>
          </w:p>
        </w:tc>
      </w:tr>
      <w:tr>
        <w:trPr>
          <w:trHeight w:val="20"/>
        </w:trPr>
        <w:tc>
          <w:tcPr>
            <w:tcW w:w="7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5384800</wp:posOffset>
            </wp:positionH>
            <wp:positionV relativeFrom="paragraph">
              <wp:posOffset>-955675</wp:posOffset>
            </wp:positionV>
            <wp:extent cx="577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Actions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December 31, 2022, and December 31, 2021, respectively, there were no material known contingent liabilities arising outside the normal course of business other than as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 Derivative Litigation and Investigations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4" w:name="page115"/>
    <w:bookmarkEnd w:id="114"/>
    <w:p>
      <w:pPr>
        <w:jc w:val="both"/>
        <w:spacing w:after="0" w:line="259" w:lineRule="auto"/>
        <w:rPr>
          <w:sz w:val="20"/>
          <w:szCs w:val="20"/>
          <w:color w:val="auto"/>
        </w:rPr>
      </w:pPr>
      <w:r>
        <w:rPr>
          <w:rFonts w:ascii="Times New Roman" w:cs="Times New Roman" w:eastAsia="Times New Roman" w:hAnsi="Times New Roman"/>
          <w:sz w:val="17"/>
          <w:szCs w:val="17"/>
          <w:color w:val="auto"/>
        </w:rPr>
        <w:t>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5" w:name="page116"/>
    <w:bookmarkEnd w:id="115"/>
    <w:p>
      <w:pPr>
        <w:jc w:val="both"/>
        <w:spacing w:after="0" w:line="264" w:lineRule="auto"/>
        <w:rPr>
          <w:sz w:val="20"/>
          <w:szCs w:val="20"/>
          <w:color w:val="auto"/>
        </w:rPr>
      </w:pPr>
      <w:r>
        <w:rPr>
          <w:rFonts w:ascii="Times New Roman" w:cs="Times New Roman" w:eastAsia="Times New Roman" w:hAnsi="Times New Roman"/>
          <w:sz w:val="17"/>
          <w:szCs w:val="17"/>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All of these cases remain in the preliminary stages. Given the inherent uncertainty of litigation and the legal standards that must be met, including class certification and success on the merits, the Company has determined that it is not probable or estimable that an unfavorable outcome or potential loss will occur. Clover intends to vigorously defend itself against the claims asserted against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Assessments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Non-Insurance</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April 2021, the Company began participating in the DC Model of the Centers for Medicare &amp; Medicaid Services ("CMS"), which utilizes a structured model intended to reduce expenditures and preserve or enhance quality of care for beneficiaries in Medicare fee-for-service ("FFS"). CMS redesigned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the administrative burden, support a focus on complex, chronically ill patients, and encourage physician organizations that have not typically participated in Medicare FFS to serve beneficiaries in Medicare FFS. The Company's operations in connection with the DC Model are included in the Non-Insurance operating segment. See Note 23 (Operating Segments)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components of the financial agreement for Non-Insurance include:</w:t>
      </w:r>
    </w:p>
    <w:p>
      <w:pPr>
        <w:spacing w:after="0" w:line="244" w:lineRule="exact"/>
        <w:rPr>
          <w:sz w:val="20"/>
          <w:szCs w:val="20"/>
          <w:color w:val="auto"/>
        </w:rPr>
      </w:pPr>
    </w:p>
    <w:p>
      <w:pPr>
        <w:jc w:val="both"/>
        <w:ind w:left="620" w:hanging="305"/>
        <w:spacing w:after="0" w:line="264"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Year Benchmark. </w:t>
      </w:r>
      <w:r>
        <w:rPr>
          <w:rFonts w:ascii="Times New Roman" w:cs="Times New Roman" w:eastAsia="Times New Roman" w:hAnsi="Times New Roman"/>
          <w:sz w:val="17"/>
          <w:szCs w:val="17"/>
          <w:color w:val="auto"/>
        </w:rPr>
        <w:t>The target amount for Medicare expenditures on covered items and services (Medicare Part A and B) furnished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Accountable Care Organization's ("ACO's") aligned beneficiaries during a performance year. The Performance Year Benchmark will be compared to the ACO's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19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Year. </w:t>
      </w:r>
      <w:r>
        <w:rPr>
          <w:rFonts w:ascii="Times New Roman" w:cs="Times New Roman" w:eastAsia="Times New Roman" w:hAnsi="Times New Roman"/>
          <w:sz w:val="17"/>
          <w:szCs w:val="17"/>
          <w:color w:val="auto"/>
        </w:rPr>
        <w:t>A calendar year except for the commencement year, which began on April 1, 2021, and ended on December 31, 2021.</w:t>
      </w:r>
    </w:p>
    <w:p>
      <w:pPr>
        <w:spacing w:after="0" w:line="245"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Risk-Sharing Arrangements. </w:t>
      </w:r>
      <w:r>
        <w:rPr>
          <w:rFonts w:ascii="Times New Roman" w:cs="Times New Roman" w:eastAsia="Times New Roman" w:hAnsi="Times New Roman"/>
          <w:sz w:val="17"/>
          <w:szCs w:val="17"/>
          <w:color w:val="auto"/>
        </w:rPr>
        <w:t>Used in determining the percent of savings and losses that ACOs are eligible to receive as shared savings or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to repay as shared losses.</w:t>
      </w:r>
    </w:p>
    <w:p>
      <w:pPr>
        <w:spacing w:after="0" w:line="168" w:lineRule="exact"/>
        <w:rPr>
          <w:rFonts w:ascii="Times New Roman" w:cs="Times New Roman" w:eastAsia="Times New Roman" w:hAnsi="Times New Roman"/>
          <w:sz w:val="17"/>
          <w:szCs w:val="17"/>
          <w:b w:val="1"/>
          <w:bCs w:val="1"/>
          <w:color w:val="auto"/>
        </w:rPr>
      </w:pPr>
    </w:p>
    <w:p>
      <w:pPr>
        <w:jc w:val="both"/>
        <w:ind w:left="620" w:hanging="305"/>
        <w:spacing w:after="0" w:line="275"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Financial Reconciliation. </w:t>
      </w:r>
      <w:r>
        <w:rPr>
          <w:rFonts w:ascii="Times New Roman" w:cs="Times New Roman" w:eastAsia="Times New Roman" w:hAnsi="Times New Roman"/>
          <w:sz w:val="17"/>
          <w:szCs w:val="17"/>
          <w:color w:val="auto"/>
        </w:rPr>
        <w:t>The process by which CMS determines shared savings or shared losses by comparing the calculated total benchmark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expenditure for a given ACO's aligned population to the actual expenditures of that ACO's aligned beneficiaries over the course of a performance year that includes various risk-mitigation options such as stop-loss reinsurance and risk corridors.</w:t>
      </w:r>
    </w:p>
    <w:p>
      <w:pPr>
        <w:spacing w:after="0" w:line="18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Risk-Mitigation Options. </w:t>
      </w:r>
      <w:r>
        <w:rPr>
          <w:rFonts w:ascii="Times New Roman" w:cs="Times New Roman" w:eastAsia="Times New Roman" w:hAnsi="Times New Roman"/>
          <w:sz w:val="17"/>
          <w:szCs w:val="17"/>
          <w:color w:val="auto"/>
        </w:rPr>
        <w:t>ACOs may elect a "stop-loss arrangement" each performance year, which is designed to reduce the financial uncertainty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high-cost expenditures of individual beneficiaries. The Company has elected participation in the program for the current performance year. Additionally, CMS has created a mandatory risk corridor program that allocates the ACO's shared savings and losses in bands of percentage thresholds, after a deviation of greater than 25% of the Performance Year Benchmark.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Guarantees</w:t>
      </w:r>
    </w:p>
    <w:p>
      <w:pPr>
        <w:spacing w:after="0" w:line="25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6" w:name="page117"/>
    <w:bookmarkEnd w:id="116"/>
    <w:p>
      <w:pPr>
        <w:jc w:val="both"/>
        <w:spacing w:after="0" w:line="267" w:lineRule="auto"/>
        <w:rPr>
          <w:sz w:val="20"/>
          <w:szCs w:val="20"/>
          <w:color w:val="auto"/>
        </w:rPr>
      </w:pPr>
      <w:r>
        <w:rPr>
          <w:rFonts w:ascii="Times New Roman" w:cs="Times New Roman" w:eastAsia="Times New Roman" w:hAnsi="Times New Roman"/>
          <w:sz w:val="17"/>
          <w:szCs w:val="17"/>
          <w:color w:val="auto"/>
        </w:rPr>
        <w:t>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tables below include the financial statement impacts of the performance guarantee:</w:t>
            </w:r>
          </w:p>
        </w:tc>
        <w:tc>
          <w:tcPr>
            <w:tcW w:w="30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8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0" w:type="dxa"/>
            <w:vAlign w:val="bottom"/>
          </w:tcPr>
          <w:p>
            <w:pPr>
              <w:jc w:val="right"/>
              <w:ind w:right="1619"/>
              <w:spacing w:after="0"/>
              <w:rPr>
                <w:sz w:val="20"/>
                <w:szCs w:val="20"/>
                <w:color w:val="auto"/>
              </w:rPr>
            </w:pPr>
            <w:r>
              <w:rPr>
                <w:rFonts w:ascii="Times New Roman" w:cs="Times New Roman" w:eastAsia="Times New Roman" w:hAnsi="Times New Roman"/>
                <w:sz w:val="17"/>
                <w:szCs w:val="17"/>
                <w:b w:val="1"/>
                <w:bCs w:val="1"/>
                <w:color w:val="auto"/>
              </w:rPr>
              <w:t>2022</w:t>
            </w:r>
          </w:p>
        </w:tc>
        <w:tc>
          <w:tcPr>
            <w:tcW w:w="1580" w:type="dxa"/>
            <w:vAlign w:val="bottom"/>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76"/>
        </w:trPr>
        <w:tc>
          <w:tcPr>
            <w:tcW w:w="6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top w:val="single" w:sz="8" w:color="auto"/>
            </w:tcBorders>
          </w:tcPr>
          <w:p>
            <w:pPr>
              <w:spacing w:after="0"/>
              <w:rPr>
                <w:sz w:val="15"/>
                <w:szCs w:val="15"/>
                <w:color w:val="auto"/>
              </w:rPr>
            </w:pPr>
          </w:p>
        </w:tc>
      </w:tr>
      <w:tr>
        <w:trPr>
          <w:trHeight w:val="230"/>
        </w:trPr>
        <w:tc>
          <w:tcPr>
            <w:tcW w:w="6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Non-Insurance performance year obligation </w:t>
            </w:r>
            <w:r>
              <w:rPr>
                <w:rFonts w:ascii="Times New Roman" w:cs="Times New Roman" w:eastAsia="Times New Roman" w:hAnsi="Times New Roman"/>
                <w:sz w:val="22"/>
                <w:szCs w:val="22"/>
                <w:color w:val="auto"/>
                <w:vertAlign w:val="superscript"/>
              </w:rPr>
              <w:t>(1)</w:t>
            </w:r>
          </w:p>
        </w:tc>
        <w:tc>
          <w:tcPr>
            <w:tcW w:w="300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rPr>
              <w:t>73,844</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37400" cy="140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ind w:left="160" w:hanging="139"/>
        <w:spacing w:after="0" w:line="213" w:lineRule="auto"/>
        <w:tabs>
          <w:tab w:leader="none" w:pos="16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obligation represents the consideration due to providers, net of the shared savings or loss for the period and amortization of the liability.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520" w:type="dxa"/>
            <w:vAlign w:val="bottom"/>
          </w:tcPr>
          <w:p>
            <w:pPr>
              <w:spacing w:after="0"/>
              <w:rPr>
                <w:sz w:val="19"/>
                <w:szCs w:val="19"/>
                <w:color w:val="auto"/>
              </w:rPr>
            </w:pPr>
          </w:p>
        </w:tc>
        <w:tc>
          <w:tcPr>
            <w:tcW w:w="1760" w:type="dxa"/>
            <w:vAlign w:val="bottom"/>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720" w:type="dxa"/>
            <w:vAlign w:val="bottom"/>
          </w:tcPr>
          <w:p>
            <w:pPr>
              <w:spacing w:after="0"/>
              <w:rPr>
                <w:sz w:val="19"/>
                <w:szCs w:val="19"/>
                <w:color w:val="auto"/>
              </w:rPr>
            </w:pPr>
          </w:p>
        </w:tc>
        <w:tc>
          <w:tcPr>
            <w:tcW w:w="1580" w:type="dxa"/>
            <w:vAlign w:val="bottom"/>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6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top w:val="single" w:sz="8" w:color="auto"/>
            </w:tcBorders>
          </w:tcPr>
          <w:p>
            <w:pPr>
              <w:spacing w:after="0"/>
              <w:rPr>
                <w:sz w:val="15"/>
                <w:szCs w:val="15"/>
                <w:color w:val="auto"/>
              </w:rPr>
            </w:pPr>
          </w:p>
        </w:tc>
      </w:tr>
      <w:tr>
        <w:trPr>
          <w:trHeight w:val="22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the Non-Insurance performance year receivable</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rPr>
              <w:t>(2,385,116)</w:t>
            </w:r>
          </w:p>
        </w:tc>
        <w:tc>
          <w:tcPr>
            <w:tcW w:w="72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(664,224)</w:t>
            </w:r>
          </w:p>
        </w:tc>
      </w:tr>
      <w:tr>
        <w:trPr>
          <w:trHeight w:val="22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the Non-Insurance performance year obligation</w:t>
            </w:r>
          </w:p>
        </w:tc>
        <w:tc>
          <w:tcPr>
            <w:tcW w:w="520" w:type="dxa"/>
            <w:vAlign w:val="bottom"/>
          </w:tcPr>
          <w:p>
            <w:pPr>
              <w:spacing w:after="0"/>
              <w:rPr>
                <w:sz w:val="19"/>
                <w:szCs w:val="19"/>
                <w:color w:val="auto"/>
              </w:rPr>
            </w:pPr>
          </w:p>
        </w:tc>
        <w:tc>
          <w:tcPr>
            <w:tcW w:w="1760" w:type="dxa"/>
            <w:vAlign w:val="bottom"/>
          </w:tcPr>
          <w:p>
            <w:pPr>
              <w:jc w:val="center"/>
              <w:ind w:left="797"/>
              <w:spacing w:after="0"/>
              <w:rPr>
                <w:sz w:val="20"/>
                <w:szCs w:val="20"/>
                <w:color w:val="auto"/>
              </w:rPr>
            </w:pPr>
            <w:r>
              <w:rPr>
                <w:rFonts w:ascii="Times New Roman" w:cs="Times New Roman" w:eastAsia="Times New Roman" w:hAnsi="Times New Roman"/>
                <w:sz w:val="17"/>
                <w:szCs w:val="17"/>
                <w:color w:val="auto"/>
                <w:w w:val="99"/>
              </w:rPr>
              <w:t>2,385,116</w:t>
            </w:r>
          </w:p>
        </w:tc>
        <w:tc>
          <w:tcPr>
            <w:tcW w:w="720" w:type="dxa"/>
            <w:vAlign w:val="bottom"/>
          </w:tcPr>
          <w:p>
            <w:pPr>
              <w:spacing w:after="0"/>
              <w:rPr>
                <w:sz w:val="19"/>
                <w:szCs w:val="19"/>
                <w:color w:val="auto"/>
              </w:rPr>
            </w:pPr>
          </w:p>
        </w:tc>
        <w:tc>
          <w:tcPr>
            <w:tcW w:w="1580" w:type="dxa"/>
            <w:vAlign w:val="bottom"/>
          </w:tcPr>
          <w:p>
            <w:pPr>
              <w:jc w:val="center"/>
              <w:ind w:left="813"/>
              <w:spacing w:after="0"/>
              <w:rPr>
                <w:sz w:val="20"/>
                <w:szCs w:val="20"/>
                <w:color w:val="auto"/>
              </w:rPr>
            </w:pPr>
            <w:r>
              <w:rPr>
                <w:rFonts w:ascii="Times New Roman" w:cs="Times New Roman" w:eastAsia="Times New Roman" w:hAnsi="Times New Roman"/>
                <w:sz w:val="17"/>
                <w:szCs w:val="17"/>
                <w:color w:val="auto"/>
              </w:rPr>
              <w:t>664,224</w:t>
            </w:r>
          </w:p>
        </w:tc>
      </w:tr>
      <w:tr>
        <w:trPr>
          <w:trHeight w:val="247"/>
        </w:trPr>
        <w:tc>
          <w:tcPr>
            <w:tcW w:w="6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520" w:type="dxa"/>
            <w:vAlign w:val="bottom"/>
          </w:tcPr>
          <w:p>
            <w:pPr>
              <w:spacing w:after="0"/>
              <w:rPr>
                <w:sz w:val="19"/>
                <w:szCs w:val="19"/>
                <w:color w:val="auto"/>
              </w:rPr>
            </w:pPr>
          </w:p>
        </w:tc>
        <w:tc>
          <w:tcPr>
            <w:tcW w:w="1760" w:type="dxa"/>
            <w:vAlign w:val="bottom"/>
          </w:tcPr>
          <w:p>
            <w:pPr>
              <w:jc w:val="center"/>
              <w:ind w:left="777"/>
              <w:spacing w:after="0"/>
              <w:rPr>
                <w:sz w:val="20"/>
                <w:szCs w:val="20"/>
                <w:color w:val="auto"/>
              </w:rPr>
            </w:pPr>
            <w:r>
              <w:rPr>
                <w:rFonts w:ascii="Times New Roman" w:cs="Times New Roman" w:eastAsia="Times New Roman" w:hAnsi="Times New Roman"/>
                <w:sz w:val="17"/>
                <w:szCs w:val="17"/>
                <w:color w:val="auto"/>
              </w:rPr>
              <w:t>2,380,135</w:t>
            </w:r>
          </w:p>
        </w:tc>
        <w:tc>
          <w:tcPr>
            <w:tcW w:w="720" w:type="dxa"/>
            <w:vAlign w:val="bottom"/>
          </w:tcPr>
          <w:p>
            <w:pPr>
              <w:spacing w:after="0"/>
              <w:rPr>
                <w:sz w:val="19"/>
                <w:szCs w:val="19"/>
                <w:color w:val="auto"/>
              </w:rPr>
            </w:pPr>
          </w:p>
        </w:tc>
        <w:tc>
          <w:tcPr>
            <w:tcW w:w="1580" w:type="dxa"/>
            <w:vAlign w:val="bottom"/>
          </w:tcPr>
          <w:p>
            <w:pPr>
              <w:jc w:val="center"/>
              <w:ind w:left="813"/>
              <w:spacing w:after="0"/>
              <w:rPr>
                <w:sz w:val="20"/>
                <w:szCs w:val="20"/>
                <w:color w:val="auto"/>
              </w:rPr>
            </w:pPr>
            <w:r>
              <w:rPr>
                <w:rFonts w:ascii="Times New Roman" w:cs="Times New Roman" w:eastAsia="Times New Roman" w:hAnsi="Times New Roman"/>
                <w:sz w:val="17"/>
                <w:szCs w:val="17"/>
                <w:color w:val="auto"/>
              </w:rPr>
              <w:t>667,639</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Operating Segments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Direct Contracting program.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operations of the Company are organized into the following two segments:</w:t>
      </w:r>
    </w:p>
    <w:p>
      <w:pPr>
        <w:spacing w:after="0" w:line="244" w:lineRule="exact"/>
        <w:rPr>
          <w:sz w:val="20"/>
          <w:szCs w:val="20"/>
          <w:color w:val="auto"/>
        </w:rPr>
      </w:pPr>
    </w:p>
    <w:p>
      <w:pPr>
        <w:ind w:left="620" w:hanging="305"/>
        <w:spacing w:after="0" w:line="295"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Insurance Segment </w:t>
      </w:r>
      <w:r>
        <w:rPr>
          <w:rFonts w:ascii="Times New Roman" w:cs="Times New Roman" w:eastAsia="Times New Roman" w:hAnsi="Times New Roman"/>
          <w:sz w:val="17"/>
          <w:szCs w:val="17"/>
          <w:color w:val="auto"/>
        </w:rPr>
        <w:t>includes operations related to the Company's MA plans, which generally provide access to a wide network of primary care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providers, specialists, and hospitals.</w:t>
      </w:r>
    </w:p>
    <w:p>
      <w:pPr>
        <w:spacing w:after="0" w:line="168"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Non-Insurance Segment </w:t>
      </w:r>
      <w:r>
        <w:rPr>
          <w:rFonts w:ascii="Times New Roman" w:cs="Times New Roman" w:eastAsia="Times New Roman" w:hAnsi="Times New Roman"/>
          <w:sz w:val="17"/>
          <w:szCs w:val="17"/>
          <w:color w:val="auto"/>
        </w:rPr>
        <w:t>includes the Company's operations relating to CMS' DC Model, which provides options aimed at reducing expenditures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preserving or enhancing quality of care for beneficiaries.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Corporate/Other includes other clinical services not included in Medicare Advantage and Direct Contracting and all other corporate overhead. Clinical services is comprised of Clover Home Care and other clinical services that are offered to eligible beneficiaries.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first quarter of 2022, the Company updated the names of its Medicare Advantage and Direct Contracting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t>The table below summarizes the Company's results by operating segment: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2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Non-Insurance</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160" w:type="dxa"/>
            <w:vAlign w:val="bottom"/>
          </w:tcPr>
          <w:p>
            <w:pPr>
              <w:spacing w:after="0"/>
              <w:rPr>
                <w:sz w:val="17"/>
                <w:szCs w:val="17"/>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1460" w:type="dxa"/>
            <w:vAlign w:val="bottom"/>
            <w:tcBorders>
              <w:bottom w:val="single" w:sz="8" w:color="auto"/>
            </w:tcBorders>
            <w:gridSpan w:val="3"/>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4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$470)</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996,410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2,460,879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0" w:type="dxa"/>
            <w:vAlign w:val="bottom"/>
          </w:tcPr>
          <w:p>
            <w:pPr>
              <w:spacing w:after="0"/>
              <w:rPr>
                <w:sz w:val="1"/>
                <w:szCs w:val="1"/>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91,036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(79,433)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173,817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22,735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354,748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156,754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957,483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(660,365)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808,620</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2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Non-Insurance</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160" w:type="dxa"/>
            <w:vAlign w:val="bottom"/>
          </w:tcPr>
          <w:p>
            <w:pPr>
              <w:spacing w:after="0"/>
              <w:rPr>
                <w:sz w:val="17"/>
                <w:szCs w:val="17"/>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1460" w:type="dxa"/>
            <w:vAlign w:val="bottom"/>
            <w:tcBorders>
              <w:bottom w:val="single" w:sz="8" w:color="auto"/>
            </w:tcBorders>
            <w:gridSpan w:val="3"/>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4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$489)</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799,414</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667,639</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705,407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1,551,178</w:t>
            </w:r>
          </w:p>
        </w:tc>
        <w:tc>
          <w:tcPr>
            <w:tcW w:w="0" w:type="dxa"/>
            <w:vAlign w:val="bottom"/>
          </w:tcPr>
          <w:p>
            <w:pPr>
              <w:spacing w:after="0"/>
              <w:rPr>
                <w:sz w:val="1"/>
                <w:szCs w:val="1"/>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(loss) profit</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(47,656)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(37,768)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128,385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(122,143)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(79,182)</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416,947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1,116,331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(640,501)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950,804</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 reconciliation of the reportable segments' gross profit to the Net loss included in the Consolidated Statements of Operations and Comprehensive Loss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(79,182)</w:t>
            </w:r>
          </w:p>
        </w:tc>
      </w:tr>
      <w:tr>
        <w:trPr>
          <w:trHeight w:val="143"/>
        </w:trPr>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260,458</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185,287</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 deficiency reserve (benefit)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110,628</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(66,146)</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13,717</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 on debt extinguishment on note payable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8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(587,756)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24. Dividend Restrictions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December 31, 2022 and 2021, neither of the regulated insurance subsidiaries had been authorized nor paid any dividends.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Statutory Equity</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Applicable insurance department regulations require that the Company's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 (b) certain statutory reserves are established by a direct charge to surplus, and (c) certain charges are reported as charges to capital and surplus, rather than as a component of net income.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regulated insurance subsidiaries are subject to certain Risk-Based Capital (RBC) requirements specified by the National Association of Insurance Commissioners (NAIC). Under those requirements, the amount of capital and surplus maintained by the Company's regulated insurance subsidiaries is to be determined based on various risk factors, such as (a) asset quality, (b) asset and liability matching, (c) loss reserve adequacy, and other business factors. Regulatory compliance is determined by a ratio of the Company's regulatory total adjusted capital, as defined by the NAIC, to its authorized control level RBC, as defined by the NAIC. Generally, a ratio in excess of the regulatory threshold requires no corrective actions by the Company or regulators. At December 31, 2022 and 2021, the regulated insurance subsidiaries' capital and surplus of $141.4 million and $128.9 million, respectively, exceeded the minimum RBC requirements of approximately $120.6 million and $99.7 million,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Regulatory Matters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operates in a highly regulated environment. It is regulated by federal and state of New Jersey regulators. The Company's regulated insurance subsidiaries must be licensed by and are subject to regulation by New Jersey Department of Banking and Insurance, which requires periodic financial reports and enforces minimum capital and/or reserve requirements.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laws and regulations governing the Company's business and interpretations of those laws and regulations are subject to frequent change. Legislative, administrative, and public policy changes to the Health Care Reform Law continue to be debated, and the Company cannot predict if the Health Care Reform Law will be further modified, repealed, or replaced. The broad latitude given to the agencies administering, interpreting and enforcing current and future regulations governing the Company's business could require the Company to change how it conducts its business, restrict revenue and enrollment growth, increase health care and administrative costs and capital requirements, or expose the Company to increased liability in the courts for coverage determinations, contract interpretation and other actions.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health care industry is also regularly subject to negative publicity, including as a result of governmental investigations, adverse media coverage and political debate surrounding industry regulation. Negative publicity may adversely affect the Company's financial position, results of operations and cash flows and damage its reputation.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BALANCE SHEETS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Schedule I</w:t>
            </w:r>
          </w:p>
        </w:tc>
        <w:tc>
          <w:tcPr>
            <w:tcW w:w="0" w:type="dxa"/>
            <w:vAlign w:val="bottom"/>
          </w:tcPr>
          <w:p>
            <w:pPr>
              <w:spacing w:after="0"/>
              <w:rPr>
                <w:sz w:val="1"/>
                <w:szCs w:val="1"/>
                <w:color w:val="auto"/>
              </w:rPr>
            </w:pPr>
          </w:p>
        </w:tc>
      </w:tr>
      <w:tr>
        <w:trPr>
          <w:trHeight w:val="662"/>
        </w:trPr>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0" w:type="dxa"/>
            <w:vAlign w:val="bottom"/>
          </w:tcPr>
          <w:p>
            <w:pPr>
              <w:spacing w:after="0"/>
              <w:rPr>
                <w:sz w:val="24"/>
                <w:szCs w:val="2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8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115,894</w:t>
            </w:r>
          </w:p>
        </w:tc>
        <w:tc>
          <w:tcPr>
            <w:tcW w:w="0" w:type="dxa"/>
            <w:vAlign w:val="bottom"/>
          </w:tcPr>
          <w:p>
            <w:pPr>
              <w:spacing w:after="0"/>
              <w:rPr>
                <w:sz w:val="1"/>
                <w:szCs w:val="1"/>
                <w:color w:val="auto"/>
              </w:rPr>
            </w:pPr>
          </w:p>
        </w:tc>
      </w:tr>
      <w:tr>
        <w:trPr>
          <w:trHeight w:val="221"/>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Short-term investments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234,986</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 securities, available-for sale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79,268</w:t>
            </w:r>
          </w:p>
        </w:tc>
        <w:tc>
          <w:tcPr>
            <w:tcW w:w="0" w:type="dxa"/>
            <w:vAlign w:val="bottom"/>
          </w:tcPr>
          <w:p>
            <w:pPr>
              <w:spacing w:after="0"/>
              <w:rPr>
                <w:sz w:val="1"/>
                <w:szCs w:val="1"/>
                <w:color w:val="auto"/>
              </w:rPr>
            </w:pPr>
          </w:p>
        </w:tc>
      </w:tr>
      <w:tr>
        <w:trPr>
          <w:trHeight w:val="221"/>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Investment securities, held-to-maturity</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current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224,981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430,245</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Intercompany interest receivable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Intercompany note receivable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Investments in consolidated subsidiaries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140,834</w:t>
            </w: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1780"/>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Intercompany payable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76,211</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Notes payable, net of discount and deferred issuance costs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79,410</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A Common Stock, $0.0001 par value; 2,500,000,000 shares authorized at December 31, 2022 and 2021;</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383,998,718 and 352,645,626 issued and outstanding at December 31, 2022 and 2021, respectively</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169"/>
        </w:trPr>
        <w:tc>
          <w:tcPr>
            <w:tcW w:w="84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at December 31, 2022 and 2021;</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20" w:type="dxa"/>
            <w:vAlign w:val="bottom"/>
            <w:shd w:val="clear" w:color="auto" w:fill="CCEEFF"/>
          </w:tcPr>
          <w:p>
            <w:pPr>
              <w:ind w:left="120"/>
              <w:spacing w:after="0" w:line="233" w:lineRule="exact"/>
              <w:rPr>
                <w:sz w:val="20"/>
                <w:szCs w:val="20"/>
                <w:color w:val="auto"/>
              </w:rPr>
            </w:pPr>
            <w:r>
              <w:rPr>
                <w:rFonts w:ascii="Times New Roman" w:cs="Times New Roman" w:eastAsia="Times New Roman" w:hAnsi="Times New Roman"/>
                <w:sz w:val="17"/>
                <w:szCs w:val="17"/>
                <w:color w:val="auto"/>
              </w:rPr>
              <w:t xml:space="preserve">94,394,852 and 118,206,768 issued and outstanding at December 31, 2022 and 2021, respectively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2,319,157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2,153,909</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(1,616,738)</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Treasury stock, at cost; 2,072,752 and 14,730 shares held at December 31, 2022 and 2021,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347,738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536,627</w:t>
            </w: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616,037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3"/>
        </w:trPr>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STATEMENTS OF OPERATIONS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14"/>
        </w:trPr>
        <w:tc>
          <w:tcPr>
            <w:tcW w:w="6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2020</w:t>
            </w:r>
          </w:p>
        </w:tc>
      </w:tr>
      <w:tr>
        <w:trPr>
          <w:trHeight w:val="20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123"/>
        </w:trPr>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1"/>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4,831</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r>
      <w:tr>
        <w:trPr>
          <w:trHeight w:val="214"/>
        </w:trPr>
        <w:tc>
          <w:tcPr>
            <w:tcW w:w="6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143"/>
        </w:trPr>
        <w:tc>
          <w:tcPr>
            <w:tcW w:w="6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80,328</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35,556</w:t>
            </w: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21,118</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derivative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(93,751)</w:t>
            </w: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equity investment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net losses of consolidated subsidiaries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372,598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648,580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91,995</w:t>
            </w:r>
          </w:p>
        </w:tc>
      </w:tr>
      <w:tr>
        <w:trPr>
          <w:trHeight w:val="239"/>
        </w:trPr>
        <w:tc>
          <w:tcPr>
            <w:tcW w:w="6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STATEMENTS OF CASH FLOWS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(338,844)</w:t>
            </w:r>
          </w:p>
        </w:tc>
        <w:tc>
          <w:tcPr>
            <w:tcW w:w="4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(593,957)</w:t>
            </w:r>
          </w:p>
        </w:tc>
        <w:tc>
          <w:tcPr>
            <w:tcW w:w="8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(136,392)</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notes and securities discount and debt issuance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21,118</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Intercompany stock-based compensation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Paid in kind interest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28,334</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fair value of warrants and amortization of warrants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80,328</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extinguishment of note payable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derivative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(93,751)</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Accretion, net of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realized losses on investment securities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Intercompany accrued salaries and benefits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Intercompany interest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Intercompany payable</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0" w:type="dxa"/>
            <w:vAlign w:val="bottom"/>
          </w:tcPr>
          <w:p>
            <w:pPr>
              <w:spacing w:after="0"/>
              <w:rPr>
                <w:sz w:val="1"/>
                <w:szCs w:val="1"/>
                <w:color w:val="auto"/>
              </w:rPr>
            </w:pPr>
          </w:p>
        </w:tc>
      </w:tr>
      <w:tr>
        <w:trPr>
          <w:trHeight w:val="181"/>
        </w:trPr>
        <w:tc>
          <w:tcPr>
            <w:tcW w:w="6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(244,544)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(63,223)</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 and available-for-sale securities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(250,030)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short-term investments and available-for-sale securities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maturities of short-term investments available-for-sale securities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 in consolidated subsidiaries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82,047</w:t>
            </w:r>
          </w:p>
        </w:tc>
        <w:tc>
          <w:tcPr>
            <w:tcW w:w="0" w:type="dxa"/>
            <w:vAlign w:val="bottom"/>
          </w:tcPr>
          <w:p>
            <w:pPr>
              <w:spacing w:after="0"/>
              <w:rPr>
                <w:sz w:val="1"/>
                <w:szCs w:val="1"/>
                <w:color w:val="auto"/>
              </w:rPr>
            </w:pPr>
          </w:p>
        </w:tc>
      </w:tr>
      <w:tr>
        <w:trPr>
          <w:trHeight w:val="181"/>
        </w:trPr>
        <w:tc>
          <w:tcPr>
            <w:tcW w:w="6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203,330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(378,207)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82,047</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notes payable principal</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(18,752)</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net of early exercise liability</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Buyback and subsequent cancellation of common stock</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reverse recapitalization, net of transaction costs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received for the exercise of Public and Private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net of stock issuance costs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283,775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for the redemptions of Public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925,393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(17,961)</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115,894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disclosures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year for health insurance industry fee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convertible debt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 contribution for extinguishment of debt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Activities from Seek Dissolution</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warrants exercised</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public and private warrants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147,582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the exercise of Public and Private Warrants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Financial Statements (Parent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Investments, Corp. (the "Company") is a holding company incorporated on July 17, 2014, in the state of Delaware.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Insurance Subsidiaries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Investments in consolidated subsidiaries include regulated insurance subsidiaries and unregulated subsidiaries. The Company holds $249.7 million and $485.9 million of cash, cash equivalents, and investment securities at the parent and unregulated subsidiaries at December 31, 2022 and 2021, respectively. The Company holds $224.8 million and $305.3 million of cash, cash equivalents, and investment securities in regulated insurance subsidiaries at December 31, 2022 and 2021,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Surplus Note</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Effective December 22, 2016, the Company contributed $40.0 million to Clover Insurance Company, a wholly-owned subsidiary, in exchange for a surplus note. The outstanding balance, including accrued interest, was due and payable on December 31, 2020, but remains unpaid with the payment terms under review for extension until December 31, 2024, by the Commissioner of Banking and Insurance of the State of New Jersey. No payment of principal or interest on the surplus note shall be made without the prior written approval of the Commissioner of Banking and Insurance of the State of New Jersey.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3840" w:type="dxa"/>
            <w:vAlign w:val="bottom"/>
            <w:gridSpan w:val="5"/>
            <w:vMerge w:val="restart"/>
          </w:tcPr>
          <w:p>
            <w:pPr>
              <w:jc w:val="center"/>
              <w:ind w:left="453"/>
              <w:spacing w:after="0"/>
              <w:rPr>
                <w:sz w:val="20"/>
                <w:szCs w:val="20"/>
                <w:color w:val="auto"/>
              </w:rPr>
            </w:pPr>
            <w:r>
              <w:rPr>
                <w:rFonts w:ascii="Times New Roman" w:cs="Times New Roman" w:eastAsia="Times New Roman" w:hAnsi="Times New Roman"/>
                <w:sz w:val="17"/>
                <w:szCs w:val="17"/>
                <w:color w:val="auto"/>
              </w:rPr>
              <w:t>CLOVER HEALTH INVESTMENTS, CORP.</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Schedule II</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84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4040" w:type="dxa"/>
            <w:vAlign w:val="bottom"/>
            <w:gridSpan w:val="6"/>
          </w:tcPr>
          <w:p>
            <w:pPr>
              <w:jc w:val="center"/>
              <w:ind w:left="233"/>
              <w:spacing w:after="0"/>
              <w:rPr>
                <w:sz w:val="20"/>
                <w:szCs w:val="20"/>
                <w:color w:val="auto"/>
              </w:rPr>
            </w:pPr>
            <w:r>
              <w:rPr>
                <w:rFonts w:ascii="Times New Roman" w:cs="Times New Roman" w:eastAsia="Times New Roman" w:hAnsi="Times New Roman"/>
                <w:sz w:val="17"/>
                <w:szCs w:val="17"/>
                <w:color w:val="auto"/>
              </w:rPr>
              <w:t>VALUATION AND QUALIFYING ACCOUNTS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73"/>
              <w:spacing w:after="0" w:line="162"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60" w:type="dxa"/>
            <w:vAlign w:val="bottom"/>
          </w:tcPr>
          <w:p>
            <w:pPr>
              <w:spacing w:after="0"/>
              <w:rPr>
                <w:sz w:val="14"/>
                <w:szCs w:val="14"/>
                <w:color w:val="auto"/>
              </w:rPr>
            </w:pPr>
          </w:p>
        </w:tc>
        <w:tc>
          <w:tcPr>
            <w:tcW w:w="112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7"/>
                <w:szCs w:val="17"/>
                <w:b w:val="1"/>
                <w:bCs w:val="1"/>
                <w:color w:val="auto"/>
              </w:rPr>
              <w:t>Charged to</w:t>
            </w:r>
          </w:p>
        </w:tc>
        <w:tc>
          <w:tcPr>
            <w:tcW w:w="15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Charge to other</w:t>
            </w:r>
          </w:p>
        </w:tc>
        <w:tc>
          <w:tcPr>
            <w:tcW w:w="1340" w:type="dxa"/>
            <w:vAlign w:val="bottom"/>
          </w:tcPr>
          <w:p>
            <w:pPr>
              <w:spacing w:after="0"/>
              <w:rPr>
                <w:sz w:val="14"/>
                <w:szCs w:val="14"/>
                <w:color w:val="auto"/>
              </w:rPr>
            </w:pP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73"/>
              <w:spacing w:after="0" w:line="169"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160" w:type="dxa"/>
            <w:vAlign w:val="bottom"/>
          </w:tcPr>
          <w:p>
            <w:pPr>
              <w:spacing w:after="0"/>
              <w:rPr>
                <w:sz w:val="14"/>
                <w:szCs w:val="14"/>
                <w:color w:val="auto"/>
              </w:rPr>
            </w:pPr>
          </w:p>
        </w:tc>
        <w:tc>
          <w:tcPr>
            <w:tcW w:w="112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costs and</w:t>
            </w:r>
          </w:p>
        </w:tc>
        <w:tc>
          <w:tcPr>
            <w:tcW w:w="1500" w:type="dxa"/>
            <w:vAlign w:val="bottom"/>
            <w:gridSpan w:val="3"/>
            <w:vMerge w:val="continue"/>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1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163,204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112,661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  $</w:t>
            </w: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275,865</w:t>
            </w:r>
          </w:p>
        </w:tc>
        <w:tc>
          <w:tcPr>
            <w:tcW w:w="0" w:type="dxa"/>
            <w:vAlign w:val="bottom"/>
          </w:tcPr>
          <w:p>
            <w:pPr>
              <w:spacing w:after="0"/>
              <w:rPr>
                <w:sz w:val="1"/>
                <w:szCs w:val="1"/>
                <w:color w:val="auto"/>
              </w:rPr>
            </w:pPr>
          </w:p>
        </w:tc>
      </w:tr>
      <w:tr>
        <w:trPr>
          <w:trHeight w:val="221"/>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275,865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93,665</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369,530</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such as this Form 10-K,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December 31, 2022, pursuant to Rule 13a-15(b) under the Securities Exchange Act of 1934, as amended (the "Exchange Act"). Based upon that evaluation, our Certifying Officers concluded that, at December 31, 2022, our disclosure controls and procedures were effective at achieving their intended objective.</w:t>
      </w:r>
    </w:p>
    <w:p>
      <w:pPr>
        <w:spacing w:after="0" w:line="3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Notwithstanding the foregoing, a control system, no matter how well-designed and operated, can provide only reasonable, not absolute, assurance that it will detect or uncover failures to disclose material information required to be set forth in our periodic reports.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Internal control over financial reporting is defined in Rule 13a-15(f) promulgated under the Exchange Act as a process designed by, or under the supervision of, our principal executive and principal financial officers and effected by our Board, management, and other personnel, to provide reasonable assurance regarding the reliability of financial reporting and the preparation of financial statements for external purposes in accordance with U.S. generally accepted accounting principles ("GAAP") and includes those policies and procedures that:</w:t>
      </w:r>
    </w:p>
    <w:p>
      <w:pPr>
        <w:spacing w:after="0" w:line="65" w:lineRule="exact"/>
        <w:rPr>
          <w:sz w:val="20"/>
          <w:szCs w:val="20"/>
          <w:color w:val="auto"/>
        </w:rPr>
      </w:pPr>
    </w:p>
    <w:p>
      <w:pPr>
        <w:ind w:left="620" w:hanging="305"/>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our transactions and dispositions of our assets;</w:t>
      </w:r>
    </w:p>
    <w:p>
      <w:pPr>
        <w:spacing w:after="0" w:line="154" w:lineRule="exact"/>
        <w:rPr>
          <w:rFonts w:ascii="Times New Roman" w:cs="Times New Roman" w:eastAsia="Times New Roman" w:hAnsi="Times New Roman"/>
          <w:sz w:val="17"/>
          <w:szCs w:val="17"/>
          <w:color w:val="auto"/>
        </w:rPr>
      </w:pPr>
    </w:p>
    <w:p>
      <w:pPr>
        <w:ind w:left="620" w:hanging="305"/>
        <w:spacing w:after="0" w:line="238" w:lineRule="auto"/>
        <w:tabs>
          <w:tab w:leader="none" w:pos="61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24" w:lineRule="exact"/>
        <w:rPr>
          <w:rFonts w:ascii="Arial" w:cs="Arial" w:eastAsia="Arial" w:hAnsi="Arial"/>
          <w:sz w:val="21"/>
          <w:szCs w:val="21"/>
          <w:color w:val="auto"/>
        </w:rPr>
      </w:pPr>
    </w:p>
    <w:p>
      <w:pPr>
        <w:ind w:left="620" w:hanging="305"/>
        <w:spacing w:after="0" w:line="238" w:lineRule="auto"/>
        <w:tabs>
          <w:tab w:leader="none" w:pos="61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assets that could have a material effect on the financial statements.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No change occurred during the fourth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jc w:val="both"/>
        <w:spacing w:after="0" w:line="292" w:lineRule="auto"/>
        <w:rPr>
          <w:sz w:val="20"/>
          <w:szCs w:val="20"/>
          <w:color w:val="auto"/>
        </w:rPr>
      </w:pPr>
      <w:r>
        <w:rPr>
          <w:rFonts w:ascii="Times New Roman" w:cs="Times New Roman" w:eastAsia="Times New Roman" w:hAnsi="Times New Roman"/>
          <w:sz w:val="17"/>
          <w:szCs w:val="17"/>
          <w:color w:val="auto"/>
        </w:rPr>
        <w:t>quarter of 2022 that has materially affected, or is reasonably likely to materially affect, our internal control over financial reporting. Management's report on internal control over financial reporting is set forth below and should be read with these limitations in mind.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Rules 13a-15(f) and 15d-15(f) of the Exchange Act. Management assessed the effectiveness of our internal control over financial reporting at December 31, 2022, using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management's assessment and the criteria set forth by COSO, our management determined that our internal control over financial reporting was effective at December 31, 2022.</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at December 31, 2022 has been audited by Ernst &amp; Young LLP, an independent registered public accounting firm (PCAOBID: 42), as stated in their report that appears below.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25" w:name="page126"/>
    <w:bookmarkEnd w:id="125"/>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To the Shareholders and the Board of Directors of Clover Health Investments, Corp.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Opinion on Internal Control Over Financial Reporting</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333333"/>
        </w:rPr>
        <w:t>We have audited Clover Health Investments, Corp.’s internal control over financial reporting as of December 31, 2022, based on criteria established in Internal Control—Integrated Framework issued by the Committee of Sponsoring Organizations of the Treadway Commission (2013 framework) (the COSO criteria). In our opinion, Clover Health Investments, Corp. (the Company) maintained, in all material respects, effective internal control over financial reporting as of December 31, 2022, based on the COSO criteria.</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333333"/>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changes in convertible preferred stock and stockholders’ equity and cash flows for each of the three years in the period ended December 31, 2022, and the related notes and the financial statement schedules listed in the Index at Item 15(a) and our report dated March 1, 2023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Basis for Opinion</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Definition and Limitations of Internal Control Over Financial Reporting</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information required by this Item 10 is incorporated herein by reference to the Company's definitive proxy statement for the 2023 Annual Meeting of Stockholders, to be filed by the Company with the SEC pursuant to Regulation 14A within 120 days after the year ended December 31, 2022 ("the 2023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11 is incorporated herein by reference to our 2023 Proxy Statement,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12 is incorporated herein by reference to our 2023 Proxy Statement, and it is incorporated herein by reference.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Person Transactions, and Director Independence.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13 is incorporated herein by reference to our 2023 Proxy Statement, and it is incorporated herein by reference.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14 is incorporated herein by reference to our 2023 Proxy Statement, and it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35" w:lineRule="exact"/>
        <w:rPr>
          <w:sz w:val="20"/>
          <w:szCs w:val="20"/>
          <w:color w:val="auto"/>
        </w:rPr>
      </w:pPr>
    </w:p>
    <w:p>
      <w:pPr>
        <w:ind w:left="240" w:hanging="236"/>
        <w:spacing w:after="0"/>
        <w:tabs>
          <w:tab w:leader="none" w:pos="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Financial Statement Schedules, and exhibits set forth below are filed as part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Statements-The response to this portion of Item 15 is submitted as Item 8 of Part II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Schedules-The response to this portion of Item 15 is submitted as Item 8 of Part II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list of exhibits to this Form 10-K is set forth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Filed or</w:t>
            </w:r>
          </w:p>
        </w:tc>
        <w:tc>
          <w:tcPr>
            <w:tcW w:w="0" w:type="dxa"/>
            <w:vAlign w:val="bottom"/>
          </w:tcPr>
          <w:p>
            <w:pPr>
              <w:spacing w:after="0"/>
              <w:rPr>
                <w:sz w:val="1"/>
                <w:szCs w:val="1"/>
                <w:color w:val="auto"/>
              </w:rPr>
            </w:pPr>
          </w:p>
        </w:tc>
      </w:tr>
      <w:tr>
        <w:trPr>
          <w:trHeight w:val="110"/>
        </w:trPr>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1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85"/>
        </w:trPr>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20"/>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herewith</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3"/>
          </w:tcPr>
          <w:p>
            <w:pPr>
              <w:spacing w:after="0" w:line="175"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Agreement and Plan of Merger, dated as of October 5, 2020, by and</w:t>
              </w:r>
            </w:hyperlink>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20"/>
          </w:tcPr>
          <w:p>
            <w:pPr>
              <w:spacing w:after="0" w:line="149"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among the Registrant, Asclepius Merger Sub Inc. and Clover Health</w:t>
              </w:r>
            </w:hyperlink>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2"/>
                <w:szCs w:val="12"/>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10/6/2020</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gridSpan w:val="21"/>
          </w:tcPr>
          <w:p>
            <w:pPr>
              <w:spacing w:after="0" w:line="149"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Investments, Corp.</w:t>
              </w:r>
            </w:hyperlink>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2.1(a)</w:t>
            </w:r>
          </w:p>
        </w:tc>
        <w:tc>
          <w:tcPr>
            <w:tcW w:w="20" w:type="dxa"/>
            <w:vAlign w:val="bottom"/>
          </w:tcPr>
          <w:p>
            <w:pPr>
              <w:spacing w:after="0"/>
              <w:rPr>
                <w:sz w:val="18"/>
                <w:szCs w:val="18"/>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 xml:space="preserve">Amendment to the Agreement and Plan of Merger, dated </w:t>
              </w:r>
            </w:hyperlink>
            <w:r>
              <w:rPr>
                <w:rFonts w:ascii="Times New Roman" w:cs="Times New Roman" w:eastAsia="Times New Roman" w:hAnsi="Times New Roman"/>
                <w:sz w:val="17"/>
                <w:szCs w:val="17"/>
                <w:color w:val="0000FF"/>
              </w:rPr>
              <w:t xml:space="preserve">as </w:t>
            </w:r>
            <w:hyperlink r:id="rId184">
              <w:r>
                <w:rPr>
                  <w:rFonts w:ascii="Times New Roman" w:cs="Times New Roman" w:eastAsia="Times New Roman" w:hAnsi="Times New Roman"/>
                  <w:sz w:val="17"/>
                  <w:szCs w:val="17"/>
                  <w:color w:val="0000FF"/>
                </w:rPr>
                <w:t>of</w:t>
              </w:r>
            </w:hyperlink>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8"/>
                <w:szCs w:val="18"/>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12/10/2020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Borders>
              <w:top w:val="single" w:sz="8" w:color="0000FF"/>
            </w:tcBorders>
            <w:gridSpan w:val="14"/>
          </w:tcPr>
          <w:p>
            <w:pPr>
              <w:spacing w:after="0" w:line="136" w:lineRule="exact"/>
              <w:rPr>
                <w:rFonts w:ascii="Times New Roman" w:cs="Times New Roman" w:eastAsia="Times New Roman" w:hAnsi="Times New Roman"/>
                <w:sz w:val="15"/>
                <w:szCs w:val="15"/>
                <w:color w:val="0000FF"/>
              </w:rPr>
            </w:pPr>
            <w:hyperlink r:id="rId184">
              <w:r>
                <w:rPr>
                  <w:rFonts w:ascii="Times New Roman" w:cs="Times New Roman" w:eastAsia="Times New Roman" w:hAnsi="Times New Roman"/>
                  <w:sz w:val="15"/>
                  <w:szCs w:val="15"/>
                  <w:color w:val="0000FF"/>
                </w:rPr>
                <w:t>December 8, 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22"/>
            <w:vMerge w:val="restart"/>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Amended and Restated Certificate of Incorporation of the Registrant</w:t>
              </w:r>
            </w:hyperlink>
          </w:p>
        </w:tc>
        <w:tc>
          <w:tcPr>
            <w:tcW w:w="200" w:type="dxa"/>
            <w:vAlign w:val="bottom"/>
            <w:gridSpan w:val="2"/>
            <w:vMerge w:val="restart"/>
          </w:tcPr>
          <w:p>
            <w:pPr>
              <w:spacing w:after="0"/>
              <w:rPr>
                <w:sz w:val="21"/>
                <w:szCs w:val="21"/>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21"/>
                <w:szCs w:val="21"/>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bottom w:val="single" w:sz="8" w:color="0000FF"/>
            </w:tcBorders>
            <w:gridSpan w:val="2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11"/>
            <w:vMerge w:val="restart"/>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Amended and Restated Bylaws of the Registrant</w:t>
              </w:r>
            </w:hyperlink>
          </w:p>
        </w:tc>
        <w:tc>
          <w:tcPr>
            <w:tcW w:w="1580" w:type="dxa"/>
            <w:vAlign w:val="bottom"/>
            <w:gridSpan w:val="13"/>
            <w:vMerge w:val="restart"/>
          </w:tcPr>
          <w:p>
            <w:pPr>
              <w:spacing w:after="0"/>
              <w:rPr>
                <w:sz w:val="20"/>
                <w:szCs w:val="20"/>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20"/>
                <w:szCs w:val="20"/>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Borders>
              <w:bottom w:val="single" w:sz="8" w:color="0000FF"/>
            </w:tcBorders>
            <w:gridSpan w:val="11"/>
            <w:vMerge w:val="continue"/>
          </w:tcPr>
          <w:p>
            <w:pPr>
              <w:spacing w:after="0"/>
              <w:rPr>
                <w:sz w:val="12"/>
                <w:szCs w:val="12"/>
                <w:color w:val="auto"/>
              </w:rPr>
            </w:pPr>
          </w:p>
        </w:tc>
        <w:tc>
          <w:tcPr>
            <w:tcW w:w="1580" w:type="dxa"/>
            <w:vAlign w:val="bottom"/>
            <w:gridSpan w:val="1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Specimen Class A Common Stock Certificate of the Registrant</w:t>
              </w:r>
            </w:hyperlink>
          </w:p>
        </w:tc>
        <w:tc>
          <w:tcPr>
            <w:tcW w:w="560" w:type="dxa"/>
            <w:vAlign w:val="bottom"/>
            <w:gridSpan w:val="7"/>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S-4/A</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333-249558</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11/20/2020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Specimen Class B Common Stock Certificate of the Registrant</w:t>
              </w:r>
            </w:hyperlink>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S-4/A</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333-249558</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11/20/2020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Description of Securities</w:t>
              </w:r>
            </w:hyperlink>
          </w:p>
        </w:tc>
        <w:tc>
          <w:tcPr>
            <w:tcW w:w="2620" w:type="dxa"/>
            <w:vAlign w:val="bottom"/>
            <w:tcBorders>
              <w:top w:val="single" w:sz="8" w:color="0000FF"/>
            </w:tcBorders>
            <w:gridSpan w:val="12"/>
          </w:tcPr>
          <w:p>
            <w:pPr>
              <w:spacing w:after="0"/>
              <w:rPr>
                <w:sz w:val="17"/>
                <w:szCs w:val="17"/>
                <w:color w:val="auto"/>
              </w:rPr>
            </w:pPr>
          </w:p>
        </w:tc>
        <w:tc>
          <w:tcPr>
            <w:tcW w:w="600" w:type="dxa"/>
            <w:vAlign w:val="bottom"/>
            <w:gridSpan w:val="9"/>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02/28/2022</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Form of Indemnification Agreement</w:t>
              </w:r>
            </w:hyperlink>
          </w:p>
        </w:tc>
        <w:tc>
          <w:tcPr>
            <w:tcW w:w="2420" w:type="dxa"/>
            <w:vAlign w:val="bottom"/>
            <w:gridSpan w:val="18"/>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Amended and Restated 2014 Equity Incentive Plan, and forms of</w:t>
              </w:r>
            </w:hyperlink>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S-4</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333-249558</w:t>
            </w:r>
          </w:p>
        </w:tc>
        <w:tc>
          <w:tcPr>
            <w:tcW w:w="80" w:type="dxa"/>
            <w:vAlign w:val="bottom"/>
          </w:tcPr>
          <w:p>
            <w:pPr>
              <w:spacing w:after="0"/>
              <w:rPr>
                <w:sz w:val="17"/>
                <w:szCs w:val="17"/>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17"/>
                <w:szCs w:val="17"/>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10/20/2020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5"/>
                <w:szCs w:val="15"/>
                <w:color w:val="0000FF"/>
              </w:rPr>
            </w:pPr>
            <w:hyperlink r:id="rId191">
              <w:r>
                <w:rPr>
                  <w:rFonts w:ascii="Times New Roman" w:cs="Times New Roman" w:eastAsia="Times New Roman" w:hAnsi="Times New Roman"/>
                  <w:sz w:val="15"/>
                  <w:szCs w:val="15"/>
                  <w:color w:val="0000FF"/>
                </w:rPr>
                <w:t>agreement thereunder</w:t>
              </w:r>
            </w:hyperlink>
          </w:p>
        </w:tc>
        <w:tc>
          <w:tcPr>
            <w:tcW w:w="3000" w:type="dxa"/>
            <w:vAlign w:val="bottom"/>
            <w:tcBorders>
              <w:top w:val="single" w:sz="8" w:color="0000FF"/>
            </w:tcBorders>
            <w:gridSpan w:val="17"/>
          </w:tcPr>
          <w:p>
            <w:pPr>
              <w:spacing w:after="0"/>
              <w:rPr>
                <w:sz w:val="12"/>
                <w:szCs w:val="12"/>
                <w:color w:val="auto"/>
              </w:rPr>
            </w:pPr>
          </w:p>
        </w:tc>
        <w:tc>
          <w:tcPr>
            <w:tcW w:w="440" w:type="dxa"/>
            <w:vAlign w:val="bottom"/>
            <w:gridSpan w:val="5"/>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2020 Equity Incentive Plan and forms of agreement thereunder</w:t>
              </w:r>
            </w:hyperlink>
          </w:p>
        </w:tc>
        <w:tc>
          <w:tcPr>
            <w:tcW w:w="580" w:type="dxa"/>
            <w:vAlign w:val="bottom"/>
            <w:gridSpan w:val="8"/>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2020 Employee Stock Purchase Plan</w:t>
              </w:r>
            </w:hyperlink>
          </w:p>
        </w:tc>
        <w:tc>
          <w:tcPr>
            <w:tcW w:w="2400" w:type="dxa"/>
            <w:vAlign w:val="bottom"/>
            <w:gridSpan w:val="17"/>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Management Incentive Plan</w:t>
              </w:r>
            </w:hyperlink>
          </w:p>
        </w:tc>
        <w:tc>
          <w:tcPr>
            <w:tcW w:w="3000" w:type="dxa"/>
            <w:vAlign w:val="bottom"/>
            <w:gridSpan w:val="20"/>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Executive Incentive Bonus Plan</w:t>
              </w:r>
            </w:hyperlink>
          </w:p>
        </w:tc>
        <w:tc>
          <w:tcPr>
            <w:tcW w:w="78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500" w:type="dxa"/>
            <w:vAlign w:val="bottom"/>
            <w:gridSpan w:val="6"/>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Employment Agreement dated as of December 31, 2020, by and</w:t>
              </w:r>
            </w:hyperlink>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Borders>
              <w:top w:val="single" w:sz="8" w:color="0000FF"/>
              <w:bottom w:val="single" w:sz="8" w:color="0000FF"/>
            </w:tcBorders>
            <w:gridSpan w:val="8"/>
          </w:tcPr>
          <w:p>
            <w:pPr>
              <w:spacing w:after="0" w:line="175"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between the Registrant and Vivek Garipalli</w:t>
              </w:r>
            </w:hyperlink>
          </w:p>
        </w:tc>
        <w:tc>
          <w:tcPr>
            <w:tcW w:w="180" w:type="dxa"/>
            <w:vAlign w:val="bottom"/>
            <w:tcBorders>
              <w:top w:val="single" w:sz="8" w:color="0000FF"/>
              <w:bottom w:val="single" w:sz="8" w:color="0000FF"/>
            </w:tcBorders>
          </w:tcPr>
          <w:p>
            <w:pPr>
              <w:spacing w:after="0"/>
              <w:rPr>
                <w:sz w:val="16"/>
                <w:szCs w:val="16"/>
                <w:color w:val="auto"/>
              </w:rPr>
            </w:pPr>
          </w:p>
        </w:tc>
        <w:tc>
          <w:tcPr>
            <w:tcW w:w="20" w:type="dxa"/>
            <w:vAlign w:val="bottom"/>
            <w:tcBorders>
              <w:top w:val="single" w:sz="8" w:color="0000FF"/>
              <w:bottom w:val="single" w:sz="8" w:color="0000FF"/>
            </w:tcBorders>
          </w:tcPr>
          <w:p>
            <w:pPr>
              <w:spacing w:after="0"/>
              <w:rPr>
                <w:sz w:val="16"/>
                <w:szCs w:val="16"/>
                <w:color w:val="auto"/>
              </w:rPr>
            </w:pPr>
          </w:p>
        </w:tc>
        <w:tc>
          <w:tcPr>
            <w:tcW w:w="1020" w:type="dxa"/>
            <w:vAlign w:val="bottom"/>
            <w:tcBorders>
              <w:top w:val="single" w:sz="8" w:color="0000FF"/>
              <w:bottom w:val="single" w:sz="8" w:color="0000FF"/>
            </w:tcBorders>
            <w:gridSpan w:val="2"/>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60" w:type="dxa"/>
            <w:vAlign w:val="bottom"/>
            <w:tcBorders>
              <w:top w:val="single" w:sz="8" w:color="0000FF"/>
              <w:bottom w:val="single" w:sz="8" w:color="0000FF"/>
            </w:tcBorders>
            <w:gridSpan w:val="5"/>
          </w:tcPr>
          <w:p>
            <w:pPr>
              <w:spacing w:after="0"/>
              <w:rPr>
                <w:sz w:val="16"/>
                <w:szCs w:val="16"/>
                <w:color w:val="auto"/>
              </w:rPr>
            </w:pPr>
          </w:p>
        </w:tc>
        <w:tc>
          <w:tcPr>
            <w:tcW w:w="500" w:type="dxa"/>
            <w:vAlign w:val="bottom"/>
            <w:gridSpan w:val="6"/>
          </w:tcPr>
          <w:p>
            <w:pPr>
              <w:spacing w:after="0"/>
              <w:rPr>
                <w:sz w:val="16"/>
                <w:szCs w:val="16"/>
                <w:color w:val="auto"/>
              </w:rPr>
            </w:pPr>
          </w:p>
        </w:tc>
        <w:tc>
          <w:tcPr>
            <w:tcW w:w="7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6"/>
                <w:szCs w:val="16"/>
                <w:color w:val="auto"/>
              </w:rPr>
            </w:pPr>
          </w:p>
        </w:tc>
        <w:tc>
          <w:tcPr>
            <w:tcW w:w="9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11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1/12/2021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Agreement for the Provision of Interim Management Services</w:t>
              </w:r>
            </w:hyperlink>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tcBorders>
              <w:top w:val="single" w:sz="8" w:color="0000FF"/>
              <w:bottom w:val="single" w:sz="8" w:color="0000FF"/>
            </w:tcBorders>
            <w:gridSpan w:val="10"/>
          </w:tcPr>
          <w:p>
            <w:pPr>
              <w:spacing w:after="0" w:line="175"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between the Registrant and AP Services, LLC</w:t>
              </w:r>
            </w:hyperlink>
          </w:p>
        </w:tc>
        <w:tc>
          <w:tcPr>
            <w:tcW w:w="1020" w:type="dxa"/>
            <w:vAlign w:val="bottom"/>
            <w:tcBorders>
              <w:top w:val="single" w:sz="8" w:color="0000FF"/>
              <w:bottom w:val="single" w:sz="8" w:color="0000FF"/>
            </w:tcBorders>
            <w:gridSpan w:val="2"/>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660" w:type="dxa"/>
            <w:vAlign w:val="bottom"/>
            <w:gridSpan w:val="11"/>
          </w:tcPr>
          <w:p>
            <w:pPr>
              <w:spacing w:after="0"/>
              <w:rPr>
                <w:sz w:val="16"/>
                <w:szCs w:val="16"/>
                <w:color w:val="auto"/>
              </w:rPr>
            </w:pPr>
          </w:p>
        </w:tc>
        <w:tc>
          <w:tcPr>
            <w:tcW w:w="78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16"/>
                <w:szCs w:val="16"/>
                <w:color w:val="auto"/>
              </w:rPr>
            </w:pPr>
          </w:p>
        </w:tc>
        <w:tc>
          <w:tcPr>
            <w:tcW w:w="9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6"/>
                <w:szCs w:val="16"/>
                <w:color w:val="auto"/>
              </w:rPr>
            </w:pPr>
          </w:p>
        </w:tc>
        <w:tc>
          <w:tcPr>
            <w:tcW w:w="11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11/09/2021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40" w:type="dxa"/>
            <w:vAlign w:val="bottom"/>
            <w:gridSpan w:val="24"/>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Employment Agreement, effective as of December 31, 2021,</w:t>
              </w:r>
            </w:hyperlink>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10-K</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001-39252</w:t>
            </w:r>
          </w:p>
        </w:tc>
        <w:tc>
          <w:tcPr>
            <w:tcW w:w="8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02/28/2022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top w:val="single" w:sz="8" w:color="0000FF"/>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between the Registrant and Jamie L. Reynoso</w:t>
              </w:r>
            </w:hyperlink>
          </w:p>
        </w:tc>
        <w:tc>
          <w:tcPr>
            <w:tcW w:w="1040" w:type="dxa"/>
            <w:vAlign w:val="bottom"/>
            <w:tcBorders>
              <w:top w:val="single" w:sz="8" w:color="0000FF"/>
            </w:tcBorders>
            <w:gridSpan w:val="3"/>
          </w:tcPr>
          <w:p>
            <w:pPr>
              <w:spacing w:after="0"/>
              <w:rPr>
                <w:sz w:val="16"/>
                <w:szCs w:val="16"/>
                <w:color w:val="auto"/>
              </w:rPr>
            </w:pPr>
          </w:p>
        </w:tc>
        <w:tc>
          <w:tcPr>
            <w:tcW w:w="740" w:type="dxa"/>
            <w:vAlign w:val="bottom"/>
            <w:gridSpan w:val="12"/>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1900" w:h="16838" w:orient="portrait"/>
          <w:cols w:equalWidth="0" w:num="1">
            <w:col w:w="11240"/>
          </w:cols>
          <w:pgMar w:left="320" w:top="742"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10.10*</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Employment Agreement, effective as of July 6, 2021, between the</w:t>
              </w:r>
            </w:hyperlink>
          </w:p>
        </w:tc>
        <w:tc>
          <w:tcPr>
            <w:tcW w:w="300" w:type="dxa"/>
            <w:vAlign w:val="bottom"/>
            <w:gridSpan w:val="2"/>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10-K</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10.13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02/28/2022</w:t>
            </w:r>
          </w:p>
        </w:tc>
      </w:tr>
      <w:tr>
        <w:trPr>
          <w:trHeight w:val="188"/>
        </w:trPr>
        <w:tc>
          <w:tcPr>
            <w:tcW w:w="2220" w:type="dxa"/>
            <w:vAlign w:val="bottom"/>
            <w:tcBorders>
              <w:bottom w:val="single" w:sz="8" w:color="0000FF"/>
            </w:tcBorders>
            <w:gridSpan w:val="2"/>
          </w:tcPr>
          <w:p>
            <w:pPr>
              <w:spacing w:after="0" w:line="188"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Registrant and Prabhdeep Singh</w:t>
              </w:r>
            </w:hyperlink>
          </w:p>
        </w:tc>
        <w:tc>
          <w:tcPr>
            <w:tcW w:w="266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0"/>
        </w:trPr>
        <w:tc>
          <w:tcPr>
            <w:tcW w:w="4880" w:type="dxa"/>
            <w:vAlign w:val="bottom"/>
            <w:gridSpan w:val="6"/>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Employment Agreement, effective as of March 14, 2022, between the</w:t>
              </w:r>
            </w:hyperlink>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10-Q</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05/09/2022</w:t>
            </w:r>
          </w:p>
        </w:tc>
      </w:tr>
      <w:tr>
        <w:trPr>
          <w:trHeight w:val="188"/>
        </w:trPr>
        <w:tc>
          <w:tcPr>
            <w:tcW w:w="4820" w:type="dxa"/>
            <w:vAlign w:val="bottom"/>
            <w:tcBorders>
              <w:top w:val="single" w:sz="8" w:color="0000FF"/>
            </w:tcBorders>
            <w:gridSpan w:val="5"/>
          </w:tcPr>
          <w:p>
            <w:pPr>
              <w:spacing w:after="0" w:line="188"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Registrant and Joseph Martin</w:t>
              </w:r>
            </w:hyperlink>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0"/>
        </w:trPr>
        <w:tc>
          <w:tcPr>
            <w:tcW w:w="446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Employment Agreement, dated as of May 11, 2022, between the</w:t>
              </w:r>
            </w:hyperlink>
          </w:p>
        </w:tc>
        <w:tc>
          <w:tcPr>
            <w:tcW w:w="420" w:type="dxa"/>
            <w:vAlign w:val="bottom"/>
            <w:gridSpan w:val="3"/>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10-Q</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08/08/2022</w:t>
            </w:r>
          </w:p>
        </w:tc>
      </w:tr>
      <w:tr>
        <w:trPr>
          <w:trHeight w:val="188"/>
        </w:trPr>
        <w:tc>
          <w:tcPr>
            <w:tcW w:w="4880" w:type="dxa"/>
            <w:vAlign w:val="bottom"/>
            <w:gridSpan w:val="6"/>
          </w:tcPr>
          <w:p>
            <w:pPr>
              <w:spacing w:after="0" w:line="188"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Registrant and Scott J. Leffler</w:t>
              </w:r>
            </w:hyperlink>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46" w:lineRule="exact"/>
        <w:rPr>
          <w:sz w:val="20"/>
          <w:szCs w:val="20"/>
          <w:color w:val="auto"/>
        </w:rPr>
      </w:pPr>
    </w:p>
    <w:p>
      <w:pPr>
        <w:sectPr>
          <w:pgSz w:w="11900" w:h="16838" w:orient="portrait"/>
          <w:cols w:equalWidth="0" w:num="2">
            <w:col w:w="500" w:space="620"/>
            <w:col w:w="10120"/>
          </w:cols>
          <w:pgMar w:left="320" w:top="74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10.13*</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10.14*</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10.15*</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Employment Agreement, effective as of May 9, 2022, between the</w:t>
              </w:r>
            </w:hyperlink>
          </w:p>
        </w:tc>
        <w:tc>
          <w:tcPr>
            <w:tcW w:w="1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10-Q</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10.2</w:t>
            </w:r>
          </w:p>
        </w:tc>
        <w:tc>
          <w:tcPr>
            <w:tcW w:w="204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rPr>
              <w:t>08/08/2022</w:t>
            </w:r>
          </w:p>
        </w:tc>
      </w:tr>
      <w:tr>
        <w:trPr>
          <w:trHeight w:val="188"/>
        </w:trPr>
        <w:tc>
          <w:tcPr>
            <w:tcW w:w="1800" w:type="dxa"/>
            <w:vAlign w:val="bottom"/>
            <w:tcBorders>
              <w:bottom w:val="single" w:sz="8" w:color="0000FF"/>
            </w:tcBorders>
          </w:tcPr>
          <w:p>
            <w:pPr>
              <w:spacing w:after="0" w:line="188"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Registrant and Aric Sharp</w:t>
              </w:r>
            </w:hyperlink>
          </w:p>
        </w:tc>
        <w:tc>
          <w:tcPr>
            <w:tcW w:w="2980" w:type="dxa"/>
            <w:vAlign w:val="bottom"/>
            <w:gridSpan w:val="6"/>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40"/>
        </w:trPr>
        <w:tc>
          <w:tcPr>
            <w:tcW w:w="4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Employment Agreement, dated as of July 18, 2022, between the</w:t>
            </w:r>
          </w:p>
        </w:tc>
        <w:tc>
          <w:tcPr>
            <w:tcW w:w="340" w:type="dxa"/>
            <w:vAlign w:val="bottom"/>
            <w:gridSpan w:val="3"/>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X</w:t>
            </w:r>
          </w:p>
        </w:tc>
      </w:tr>
      <w:tr>
        <w:trPr>
          <w:trHeight w:val="188"/>
        </w:trPr>
        <w:tc>
          <w:tcPr>
            <w:tcW w:w="190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Registrant and Brady Priest</w:t>
            </w:r>
          </w:p>
        </w:tc>
        <w:tc>
          <w:tcPr>
            <w:tcW w:w="2880" w:type="dxa"/>
            <w:vAlign w:val="bottom"/>
            <w:gridSpan w:val="5"/>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40"/>
        </w:trPr>
        <w:tc>
          <w:tcPr>
            <w:tcW w:w="4560" w:type="dxa"/>
            <w:vAlign w:val="bottom"/>
            <w:tcBorders>
              <w:bottom w:val="single" w:sz="8" w:color="0000FF"/>
            </w:tcBorders>
            <w:gridSpan w:val="5"/>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Employment Agreement, dated as of August 8, 2022, between the</w:t>
              </w:r>
            </w:hyperlink>
          </w:p>
        </w:tc>
        <w:tc>
          <w:tcPr>
            <w:tcW w:w="220" w:type="dxa"/>
            <w:vAlign w:val="bottom"/>
            <w:gridSpan w:val="2"/>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10-Q</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10.1</w:t>
            </w:r>
          </w:p>
        </w:tc>
        <w:tc>
          <w:tcPr>
            <w:tcW w:w="204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rPr>
              <w:t>11/07/2022</w:t>
            </w:r>
          </w:p>
        </w:tc>
      </w:tr>
      <w:tr>
        <w:trPr>
          <w:trHeight w:val="188"/>
        </w:trPr>
        <w:tc>
          <w:tcPr>
            <w:tcW w:w="4780" w:type="dxa"/>
            <w:vAlign w:val="bottom"/>
            <w:gridSpan w:val="7"/>
          </w:tcPr>
          <w:p>
            <w:pPr>
              <w:spacing w:after="0" w:line="188"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Registrant and Andrew Toy</w:t>
              </w:r>
            </w:hyperlink>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0"/>
        </w:trPr>
        <w:tc>
          <w:tcPr>
            <w:tcW w:w="190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40"/>
        </w:trPr>
        <w:tc>
          <w:tcPr>
            <w:tcW w:w="4780" w:type="dxa"/>
            <w:vAlign w:val="bottom"/>
            <w:gridSpan w:val="7"/>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Amended and Restated Director Compensation Policy</w:t>
              </w:r>
            </w:hyperlink>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10-Q</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10.2</w:t>
            </w:r>
          </w:p>
        </w:tc>
        <w:tc>
          <w:tcPr>
            <w:tcW w:w="204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rPr>
              <w:t>11/07/2022</w:t>
            </w:r>
          </w:p>
        </w:tc>
      </w:tr>
      <w:tr>
        <w:trPr>
          <w:trHeight w:val="20"/>
        </w:trPr>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0" w:space="620"/>
            <w:col w:w="10120"/>
          </w:cols>
          <w:pgMar w:left="320" w:top="742" w:right="339" w:bottom="1440" w:gutter="0" w:footer="0" w:header="0"/>
          <w:type w:val="continuous"/>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128" w:name="page129"/>
    <w:bookmarkEnd w:id="128"/>
    <w:tbl>
      <w:tblPr>
        <w:tblLayout w:type="fixed"/>
        <w:tblInd w:w="20" w:type="dxa"/>
        <w:tblCellMar>
          <w:top w:w="0" w:type="dxa"/>
          <w:left w:w="0" w:type="dxa"/>
          <w:bottom w:w="0" w:type="dxa"/>
          <w:right w:w="0" w:type="dxa"/>
        </w:tblCellMar>
      </w:tblPr>
      <w:tr>
        <w:trPr>
          <w:trHeight w:val="200"/>
        </w:trPr>
        <w:tc>
          <w:tcPr>
            <w:tcW w:w="110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8"/>
              </w:rPr>
              <w:t>10.17*</w:t>
            </w:r>
          </w:p>
        </w:tc>
        <w:tc>
          <w:tcPr>
            <w:tcW w:w="7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Separation and Consulting Agreement, dated as of February 23, 2023,</w:t>
            </w:r>
          </w:p>
        </w:tc>
        <w:tc>
          <w:tcPr>
            <w:tcW w:w="2500" w:type="dxa"/>
            <w:vAlign w:val="bottom"/>
          </w:tcPr>
          <w:p>
            <w:pPr>
              <w:ind w:left="238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1100" w:type="dxa"/>
            <w:vAlign w:val="bottom"/>
          </w:tcPr>
          <w:p>
            <w:pPr>
              <w:spacing w:after="0"/>
              <w:rPr>
                <w:sz w:val="16"/>
                <w:szCs w:val="16"/>
                <w:color w:val="auto"/>
              </w:rPr>
            </w:pPr>
          </w:p>
        </w:tc>
        <w:tc>
          <w:tcPr>
            <w:tcW w:w="302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rPr>
              <w:t>between the Registrant and Prabheep Singh</w:t>
            </w:r>
          </w:p>
        </w:tc>
        <w:tc>
          <w:tcPr>
            <w:tcW w:w="1820" w:type="dxa"/>
            <w:vAlign w:val="bottom"/>
            <w:tcBorders>
              <w:top w:val="single" w:sz="8" w:color="0000FF"/>
            </w:tcBorders>
          </w:tcPr>
          <w:p>
            <w:pPr>
              <w:spacing w:after="0"/>
              <w:rPr>
                <w:sz w:val="16"/>
                <w:szCs w:val="16"/>
                <w:color w:val="auto"/>
              </w:rPr>
            </w:pPr>
          </w:p>
        </w:tc>
        <w:tc>
          <w:tcPr>
            <w:tcW w:w="238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46" w:lineRule="exact"/>
        <w:rPr>
          <w:sz w:val="20"/>
          <w:szCs w:val="20"/>
          <w:color w:val="auto"/>
        </w:rPr>
      </w:pPr>
    </w:p>
    <w:p>
      <w:pPr>
        <w:sectPr>
          <w:pgSz w:w="11900" w:h="16838" w:orient="portrait"/>
          <w:cols w:equalWidth="0" w:num="1">
            <w:col w:w="11240"/>
          </w:cols>
          <w:pgMar w:left="320" w:top="991" w:right="339" w:bottom="1440" w:gutter="0" w:footer="0" w:header="0"/>
        </w:sectPr>
      </w:pPr>
    </w:p>
    <w:tbl>
      <w:tblPr>
        <w:tblLayout w:type="fixed"/>
        <w:tblInd w:w="20" w:type="dxa"/>
        <w:tblCellMar>
          <w:top w:w="0" w:type="dxa"/>
          <w:left w:w="0" w:type="dxa"/>
          <w:bottom w:w="0" w:type="dxa"/>
          <w:right w:w="0" w:type="dxa"/>
        </w:tblCellMar>
      </w:tblPr>
      <w:tr>
        <w:trPr>
          <w:trHeight w:val="200"/>
        </w:trPr>
        <w:tc>
          <w:tcPr>
            <w:tcW w:w="110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21.1</w:t>
            </w:r>
          </w:p>
        </w:tc>
        <w:tc>
          <w:tcPr>
            <w:tcW w:w="4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List of Subsidiaries</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713"/>
              <w:spacing w:after="0"/>
              <w:rPr>
                <w:sz w:val="20"/>
                <w:szCs w:val="20"/>
                <w:color w:val="auto"/>
              </w:rPr>
            </w:pPr>
            <w:r>
              <w:rPr>
                <w:rFonts w:ascii="Times New Roman" w:cs="Times New Roman" w:eastAsia="Times New Roman" w:hAnsi="Times New Roman"/>
                <w:sz w:val="17"/>
                <w:szCs w:val="17"/>
                <w:color w:val="auto"/>
                <w:w w:val="93"/>
              </w:rPr>
              <w:t>23.1</w:t>
            </w:r>
          </w:p>
        </w:tc>
        <w:tc>
          <w:tcPr>
            <w:tcW w:w="134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100" w:type="dxa"/>
            <w:vAlign w:val="bottom"/>
            <w:vMerge w:val="continue"/>
          </w:tcPr>
          <w:p>
            <w:pPr>
              <w:spacing w:after="0"/>
              <w:rPr>
                <w:sz w:val="20"/>
                <w:szCs w:val="20"/>
                <w:color w:val="auto"/>
              </w:rPr>
            </w:pPr>
          </w:p>
        </w:tc>
        <w:tc>
          <w:tcPr>
            <w:tcW w:w="4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w:t>
            </w:r>
          </w:p>
        </w:tc>
        <w:tc>
          <w:tcPr>
            <w:tcW w:w="6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10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31.1</w:t>
            </w:r>
          </w:p>
        </w:tc>
        <w:tc>
          <w:tcPr>
            <w:tcW w:w="47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4640" w:type="dxa"/>
            <w:vAlign w:val="bottom"/>
            <w:tcBorders>
              <w:bottom w:val="single" w:sz="8" w:color="0000FF"/>
            </w:tcBorders>
            <w:gridSpan w:val="4"/>
          </w:tcPr>
          <w:p>
            <w:pPr>
              <w:spacing w:after="0" w:line="188"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00" w:type="dxa"/>
            <w:vAlign w:val="bottom"/>
          </w:tcPr>
          <w:p>
            <w:pPr>
              <w:spacing w:after="0"/>
              <w:rPr>
                <w:sz w:val="16"/>
                <w:szCs w:val="16"/>
                <w:color w:val="auto"/>
              </w:rPr>
            </w:pPr>
          </w:p>
        </w:tc>
        <w:tc>
          <w:tcPr>
            <w:tcW w:w="4760" w:type="dxa"/>
            <w:vAlign w:val="bottom"/>
            <w:tcBorders>
              <w:bottom w:val="single" w:sz="8" w:color="0000FF"/>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477" w:lineRule="exact"/>
        <w:rPr>
          <w:sz w:val="20"/>
          <w:szCs w:val="20"/>
          <w:color w:val="auto"/>
        </w:rPr>
      </w:pPr>
    </w:p>
    <w:p>
      <w:pPr>
        <w:sectPr>
          <w:pgSz w:w="11900" w:h="16838" w:orient="portrait"/>
          <w:cols w:equalWidth="0" w:num="2">
            <w:col w:w="10000" w:space="720"/>
            <w:col w:w="520"/>
          </w:cols>
          <w:pgMar w:left="320" w:top="991" w:right="33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w:t>
            </w:r>
          </w:p>
        </w:tc>
        <w:tc>
          <w:tcPr>
            <w:tcW w:w="2620" w:type="dxa"/>
            <w:vAlign w:val="bottom"/>
            <w:gridSpan w:val="3"/>
          </w:tcPr>
          <w:p>
            <w:pPr>
              <w:spacing w:after="0"/>
              <w:rPr>
                <w:sz w:val="17"/>
                <w:szCs w:val="17"/>
                <w:color w:val="auto"/>
              </w:rPr>
            </w:pPr>
          </w:p>
        </w:tc>
        <w:tc>
          <w:tcPr>
            <w:tcW w:w="2520" w:type="dxa"/>
            <w:vAlign w:val="bottom"/>
          </w:tcPr>
          <w:p>
            <w:pPr>
              <w:ind w:left="240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1100" w:type="dxa"/>
            <w:vAlign w:val="bottom"/>
          </w:tcPr>
          <w:p>
            <w:pPr>
              <w:spacing w:after="0"/>
              <w:rPr>
                <w:sz w:val="16"/>
                <w:szCs w:val="16"/>
                <w:color w:val="auto"/>
              </w:rPr>
            </w:pPr>
          </w:p>
        </w:tc>
        <w:tc>
          <w:tcPr>
            <w:tcW w:w="4640" w:type="dxa"/>
            <w:vAlign w:val="bottom"/>
            <w:tcBorders>
              <w:bottom w:val="single" w:sz="8" w:color="0000FF"/>
            </w:tcBorders>
            <w:gridSpan w:val="4"/>
          </w:tcPr>
          <w:p>
            <w:pPr>
              <w:spacing w:after="0" w:line="188"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2560" w:type="dxa"/>
            <w:vAlign w:val="bottom"/>
            <w:gridSpan w:val="2"/>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760" w:type="dxa"/>
            <w:vAlign w:val="bottom"/>
            <w:tcBorders>
              <w:bottom w:val="single" w:sz="8" w:color="0000FF"/>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244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2520" w:type="dxa"/>
            <w:vAlign w:val="bottom"/>
          </w:tcPr>
          <w:p>
            <w:pPr>
              <w:ind w:left="2400"/>
              <w:spacing w:after="0"/>
              <w:rPr>
                <w:sz w:val="20"/>
                <w:szCs w:val="20"/>
                <w:color w:val="auto"/>
              </w:rPr>
            </w:pPr>
            <w:r>
              <w:rPr>
                <w:rFonts w:ascii="Times New Roman" w:cs="Times New Roman" w:eastAsia="Times New Roman" w:hAnsi="Times New Roman"/>
                <w:sz w:val="17"/>
                <w:szCs w:val="17"/>
                <w:color w:val="auto"/>
                <w:w w:val="81"/>
              </w:rPr>
              <w:t>X</w:t>
            </w: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7200" w:type="dxa"/>
            <w:vAlign w:val="bottom"/>
            <w:gridSpan w:val="6"/>
          </w:tcPr>
          <w:p>
            <w:pPr>
              <w:spacing w:after="0" w:line="188"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252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130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rPr>
              <w:t>Oxley Act of 2002</w:t>
            </w:r>
          </w:p>
        </w:tc>
        <w:tc>
          <w:tcPr>
            <w:tcW w:w="3340" w:type="dxa"/>
            <w:vAlign w:val="bottom"/>
            <w:tcBorders>
              <w:top w:val="single" w:sz="8" w:color="0000FF"/>
            </w:tcBorders>
            <w:gridSpan w:val="3"/>
          </w:tcPr>
          <w:p>
            <w:pPr>
              <w:spacing w:after="0"/>
              <w:rPr>
                <w:sz w:val="16"/>
                <w:szCs w:val="16"/>
                <w:color w:val="auto"/>
              </w:rPr>
            </w:pPr>
          </w:p>
        </w:tc>
        <w:tc>
          <w:tcPr>
            <w:tcW w:w="2560" w:type="dxa"/>
            <w:vAlign w:val="bottom"/>
            <w:gridSpan w:val="2"/>
          </w:tcPr>
          <w:p>
            <w:pPr>
              <w:spacing w:after="0"/>
              <w:rPr>
                <w:sz w:val="16"/>
                <w:szCs w:val="16"/>
                <w:color w:val="auto"/>
              </w:rPr>
            </w:pPr>
          </w:p>
        </w:tc>
        <w:tc>
          <w:tcPr>
            <w:tcW w:w="2520" w:type="dxa"/>
            <w:vAlign w:val="bottom"/>
          </w:tcPr>
          <w:p>
            <w:pPr>
              <w:spacing w:after="0"/>
              <w:rPr>
                <w:sz w:val="16"/>
                <w:szCs w:val="16"/>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4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w:t>
            </w:r>
          </w:p>
        </w:tc>
        <w:tc>
          <w:tcPr>
            <w:tcW w:w="2640" w:type="dxa"/>
            <w:vAlign w:val="bottom"/>
            <w:gridSpan w:val="4"/>
          </w:tcPr>
          <w:p>
            <w:pPr>
              <w:spacing w:after="0"/>
              <w:rPr>
                <w:sz w:val="20"/>
                <w:szCs w:val="20"/>
                <w:color w:val="auto"/>
              </w:rPr>
            </w:pPr>
          </w:p>
        </w:tc>
        <w:tc>
          <w:tcPr>
            <w:tcW w:w="2520" w:type="dxa"/>
            <w:vAlign w:val="bottom"/>
          </w:tcPr>
          <w:p>
            <w:pPr>
              <w:ind w:left="2400"/>
              <w:spacing w:after="0"/>
              <w:rPr>
                <w:sz w:val="20"/>
                <w:szCs w:val="20"/>
                <w:color w:val="auto"/>
              </w:rPr>
            </w:pPr>
            <w:r>
              <w:rPr>
                <w:rFonts w:ascii="Times New Roman" w:cs="Times New Roman" w:eastAsia="Times New Roman" w:hAnsi="Times New Roman"/>
                <w:sz w:val="17"/>
                <w:szCs w:val="17"/>
                <w:color w:val="auto"/>
                <w:w w:val="81"/>
              </w:rPr>
              <w:t>X</w:t>
            </w:r>
          </w:p>
        </w:tc>
      </w:tr>
      <w:tr>
        <w:trPr>
          <w:trHeight w:val="188"/>
        </w:trPr>
        <w:tc>
          <w:tcPr>
            <w:tcW w:w="1100" w:type="dxa"/>
            <w:vAlign w:val="bottom"/>
          </w:tcPr>
          <w:p>
            <w:pPr>
              <w:spacing w:after="0"/>
              <w:rPr>
                <w:sz w:val="16"/>
                <w:szCs w:val="16"/>
                <w:color w:val="auto"/>
              </w:rPr>
            </w:pPr>
          </w:p>
        </w:tc>
        <w:tc>
          <w:tcPr>
            <w:tcW w:w="7200" w:type="dxa"/>
            <w:vAlign w:val="bottom"/>
            <w:gridSpan w:val="6"/>
          </w:tcPr>
          <w:p>
            <w:pPr>
              <w:spacing w:after="0" w:line="188"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252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130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rPr>
              <w:t>Oxley Act of 2002</w:t>
            </w:r>
          </w:p>
        </w:tc>
        <w:tc>
          <w:tcPr>
            <w:tcW w:w="3340" w:type="dxa"/>
            <w:vAlign w:val="bottom"/>
            <w:tcBorders>
              <w:top w:val="single" w:sz="8" w:color="0000FF"/>
            </w:tcBorders>
            <w:gridSpan w:val="3"/>
          </w:tcPr>
          <w:p>
            <w:pPr>
              <w:spacing w:after="0"/>
              <w:rPr>
                <w:sz w:val="16"/>
                <w:szCs w:val="16"/>
                <w:color w:val="auto"/>
              </w:rPr>
            </w:pPr>
          </w:p>
        </w:tc>
        <w:tc>
          <w:tcPr>
            <w:tcW w:w="2560" w:type="dxa"/>
            <w:vAlign w:val="bottom"/>
            <w:gridSpan w:val="2"/>
          </w:tcPr>
          <w:p>
            <w:pPr>
              <w:spacing w:after="0"/>
              <w:rPr>
                <w:sz w:val="16"/>
                <w:szCs w:val="16"/>
                <w:color w:val="auto"/>
              </w:rPr>
            </w:pPr>
          </w:p>
        </w:tc>
        <w:tc>
          <w:tcPr>
            <w:tcW w:w="2520" w:type="dxa"/>
            <w:vAlign w:val="bottom"/>
          </w:tcPr>
          <w:p>
            <w:pPr>
              <w:spacing w:after="0"/>
              <w:rPr>
                <w:sz w:val="16"/>
                <w:szCs w:val="16"/>
                <w:color w:val="auto"/>
              </w:rPr>
            </w:pPr>
          </w:p>
        </w:tc>
      </w:t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2520" w:type="dxa"/>
            <w:vAlign w:val="bottom"/>
          </w:tcPr>
          <w:p>
            <w:pPr>
              <w:spacing w:after="0"/>
              <w:rPr>
                <w:sz w:val="18"/>
                <w:szCs w:val="18"/>
                <w:color w:val="auto"/>
              </w:rPr>
            </w:pPr>
          </w:p>
        </w:tc>
      </w:tr>
      <w:tr>
        <w:trPr>
          <w:trHeight w:val="176"/>
        </w:trPr>
        <w:tc>
          <w:tcPr>
            <w:tcW w:w="1100" w:type="dxa"/>
            <w:vAlign w:val="bottom"/>
          </w:tcPr>
          <w:p>
            <w:pPr>
              <w:spacing w:after="0"/>
              <w:rPr>
                <w:sz w:val="15"/>
                <w:szCs w:val="15"/>
                <w:color w:val="auto"/>
              </w:rPr>
            </w:pPr>
          </w:p>
        </w:tc>
        <w:tc>
          <w:tcPr>
            <w:tcW w:w="720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appear in the Interactive Data File because XBRL tags are embedded</w:t>
            </w:r>
          </w:p>
        </w:tc>
        <w:tc>
          <w:tcPr>
            <w:tcW w:w="2520" w:type="dxa"/>
            <w:vAlign w:val="bottom"/>
          </w:tcPr>
          <w:p>
            <w:pPr>
              <w:spacing w:after="0"/>
              <w:rPr>
                <w:sz w:val="15"/>
                <w:szCs w:val="15"/>
                <w:color w:val="auto"/>
              </w:rPr>
            </w:pPr>
          </w:p>
        </w:tc>
      </w:tr>
      <w:tr>
        <w:trPr>
          <w:trHeight w:val="221"/>
        </w:trPr>
        <w:tc>
          <w:tcPr>
            <w:tcW w:w="1100" w:type="dxa"/>
            <w:vAlign w:val="bottom"/>
          </w:tcPr>
          <w:p>
            <w:pPr>
              <w:spacing w:after="0"/>
              <w:rPr>
                <w:sz w:val="19"/>
                <w:szCs w:val="19"/>
                <w:color w:val="auto"/>
              </w:rPr>
            </w:pP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2520" w:type="dxa"/>
            <w:vAlign w:val="bottom"/>
          </w:tcPr>
          <w:p>
            <w:pPr>
              <w:spacing w:after="0"/>
              <w:rPr>
                <w:sz w:val="19"/>
                <w:szCs w:val="19"/>
                <w:color w:val="auto"/>
              </w:rPr>
            </w:pPr>
          </w:p>
        </w:tc>
      </w:tr>
      <w:tr>
        <w:trPr>
          <w:trHeight w:val="221"/>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2520" w:type="dxa"/>
            <w:vAlign w:val="bottom"/>
          </w:tcPr>
          <w:p>
            <w:pPr>
              <w:spacing w:after="0"/>
              <w:rPr>
                <w:sz w:val="19"/>
                <w:szCs w:val="19"/>
                <w:color w:val="auto"/>
              </w:rPr>
            </w:pPr>
          </w:p>
        </w:tc>
      </w:tr>
      <w:tr>
        <w:trPr>
          <w:trHeight w:val="221"/>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2520" w:type="dxa"/>
            <w:vAlign w:val="bottom"/>
          </w:tcPr>
          <w:p>
            <w:pPr>
              <w:spacing w:after="0"/>
              <w:rPr>
                <w:sz w:val="19"/>
                <w:szCs w:val="19"/>
                <w:color w:val="auto"/>
              </w:rPr>
            </w:pPr>
          </w:p>
        </w:tc>
      </w:tr>
      <w:tr>
        <w:trPr>
          <w:trHeight w:val="221"/>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2520" w:type="dxa"/>
            <w:vAlign w:val="bottom"/>
          </w:tcPr>
          <w:p>
            <w:pPr>
              <w:spacing w:after="0"/>
              <w:rPr>
                <w:sz w:val="19"/>
                <w:szCs w:val="19"/>
                <w:color w:val="auto"/>
              </w:rPr>
            </w:pPr>
          </w:p>
        </w:tc>
      </w:tr>
      <w:tr>
        <w:trPr>
          <w:trHeight w:val="221"/>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2520" w:type="dxa"/>
            <w:vAlign w:val="bottom"/>
          </w:tcPr>
          <w:p>
            <w:pPr>
              <w:spacing w:after="0"/>
              <w:rPr>
                <w:sz w:val="19"/>
                <w:szCs w:val="19"/>
                <w:color w:val="auto"/>
              </w:rPr>
            </w:pPr>
          </w:p>
        </w:tc>
      </w:tr>
      <w:tr>
        <w:trPr>
          <w:trHeight w:val="22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2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2520" w:type="dxa"/>
            <w:vAlign w:val="bottom"/>
          </w:tcPr>
          <w:p>
            <w:pPr>
              <w:spacing w:after="0"/>
              <w:rPr>
                <w:sz w:val="19"/>
                <w:szCs w:val="19"/>
                <w:color w:val="auto"/>
              </w:rPr>
            </w:pPr>
          </w:p>
        </w:tc>
      </w:tr>
    </w:tbl>
    <w:p>
      <w:pPr>
        <w:ind w:left="1120" w:right="5340" w:hanging="1099"/>
        <w:spacing w:after="0" w:line="239" w:lineRule="auto"/>
        <w:tabs>
          <w:tab w:leader="none" w:pos="1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a management contract or compensatory plan or arrangement.</w:t>
      </w:r>
    </w:p>
    <w:p>
      <w:pPr>
        <w:spacing w:after="0" w:line="12" w:lineRule="exact"/>
        <w:rPr>
          <w:sz w:val="20"/>
          <w:szCs w:val="20"/>
          <w:color w:val="auto"/>
        </w:rPr>
      </w:pPr>
    </w:p>
    <w:p>
      <w:pPr>
        <w:ind w:firstLine="4"/>
        <w:spacing w:after="0" w:line="269" w:lineRule="auto"/>
        <w:tabs>
          <w:tab w:leader="none" w:pos="22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to this exhibit have been omitted in accordance with Regulation S-K Item 601(b)(2). The registrant hereby agrees to furnish supplementary a copy of any omitted schedule to the SEC upon its request.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type w:val="continuous"/>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Clover Health Investment, Corp.</w:t>
      </w:r>
    </w:p>
    <w:p>
      <w:pPr>
        <w:spacing w:after="0" w:line="33" w:lineRule="exact"/>
        <w:rPr>
          <w:sz w:val="20"/>
          <w:szCs w:val="20"/>
          <w:color w:val="auto"/>
        </w:rPr>
      </w:pPr>
    </w:p>
    <w:p>
      <w:pPr>
        <w:ind w:left="20"/>
        <w:spacing w:after="0"/>
        <w:tabs>
          <w:tab w:leader="none" w:pos="5820" w:val="left"/>
          <w:tab w:leader="none" w:pos="8220" w:val="left"/>
        </w:tabs>
        <w:rPr>
          <w:sz w:val="20"/>
          <w:szCs w:val="20"/>
          <w:color w:val="auto"/>
        </w:rPr>
      </w:pPr>
      <w:r>
        <w:rPr>
          <w:rFonts w:ascii="Times New Roman" w:cs="Times New Roman" w:eastAsia="Times New Roman" w:hAnsi="Times New Roman"/>
          <w:sz w:val="17"/>
          <w:szCs w:val="17"/>
          <w:color w:val="auto"/>
        </w:rPr>
        <w:t>Date: March 1,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15875</wp:posOffset>
            </wp:positionV>
            <wp:extent cx="31400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3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2600" w:type="dxa"/>
            <w:vAlign w:val="bottom"/>
            <w:gridSpan w:val="2"/>
          </w:tcPr>
          <w:p>
            <w:pPr>
              <w:jc w:val="center"/>
              <w:ind w:right="1880"/>
              <w:spacing w:after="0" w:line="190" w:lineRule="exact"/>
              <w:rPr>
                <w:sz w:val="20"/>
                <w:szCs w:val="20"/>
                <w:color w:val="auto"/>
              </w:rPr>
            </w:pPr>
            <w:r>
              <w:rPr>
                <w:rFonts w:ascii="Times New Roman" w:cs="Times New Roman" w:eastAsia="Times New Roman" w:hAnsi="Times New Roman"/>
                <w:sz w:val="17"/>
                <w:szCs w:val="17"/>
                <w:b w:val="1"/>
                <w:bCs w:val="1"/>
                <w:color w:val="auto"/>
              </w:rPr>
              <w:t>Signature</w:t>
            </w:r>
          </w:p>
        </w:tc>
        <w:tc>
          <w:tcPr>
            <w:tcW w:w="1640" w:type="dxa"/>
            <w:vAlign w:val="bottom"/>
          </w:tcPr>
          <w:p>
            <w:pPr>
              <w:spacing w:after="0"/>
              <w:rPr>
                <w:sz w:val="16"/>
                <w:szCs w:val="16"/>
                <w:color w:val="auto"/>
              </w:rPr>
            </w:pPr>
          </w:p>
        </w:tc>
        <w:tc>
          <w:tcPr>
            <w:tcW w:w="198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Title</w:t>
            </w:r>
          </w:p>
        </w:tc>
        <w:tc>
          <w:tcPr>
            <w:tcW w:w="1400" w:type="dxa"/>
            <w:vAlign w:val="bottom"/>
          </w:tcPr>
          <w:p>
            <w:pPr>
              <w:spacing w:after="0"/>
              <w:rPr>
                <w:sz w:val="16"/>
                <w:szCs w:val="16"/>
                <w:color w:val="auto"/>
              </w:rPr>
            </w:pPr>
          </w:p>
        </w:tc>
        <w:tc>
          <w:tcPr>
            <w:tcW w:w="36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Andrew Toy</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w:t>
            </w:r>
          </w:p>
        </w:tc>
        <w:tc>
          <w:tcPr>
            <w:tcW w:w="1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148"/>
        </w:trPr>
        <w:tc>
          <w:tcPr>
            <w:tcW w:w="4480" w:type="dxa"/>
            <w:vAlign w:val="bottom"/>
            <w:tcBorders>
              <w:bottom w:val="single" w:sz="8" w:color="auto"/>
            </w:tcBorders>
            <w:gridSpan w:val="3"/>
            <w:vMerge w:val="continue"/>
          </w:tcPr>
          <w:p>
            <w:pPr>
              <w:spacing w:after="0"/>
              <w:rPr>
                <w:sz w:val="12"/>
                <w:szCs w:val="12"/>
                <w:color w:val="auto"/>
              </w:rPr>
            </w:pPr>
          </w:p>
        </w:tc>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Officer) and Director</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Andrew Toy</w:t>
            </w:r>
          </w:p>
        </w:tc>
        <w:tc>
          <w:tcPr>
            <w:tcW w:w="36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480" w:type="dxa"/>
            <w:vAlign w:val="bottom"/>
            <w:gridSpan w:val="3"/>
            <w:vMerge w:val="continue"/>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/s/ Scott J. Leffler</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52"/>
        </w:trPr>
        <w:tc>
          <w:tcPr>
            <w:tcW w:w="1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and Principal Accounting Officer)</w:t>
            </w:r>
          </w:p>
        </w:tc>
        <w:tc>
          <w:tcPr>
            <w:tcW w:w="1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Scott J. Leffler</w:t>
            </w:r>
          </w:p>
        </w:tc>
        <w:tc>
          <w:tcPr>
            <w:tcW w:w="362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48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2"/>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Vivek Garipalli</w:t>
            </w:r>
          </w:p>
        </w:tc>
        <w:tc>
          <w:tcPr>
            <w:tcW w:w="3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Director and Executive Chair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84"/>
        </w:trPr>
        <w:tc>
          <w:tcPr>
            <w:tcW w:w="4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Vivek Garipalli</w:t>
            </w:r>
          </w:p>
        </w:tc>
        <w:tc>
          <w:tcPr>
            <w:tcW w:w="3620" w:type="dxa"/>
            <w:vAlign w:val="bottom"/>
            <w:gridSpan w:val="3"/>
            <w:vMerge w:val="continue"/>
          </w:tcPr>
          <w:p>
            <w:pPr>
              <w:spacing w:after="0"/>
              <w:rPr>
                <w:sz w:val="7"/>
                <w:szCs w:val="7"/>
                <w:color w:val="auto"/>
              </w:rPr>
            </w:pPr>
          </w:p>
        </w:tc>
        <w:tc>
          <w:tcPr>
            <w:tcW w:w="1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448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7"/>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Chelsea Clinton</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Chelsea Clinton</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Demetrios L. Kouzoukas</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Demetrios L. Kouzoukas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Lee A. Shapiro</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Lee A. Shapiro</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William G. Robinson, Jr.</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William G. Robinson, Jr.</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Carladenise A. Edwards</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Carladenise A. Edwards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Anna U. Loengard</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Date: March 1, 2023</w:t>
            </w:r>
          </w:p>
        </w:tc>
        <w:tc>
          <w:tcPr>
            <w:tcW w:w="0" w:type="dxa"/>
            <w:vAlign w:val="bottom"/>
          </w:tcPr>
          <w:p>
            <w:pPr>
              <w:spacing w:after="0"/>
              <w:rPr>
                <w:sz w:val="1"/>
                <w:szCs w:val="1"/>
                <w:color w:val="auto"/>
              </w:rPr>
            </w:pPr>
          </w:p>
        </w:tc>
      </w:tr>
      <w:tr>
        <w:trPr>
          <w:trHeight w:val="221"/>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Anna U. Loengard</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3"/>
        </w:trPr>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127</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42" w:right="33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5373370</wp:posOffset>
            </wp:positionH>
            <wp:positionV relativeFrom="page">
              <wp:posOffset>484505</wp:posOffset>
            </wp:positionV>
            <wp:extent cx="1969770" cy="2139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969770" cy="213995"/>
                    </a:xfrm>
                    <a:prstGeom prst="rect">
                      <a:avLst/>
                    </a:prstGeom>
                    <a:noFill/>
                  </pic:spPr>
                </pic:pic>
              </a:graphicData>
            </a:graphic>
          </wp:anchor>
        </w:drawing>
        <w:t>CONFIDENTIAL</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June 28, 2022</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Clover Health Investments, Corp.</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3401 Mallory Lane, Suite 210</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Franklin TN 37067</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 </w:t>
      </w:r>
      <w:r>
        <w:rPr>
          <w:rFonts w:ascii="Arial" w:cs="Arial" w:eastAsia="Arial" w:hAnsi="Arial"/>
          <w:sz w:val="19"/>
          <w:szCs w:val="19"/>
          <w:b w:val="1"/>
          <w:bCs w:val="1"/>
          <w:u w:val="single" w:color="auto"/>
          <w:color w:val="auto"/>
        </w:rPr>
        <w:t>EMPLOYMENT AGREEMENT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Dear Brady Priest,</w:t>
      </w:r>
    </w:p>
    <w:p>
      <w:pPr>
        <w:spacing w:after="0" w:line="301" w:lineRule="exact"/>
        <w:rPr>
          <w:sz w:val="20"/>
          <w:szCs w:val="20"/>
          <w:color w:val="auto"/>
        </w:rPr>
      </w:pPr>
    </w:p>
    <w:p>
      <w:pPr>
        <w:jc w:val="both"/>
        <w:ind w:left="20" w:hanging="8"/>
        <w:spacing w:after="0" w:line="308"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between you (referred to hereinafter as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 Clover Health Labs, LLC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sets forth the terms and conditions that shall govern Executive’s employment with the Company (referred to hereinafter as “</w:t>
      </w:r>
      <w:r>
        <w:rPr>
          <w:rFonts w:ascii="Arial" w:cs="Arial" w:eastAsia="Arial" w:hAnsi="Arial"/>
          <w:sz w:val="19"/>
          <w:szCs w:val="19"/>
          <w:b w:val="1"/>
          <w:bCs w:val="1"/>
          <w:i w:val="1"/>
          <w:iCs w:val="1"/>
          <w:color w:val="auto"/>
        </w:rPr>
        <w:t>Employment</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effective as of July 18, 2022.</w:t>
      </w:r>
    </w:p>
    <w:p>
      <w:pPr>
        <w:spacing w:after="0" w:line="132" w:lineRule="exact"/>
        <w:rPr>
          <w:sz w:val="20"/>
          <w:szCs w:val="20"/>
          <w:color w:val="auto"/>
        </w:rPr>
      </w:pPr>
    </w:p>
    <w:p>
      <w:pPr>
        <w:ind w:left="520" w:hanging="218"/>
        <w:spacing w:after="0"/>
        <w:tabs>
          <w:tab w:leader="none" w:pos="52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Duties and Scope of Employment</w:t>
      </w:r>
      <w:r>
        <w:rPr>
          <w:rFonts w:ascii="Arial" w:cs="Arial" w:eastAsia="Arial" w:hAnsi="Arial"/>
          <w:sz w:val="19"/>
          <w:szCs w:val="19"/>
          <w:b w:val="1"/>
          <w:bCs w:val="1"/>
          <w:color w:val="auto"/>
        </w:rPr>
        <w:t>.</w:t>
      </w:r>
    </w:p>
    <w:p>
      <w:pPr>
        <w:spacing w:after="0" w:line="274" w:lineRule="exact"/>
        <w:rPr>
          <w:rFonts w:ascii="Arial" w:cs="Arial" w:eastAsia="Arial" w:hAnsi="Arial"/>
          <w:sz w:val="19"/>
          <w:szCs w:val="19"/>
          <w:color w:val="auto"/>
        </w:rPr>
      </w:pPr>
    </w:p>
    <w:p>
      <w:pPr>
        <w:jc w:val="both"/>
        <w:ind w:left="1240" w:hanging="315"/>
        <w:spacing w:after="0" w:line="292" w:lineRule="auto"/>
        <w:tabs>
          <w:tab w:leader="none" w:pos="1230" w:val="left"/>
        </w:tabs>
        <w:numPr>
          <w:ilvl w:val="1"/>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At-Will Employment</w:t>
      </w:r>
      <w:r>
        <w:rPr>
          <w:rFonts w:ascii="Arial" w:cs="Arial" w:eastAsia="Arial" w:hAnsi="Arial"/>
          <w:sz w:val="19"/>
          <w:szCs w:val="19"/>
          <w:color w:val="auto"/>
        </w:rPr>
        <w:t>. Executive’s Employment with the Company is for no specified period and constitutes “at will”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31" w:lineRule="exact"/>
        <w:rPr>
          <w:rFonts w:ascii="Arial" w:cs="Arial" w:eastAsia="Arial" w:hAnsi="Arial"/>
          <w:sz w:val="19"/>
          <w:szCs w:val="19"/>
          <w:color w:val="auto"/>
        </w:rPr>
      </w:pPr>
    </w:p>
    <w:p>
      <w:pPr>
        <w:jc w:val="both"/>
        <w:ind w:left="1240" w:hanging="315"/>
        <w:spacing w:after="0" w:line="292" w:lineRule="auto"/>
        <w:tabs>
          <w:tab w:leader="none" w:pos="1230" w:val="left"/>
        </w:tabs>
        <w:numPr>
          <w:ilvl w:val="1"/>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Responsibilities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the Company agrees to employ Executive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position of Chief Executive Officer, Home Care. Executive will report to the Company’s Chief Executive Officer, </w:t>
      </w:r>
      <w:r>
        <w:rPr>
          <w:rFonts w:ascii="Arial" w:cs="Arial" w:eastAsia="Arial" w:hAnsi="Arial"/>
          <w:sz w:val="19"/>
          <w:szCs w:val="19"/>
          <w:color w:val="202020"/>
        </w:rPr>
        <w:t>Vivek</w:t>
      </w:r>
    </w:p>
    <w:p>
      <w:pPr>
        <w:jc w:val="both"/>
        <w:ind w:left="1240"/>
        <w:spacing w:after="0" w:line="296" w:lineRule="auto"/>
        <w:rPr>
          <w:rFonts w:ascii="Arial" w:cs="Arial" w:eastAsia="Arial" w:hAnsi="Arial"/>
          <w:sz w:val="19"/>
          <w:szCs w:val="19"/>
          <w:color w:val="auto"/>
        </w:rPr>
      </w:pPr>
      <w:r>
        <w:rPr>
          <w:rFonts w:ascii="Arial" w:cs="Arial" w:eastAsia="Arial" w:hAnsi="Arial"/>
          <w:sz w:val="19"/>
          <w:szCs w:val="19"/>
          <w:color w:val="202020"/>
        </w:rPr>
        <w:t>Garipalli</w:t>
      </w:r>
      <w:r>
        <w:rPr>
          <w:rFonts w:ascii="Arial" w:cs="Arial" w:eastAsia="Arial" w:hAnsi="Arial"/>
          <w:sz w:val="19"/>
          <w:szCs w:val="19"/>
          <w:color w:val="000000"/>
        </w:rPr>
        <w:t>, or to such other Person as the Company subsequently may determine (Executive’s “</w:t>
      </w:r>
      <w:r>
        <w:rPr>
          <w:rFonts w:ascii="Arial" w:cs="Arial" w:eastAsia="Arial" w:hAnsi="Arial"/>
          <w:sz w:val="19"/>
          <w:szCs w:val="19"/>
          <w:b w:val="1"/>
          <w:bCs w:val="1"/>
          <w:i w:val="1"/>
          <w:iCs w:val="1"/>
          <w:color w:val="000000"/>
        </w:rPr>
        <w:t>Supervisor</w:t>
      </w:r>
      <w:r>
        <w:rPr>
          <w:rFonts w:ascii="Arial" w:cs="Arial" w:eastAsia="Arial" w:hAnsi="Arial"/>
          <w:sz w:val="19"/>
          <w:szCs w:val="19"/>
          <w:color w:val="000000"/>
        </w:rPr>
        <w:t>”), and</w:t>
      </w:r>
      <w:r>
        <w:rPr>
          <w:rFonts w:ascii="Arial" w:cs="Arial" w:eastAsia="Arial" w:hAnsi="Arial"/>
          <w:sz w:val="19"/>
          <w:szCs w:val="19"/>
          <w:color w:val="202020"/>
        </w:rPr>
        <w:t xml:space="preserve"> </w:t>
      </w:r>
      <w:r>
        <w:rPr>
          <w:rFonts w:ascii="Arial" w:cs="Arial" w:eastAsia="Arial" w:hAnsi="Arial"/>
          <w:sz w:val="19"/>
          <w:szCs w:val="19"/>
          <w:color w:val="000000"/>
        </w:rPr>
        <w:t>Executive will be working remotely and based out of Minnesota. Executive will perform the duties and have the responsibilities and authority customarily performed and held by an employee in Executive’s position or as otherwise may be assigned or delegated to Executive by Executive’s Supervisor.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00"/>
          </w:cols>
          <w:pgMar w:left="320" w:top="1403" w:right="379" w:bottom="1440" w:gutter="0" w:footer="0" w:header="0"/>
        </w:sectPr>
      </w:pPr>
    </w:p>
    <w:bookmarkStart w:id="131" w:name="page132"/>
    <w:bookmarkEnd w:id="131"/>
    <w:p>
      <w:pPr>
        <w:jc w:val="both"/>
        <w:ind w:left="925" w:hanging="315"/>
        <w:spacing w:after="0" w:line="289" w:lineRule="auto"/>
        <w:tabs>
          <w:tab w:leader="none" w:pos="917" w:val="left"/>
        </w:tabs>
        <w:numPr>
          <w:ilvl w:val="1"/>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Obligations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Executive shall perform Executive’s duties faithfully</w:t>
      </w:r>
      <w:r>
        <w:rPr>
          <w:rFonts w:ascii="Arial" w:cs="Arial" w:eastAsia="Arial" w:hAnsi="Arial"/>
          <w:sz w:val="19"/>
          <w:szCs w:val="19"/>
          <w:b w:val="1"/>
          <w:bCs w:val="1"/>
          <w:color w:val="auto"/>
        </w:rPr>
        <w:t xml:space="preserve"> </w:t>
      </w:r>
      <w:r>
        <w:rPr>
          <w:rFonts w:ascii="Arial" w:cs="Arial" w:eastAsia="Arial" w:hAnsi="Arial"/>
          <w:sz w:val="19"/>
          <w:szCs w:val="19"/>
          <w:color w:val="auto"/>
        </w:rPr>
        <w:t>and to the best of Executive’s ability and will devote Executive’s full business efforts and time to the Company. During the Employment Period, without the prior written approval of Executive’s Supervisor, Executive shall not render</w:t>
      </w:r>
    </w:p>
    <w:p>
      <w:pPr>
        <w:spacing w:after="0" w:line="2" w:lineRule="exact"/>
        <w:rPr>
          <w:rFonts w:ascii="Arial" w:cs="Arial" w:eastAsia="Arial" w:hAnsi="Arial"/>
          <w:sz w:val="19"/>
          <w:szCs w:val="19"/>
          <w:color w:val="auto"/>
        </w:rPr>
      </w:pPr>
    </w:p>
    <w:p>
      <w:pPr>
        <w:jc w:val="both"/>
        <w:ind w:left="925"/>
        <w:spacing w:after="0" w:line="288" w:lineRule="auto"/>
        <w:rPr>
          <w:rFonts w:ascii="Arial" w:cs="Arial" w:eastAsia="Arial" w:hAnsi="Arial"/>
          <w:sz w:val="19"/>
          <w:szCs w:val="19"/>
          <w:color w:val="auto"/>
        </w:rPr>
      </w:pPr>
      <w:r>
        <w:rPr>
          <w:rFonts w:ascii="Arial" w:cs="Arial" w:eastAsia="Arial" w:hAnsi="Arial"/>
          <w:sz w:val="19"/>
          <w:szCs w:val="19"/>
          <w:color w:val="auto"/>
        </w:rPr>
        <w:t>services in any capacity to any other Person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Executive’s</w:t>
      </w:r>
    </w:p>
    <w:p>
      <w:pPr>
        <w:spacing w:after="0" w:line="2" w:lineRule="exact"/>
        <w:rPr>
          <w:rFonts w:ascii="Arial" w:cs="Arial" w:eastAsia="Arial" w:hAnsi="Arial"/>
          <w:sz w:val="19"/>
          <w:szCs w:val="19"/>
          <w:color w:val="auto"/>
        </w:rPr>
      </w:pPr>
    </w:p>
    <w:p>
      <w:pPr>
        <w:jc w:val="both"/>
        <w:ind w:left="925"/>
        <w:spacing w:after="0" w:line="297" w:lineRule="auto"/>
        <w:rPr>
          <w:rFonts w:ascii="Arial" w:cs="Arial" w:eastAsia="Arial" w:hAnsi="Arial"/>
          <w:sz w:val="19"/>
          <w:szCs w:val="19"/>
          <w:color w:val="auto"/>
        </w:rPr>
      </w:pPr>
      <w:r>
        <w:rPr>
          <w:rFonts w:ascii="Arial" w:cs="Arial" w:eastAsia="Arial" w:hAnsi="Arial"/>
          <w:sz w:val="19"/>
          <w:szCs w:val="19"/>
          <w:color w:val="auto"/>
        </w:rPr>
        <w:t>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that Executive has returned all property and confidential information belonging to any prior employer.</w:t>
      </w:r>
    </w:p>
    <w:p>
      <w:pPr>
        <w:spacing w:after="0" w:line="114" w:lineRule="exact"/>
        <w:rPr>
          <w:rFonts w:ascii="Arial" w:cs="Arial" w:eastAsia="Arial" w:hAnsi="Arial"/>
          <w:sz w:val="19"/>
          <w:szCs w:val="19"/>
          <w:color w:val="auto"/>
        </w:rPr>
      </w:pPr>
    </w:p>
    <w:p>
      <w:pPr>
        <w:ind w:left="305" w:hanging="305"/>
        <w:spacing w:after="0"/>
        <w:tabs>
          <w:tab w:leader="none" w:pos="305"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and Incentive Compensation</w:t>
      </w:r>
      <w:r>
        <w:rPr>
          <w:rFonts w:ascii="Arial" w:cs="Arial" w:eastAsia="Arial" w:hAnsi="Arial"/>
          <w:sz w:val="19"/>
          <w:szCs w:val="19"/>
          <w:b w:val="1"/>
          <w:bCs w:val="1"/>
          <w:color w:val="auto"/>
        </w:rPr>
        <w:t>.</w:t>
      </w:r>
    </w:p>
    <w:p>
      <w:pPr>
        <w:spacing w:after="0" w:line="248" w:lineRule="exact"/>
        <w:rPr>
          <w:rFonts w:ascii="Arial" w:cs="Arial" w:eastAsia="Arial" w:hAnsi="Arial"/>
          <w:sz w:val="19"/>
          <w:szCs w:val="19"/>
          <w:color w:val="auto"/>
        </w:rPr>
      </w:pPr>
    </w:p>
    <w:p>
      <w:pPr>
        <w:jc w:val="both"/>
        <w:ind w:left="925" w:hanging="315"/>
        <w:spacing w:after="0" w:line="293" w:lineRule="auto"/>
        <w:tabs>
          <w:tab w:leader="none" w:pos="915" w:val="left"/>
        </w:tabs>
        <w:numPr>
          <w:ilvl w:val="1"/>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pay Executive, as compensation for Executive’s services, a base salary at a gross</w:t>
      </w:r>
      <w:r>
        <w:rPr>
          <w:rFonts w:ascii="Arial" w:cs="Arial" w:eastAsia="Arial" w:hAnsi="Arial"/>
          <w:sz w:val="19"/>
          <w:szCs w:val="19"/>
          <w:b w:val="1"/>
          <w:bCs w:val="1"/>
          <w:color w:val="auto"/>
        </w:rPr>
        <w:t xml:space="preserve"> </w:t>
      </w:r>
      <w:r>
        <w:rPr>
          <w:rFonts w:ascii="Arial" w:cs="Arial" w:eastAsia="Arial" w:hAnsi="Arial"/>
          <w:sz w:val="19"/>
          <w:szCs w:val="19"/>
          <w:color w:val="auto"/>
        </w:rPr>
        <w:t>annual rate of $450,000.00,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w:t>
      </w:r>
    </w:p>
    <w:p>
      <w:pPr>
        <w:spacing w:after="0" w:line="3" w:lineRule="exact"/>
        <w:rPr>
          <w:rFonts w:ascii="Arial" w:cs="Arial" w:eastAsia="Arial" w:hAnsi="Arial"/>
          <w:sz w:val="19"/>
          <w:szCs w:val="19"/>
          <w:color w:val="auto"/>
        </w:rPr>
      </w:pPr>
    </w:p>
    <w:p>
      <w:pPr>
        <w:jc w:val="both"/>
        <w:ind w:left="945" w:hanging="9"/>
        <w:spacing w:after="0" w:line="302"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22" w:lineRule="exact"/>
        <w:rPr>
          <w:rFonts w:ascii="Arial" w:cs="Arial" w:eastAsia="Arial" w:hAnsi="Arial"/>
          <w:sz w:val="19"/>
          <w:szCs w:val="19"/>
          <w:color w:val="auto"/>
        </w:rPr>
      </w:pPr>
    </w:p>
    <w:p>
      <w:pPr>
        <w:jc w:val="both"/>
        <w:ind w:left="925" w:hanging="315"/>
        <w:spacing w:after="0" w:line="288" w:lineRule="auto"/>
        <w:tabs>
          <w:tab w:leader="none" w:pos="915" w:val="left"/>
        </w:tabs>
        <w:numPr>
          <w:ilvl w:val="1"/>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Incentive Bonus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eligible to be considered for an annual cash incentive bonus (the “</w:t>
      </w:r>
      <w:r>
        <w:rPr>
          <w:rFonts w:ascii="Arial" w:cs="Arial" w:eastAsia="Arial" w:hAnsi="Arial"/>
          <w:sz w:val="19"/>
          <w:szCs w:val="19"/>
          <w:b w:val="1"/>
          <w:bCs w:val="1"/>
          <w:i w:val="1"/>
          <w:iCs w:val="1"/>
          <w:color w:val="auto"/>
        </w:rPr>
        <w:t>Cash</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each calendar year during the Employment Period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based upon the achievement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certain objective or subjective criteria (collectively, the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In compliance with all relevant legal requirements and based on Executive’s level within the Company, the Performance Goals for Executive’s Cash Bonus for a particular year will be established by, and in the sole discretion of, the Company’s Board of Directors (the</w:t>
      </w:r>
    </w:p>
    <w:p>
      <w:pPr>
        <w:jc w:val="both"/>
        <w:ind w:left="925"/>
        <w:spacing w:after="0" w:line="297"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any Compensation Committee of the Board (the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or a delegate of either the Board or the Committee (the “</w:t>
      </w:r>
      <w:r>
        <w:rPr>
          <w:rFonts w:ascii="Arial" w:cs="Arial" w:eastAsia="Arial" w:hAnsi="Arial"/>
          <w:sz w:val="19"/>
          <w:szCs w:val="19"/>
          <w:b w:val="1"/>
          <w:bCs w:val="1"/>
          <w:i w:val="1"/>
          <w:iCs w:val="1"/>
          <w:color w:val="auto"/>
        </w:rPr>
        <w:t>Delegate</w:t>
      </w:r>
      <w:r>
        <w:rPr>
          <w:rFonts w:ascii="Arial" w:cs="Arial" w:eastAsia="Arial" w:hAnsi="Arial"/>
          <w:sz w:val="19"/>
          <w:szCs w:val="19"/>
          <w:color w:val="auto"/>
        </w:rPr>
        <w:t>”), as applicable. The initial target amount for any such Cash Bonus will be up to 75% of Executive’s Base Salary (the “</w:t>
      </w:r>
      <w:r>
        <w:rPr>
          <w:rFonts w:ascii="Arial" w:cs="Arial" w:eastAsia="Arial" w:hAnsi="Arial"/>
          <w:sz w:val="19"/>
          <w:szCs w:val="19"/>
          <w:b w:val="1"/>
          <w:bCs w:val="1"/>
          <w:i w:val="1"/>
          <w:iCs w:val="1"/>
          <w:color w:val="auto"/>
        </w:rPr>
        <w:t>Target Bonus Percentage</w:t>
      </w:r>
      <w:r>
        <w:rPr>
          <w:rFonts w:ascii="Arial" w:cs="Arial" w:eastAsia="Arial" w:hAnsi="Arial"/>
          <w:sz w:val="19"/>
          <w:szCs w:val="19"/>
          <w:color w:val="auto"/>
        </w:rPr>
        <w:t>”), less all required tax withholdings and other applicable deductions. The determinations of the Board, the Committee or the Delegate, as applicable, with respect to such Cash Bonus or the Target Bonus Percentage shall be final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5"/>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885"/>
          </w:cols>
          <w:pgMar w:left="635" w:top="767" w:right="379" w:bottom="1440" w:gutter="0" w:footer="0" w:header="0"/>
        </w:sectPr>
      </w:pPr>
    </w:p>
    <w:bookmarkStart w:id="132" w:name="page133"/>
    <w:bookmarkEnd w:id="132"/>
    <w:p>
      <w:pPr>
        <w:jc w:val="both"/>
        <w:ind w:left="925"/>
        <w:spacing w:after="0" w:line="293" w:lineRule="auto"/>
        <w:rPr>
          <w:sz w:val="20"/>
          <w:szCs w:val="20"/>
          <w:color w:val="auto"/>
        </w:rPr>
      </w:pPr>
      <w:r>
        <w:rPr>
          <w:rFonts w:ascii="Arial" w:cs="Arial" w:eastAsia="Arial" w:hAnsi="Arial"/>
          <w:sz w:val="19"/>
          <w:szCs w:val="19"/>
          <w:color w:val="auto"/>
        </w:rPr>
        <w:t>binding. Executive’s Target Bonus Percentage for any subsequent year may be adjusted up or down, as determined in the sole discretion of the Board, the Committee or the Delegate, as applicable. Executive shall not earn a Cash Bonus unless Executive (i) has been employed by the Company for a minimum of three (3) months of the Performance Period and (ii) is employed by and in good standing with the Company on the date when such Cash Bonus is actually paid by the Company. If Executive has not been 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w:t>
      </w:r>
    </w:p>
    <w:p>
      <w:pPr>
        <w:spacing w:after="0" w:line="145" w:lineRule="exact"/>
        <w:rPr>
          <w:sz w:val="20"/>
          <w:szCs w:val="20"/>
          <w:color w:val="auto"/>
        </w:rPr>
      </w:pPr>
    </w:p>
    <w:p>
      <w:pPr>
        <w:jc w:val="both"/>
        <w:ind w:left="925" w:hanging="315"/>
        <w:spacing w:after="0" w:line="288" w:lineRule="auto"/>
        <w:tabs>
          <w:tab w:leader="none" w:pos="917" w:val="left"/>
        </w:tabs>
        <w:numPr>
          <w:ilvl w:val="1"/>
          <w:numId w:val="49"/>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color w:val="auto"/>
        </w:rPr>
        <w:t>. Subject to the approval of the Board, the Committee or a Delegate, as applicable,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grant Executive restricted stock units covering shares of the Company’s Class A common stock with a grant date fair value (the “</w:t>
      </w:r>
      <w:r>
        <w:rPr>
          <w:rFonts w:ascii="Arial" w:cs="Arial" w:eastAsia="Arial" w:hAnsi="Arial"/>
          <w:sz w:val="19"/>
          <w:szCs w:val="19"/>
          <w:b w:val="1"/>
          <w:bCs w:val="1"/>
          <w:i w:val="1"/>
          <w:iCs w:val="1"/>
          <w:color w:val="auto"/>
        </w:rPr>
        <w:t>RSU Cash Value</w:t>
      </w:r>
      <w:r>
        <w:rPr>
          <w:rFonts w:ascii="Arial" w:cs="Arial" w:eastAsia="Arial" w:hAnsi="Arial"/>
          <w:sz w:val="19"/>
          <w:szCs w:val="19"/>
          <w:color w:val="auto"/>
        </w:rPr>
        <w:t>”) of $4,000,000 (the “</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The number of shares subject to the RSU Awards will be determined by dividing the RSU Cash Value by the average closing price of a share of the</w:t>
      </w:r>
    </w:p>
    <w:p>
      <w:pPr>
        <w:spacing w:after="0" w:line="2" w:lineRule="exact"/>
        <w:rPr>
          <w:rFonts w:ascii="Arial" w:cs="Arial" w:eastAsia="Arial" w:hAnsi="Arial"/>
          <w:sz w:val="19"/>
          <w:szCs w:val="19"/>
          <w:color w:val="auto"/>
        </w:rPr>
      </w:pPr>
    </w:p>
    <w:p>
      <w:pPr>
        <w:jc w:val="both"/>
        <w:ind w:left="925"/>
        <w:spacing w:after="0" w:line="288" w:lineRule="auto"/>
        <w:rPr>
          <w:rFonts w:ascii="Arial" w:cs="Arial" w:eastAsia="Arial" w:hAnsi="Arial"/>
          <w:sz w:val="19"/>
          <w:szCs w:val="19"/>
          <w:color w:val="auto"/>
        </w:rPr>
      </w:pPr>
      <w:r>
        <w:rPr>
          <w:rFonts w:ascii="Arial" w:cs="Arial" w:eastAsia="Arial" w:hAnsi="Arial"/>
          <w:sz w:val="19"/>
          <w:szCs w:val="19"/>
          <w:color w:val="auto"/>
        </w:rPr>
        <w:t>Company’s Class A common stock for the thirty trading days ending on the [trading day prior to the] date of grant, as publicly reported. The RSU Awards shall be granted on the first day of your employment, pending Compensation Committee approval. Subject to any vesting acceleration rights Executive may have, the RSU Award shall vest and become payable as follows: 25% of the RSU Award will vest on the first anniversary of Executive’s start date, and the remainder of the RSU Award will vest in twelve equal quarterly installments beginning on the date that is three months</w:t>
      </w:r>
    </w:p>
    <w:p>
      <w:pPr>
        <w:jc w:val="both"/>
        <w:ind w:left="925"/>
        <w:spacing w:after="0" w:line="294" w:lineRule="auto"/>
        <w:rPr>
          <w:rFonts w:ascii="Arial" w:cs="Arial" w:eastAsia="Arial" w:hAnsi="Arial"/>
          <w:sz w:val="19"/>
          <w:szCs w:val="19"/>
          <w:color w:val="auto"/>
        </w:rPr>
      </w:pPr>
      <w:r>
        <w:rPr>
          <w:rFonts w:ascii="Arial" w:cs="Arial" w:eastAsia="Arial" w:hAnsi="Arial"/>
          <w:sz w:val="19"/>
          <w:szCs w:val="19"/>
          <w:color w:val="auto"/>
        </w:rPr>
        <w:t>after the first anniversary of Executive’s start date, in each case subject to Executive continuing to provide services to the Company through the relevant vesting dates. The RSU Award will be subject to the terms, definitions and provisions of the Company’s 2020 Equity Incentive Plan and the restricted stock unit award agreement by and between Executive and the Company (the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both of which documents are incorporated herein by reference. Executive will be eligible for future awards under the Equity Plan, as determined in the sole discretion of the Board, the Committee or the Delegate, as applicable.</w:t>
      </w:r>
    </w:p>
    <w:p>
      <w:pPr>
        <w:spacing w:after="0" w:line="159" w:lineRule="exact"/>
        <w:rPr>
          <w:rFonts w:ascii="Arial" w:cs="Arial" w:eastAsia="Arial" w:hAnsi="Arial"/>
          <w:sz w:val="19"/>
          <w:szCs w:val="19"/>
          <w:color w:val="auto"/>
        </w:rPr>
      </w:pPr>
    </w:p>
    <w:p>
      <w:pPr>
        <w:jc w:val="both"/>
        <w:ind w:left="305" w:hanging="305"/>
        <w:spacing w:after="0" w:line="294" w:lineRule="auto"/>
        <w:tabs>
          <w:tab w:leader="none" w:pos="295"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Executive shall be eligible to (a) receive paid time off (“</w:t>
      </w:r>
      <w:r>
        <w:rPr>
          <w:rFonts w:ascii="Arial" w:cs="Arial" w:eastAsia="Arial" w:hAnsi="Arial"/>
          <w:sz w:val="19"/>
          <w:szCs w:val="19"/>
          <w:b w:val="1"/>
          <w:bCs w:val="1"/>
          <w:i w:val="1"/>
          <w:iCs w:val="1"/>
          <w:color w:val="auto"/>
        </w:rPr>
        <w:t>PTO</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Company’s PTO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55"/>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885"/>
          </w:cols>
          <w:pgMar w:left="635" w:top="767" w:right="379" w:bottom="1440" w:gutter="0" w:footer="0" w:header="0"/>
        </w:sectPr>
      </w:pPr>
    </w:p>
    <w:bookmarkStart w:id="133" w:name="page134"/>
    <w:bookmarkEnd w:id="133"/>
    <w:p>
      <w:pPr>
        <w:jc w:val="both"/>
        <w:ind w:left="305" w:hanging="305"/>
        <w:spacing w:after="0" w:line="296" w:lineRule="auto"/>
        <w:tabs>
          <w:tab w:leader="none" w:pos="295"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reimburse Executive for necessary and reasonable business expenses incurred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Executive’s duties hereunder upon presentation of an itemized account and appropriate supporting documentation, all in accordance with the Company’s generally applicable expense reimbursement policies as in effect from to time.</w:t>
      </w:r>
    </w:p>
    <w:p>
      <w:pPr>
        <w:spacing w:after="0" w:line="129" w:lineRule="exact"/>
        <w:rPr>
          <w:rFonts w:ascii="Arial" w:cs="Arial" w:eastAsia="Arial" w:hAnsi="Arial"/>
          <w:sz w:val="19"/>
          <w:szCs w:val="19"/>
          <w:color w:val="auto"/>
        </w:rPr>
      </w:pPr>
    </w:p>
    <w:p>
      <w:pPr>
        <w:jc w:val="both"/>
        <w:ind w:left="305" w:hanging="305"/>
        <w:spacing w:after="0" w:line="292" w:lineRule="auto"/>
        <w:tabs>
          <w:tab w:leader="none" w:pos="295"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Upon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Section 6, upon the termination of Executive’s Employment,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period preceding the effective date of the termination of Employment, Executive shall only be entitled to the following: (i)</w:t>
      </w:r>
    </w:p>
    <w:p>
      <w:pPr>
        <w:jc w:val="both"/>
        <w:ind w:left="305"/>
        <w:spacing w:after="0" w:line="288" w:lineRule="auto"/>
        <w:rPr>
          <w:rFonts w:ascii="Arial" w:cs="Arial" w:eastAsia="Arial" w:hAnsi="Arial"/>
          <w:sz w:val="19"/>
          <w:szCs w:val="19"/>
          <w:color w:val="auto"/>
        </w:rPr>
      </w:pPr>
      <w:r>
        <w:rPr>
          <w:rFonts w:ascii="Arial" w:cs="Arial" w:eastAsia="Arial" w:hAnsi="Arial"/>
          <w:sz w:val="19"/>
          <w:szCs w:val="19"/>
          <w:color w:val="auto"/>
        </w:rPr>
        <w:t>the accrued but unpaid Base Salary compensation and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w:t>
      </w:r>
      <w:r>
        <w:rPr>
          <w:rFonts w:ascii="Arial" w:cs="Arial" w:eastAsia="Arial" w:hAnsi="Arial"/>
          <w:sz w:val="19"/>
          <w:szCs w:val="19"/>
          <w:b w:val="1"/>
          <w:bCs w:val="1"/>
          <w:i w:val="1"/>
          <w:iCs w:val="1"/>
          <w:color w:val="auto"/>
        </w:rPr>
        <w:t>Accrued Benefits</w:t>
      </w:r>
      <w:r>
        <w:rPr>
          <w:rFonts w:ascii="Arial" w:cs="Arial" w:eastAsia="Arial" w:hAnsi="Arial"/>
          <w:sz w:val="19"/>
          <w:szCs w:val="19"/>
          <w:color w:val="auto"/>
        </w:rPr>
        <w:t>”). The Accrued Benefits described in clauses (i) and (ii) of the preceding sentence shall be paid within thirty (30) days after the date of termination of Executive’s Employment (or such earlier date as</w:t>
      </w:r>
    </w:p>
    <w:p>
      <w:pPr>
        <w:ind w:left="305"/>
        <w:spacing w:after="0" w:line="319" w:lineRule="auto"/>
        <w:rPr>
          <w:rFonts w:ascii="Arial" w:cs="Arial" w:eastAsia="Arial" w:hAnsi="Arial"/>
          <w:sz w:val="19"/>
          <w:szCs w:val="19"/>
          <w:color w:val="auto"/>
        </w:rPr>
      </w:pPr>
      <w:r>
        <w:rPr>
          <w:rFonts w:ascii="Arial" w:cs="Arial" w:eastAsia="Arial" w:hAnsi="Arial"/>
          <w:sz w:val="19"/>
          <w:szCs w:val="19"/>
          <w:color w:val="auto"/>
        </w:rPr>
        <w:t>may be required by applicable law) and the Accrued Benefits described in clause (iii) of the preceding sentence shall be paid in accordance with the terms of the governing plan, policy or arrangement.</w:t>
      </w:r>
    </w:p>
    <w:p>
      <w:pPr>
        <w:spacing w:after="0" w:line="94" w:lineRule="exact"/>
        <w:rPr>
          <w:rFonts w:ascii="Arial" w:cs="Arial" w:eastAsia="Arial" w:hAnsi="Arial"/>
          <w:sz w:val="19"/>
          <w:szCs w:val="19"/>
          <w:color w:val="auto"/>
        </w:rPr>
      </w:pPr>
    </w:p>
    <w:p>
      <w:pPr>
        <w:ind w:left="305" w:hanging="305"/>
        <w:spacing w:after="0"/>
        <w:tabs>
          <w:tab w:leader="none" w:pos="305"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Benefits.</w:t>
      </w:r>
    </w:p>
    <w:p>
      <w:pPr>
        <w:spacing w:after="0" w:line="222" w:lineRule="exact"/>
        <w:rPr>
          <w:rFonts w:ascii="Arial" w:cs="Arial" w:eastAsia="Arial" w:hAnsi="Arial"/>
          <w:sz w:val="19"/>
          <w:szCs w:val="19"/>
          <w:color w:val="auto"/>
        </w:rPr>
      </w:pPr>
    </w:p>
    <w:p>
      <w:pPr>
        <w:jc w:val="right"/>
        <w:ind w:left="925" w:hanging="311"/>
        <w:spacing w:after="0" w:line="289" w:lineRule="auto"/>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b w:val="1"/>
          <w:bCs w:val="1"/>
          <w:u w:val="single" w:color="auto"/>
          <w:color w:val="auto"/>
        </w:rPr>
        <w:t>Termination without Cause outside of Change in Control Protection Period</w:t>
      </w:r>
      <w:r>
        <w:rPr>
          <w:rFonts w:ascii="Arial" w:cs="Arial" w:eastAsia="Arial" w:hAnsi="Arial"/>
          <w:sz w:val="19"/>
          <w:szCs w:val="19"/>
          <w:color w:val="auto"/>
        </w:rPr>
        <w:t>. If the Company (or any parent, subsidiary or successor of the Company) terminates Executive’s employment with the Company for a reason other than (i) Cause, (ii) Executive becoming Disabled or (iii) Executive’s death, in each case, outside of the Change in</w:t>
      </w:r>
    </w:p>
    <w:p>
      <w:pPr>
        <w:spacing w:after="0" w:line="2" w:lineRule="exact"/>
        <w:rPr>
          <w:rFonts w:ascii="Arial" w:cs="Arial" w:eastAsia="Arial" w:hAnsi="Arial"/>
          <w:sz w:val="19"/>
          <w:szCs w:val="19"/>
          <w:color w:val="auto"/>
        </w:rPr>
      </w:pPr>
    </w:p>
    <w:p>
      <w:pPr>
        <w:ind w:left="925"/>
        <w:spacing w:after="0" w:line="319" w:lineRule="auto"/>
        <w:rPr>
          <w:rFonts w:ascii="Arial" w:cs="Arial" w:eastAsia="Arial" w:hAnsi="Arial"/>
          <w:sz w:val="19"/>
          <w:szCs w:val="19"/>
          <w:color w:val="auto"/>
        </w:rPr>
      </w:pPr>
      <w:r>
        <w:rPr>
          <w:rFonts w:ascii="Arial" w:cs="Arial" w:eastAsia="Arial" w:hAnsi="Arial"/>
          <w:sz w:val="19"/>
          <w:szCs w:val="19"/>
          <w:color w:val="auto"/>
        </w:rPr>
        <w:t>Control Protection Period, then, subject to Section 7 (other than with respect to the Accrued Benefits), Executive will be entitled to the following:</w:t>
      </w:r>
    </w:p>
    <w:p>
      <w:pPr>
        <w:spacing w:after="0" w:line="107" w:lineRule="exact"/>
        <w:rPr>
          <w:rFonts w:ascii="Arial" w:cs="Arial" w:eastAsia="Arial" w:hAnsi="Arial"/>
          <w:sz w:val="19"/>
          <w:szCs w:val="19"/>
          <w:color w:val="auto"/>
        </w:rPr>
      </w:pPr>
    </w:p>
    <w:p>
      <w:pPr>
        <w:ind w:left="1585" w:hanging="475"/>
        <w:spacing w:after="0"/>
        <w:tabs>
          <w:tab w:leader="none" w:pos="1585"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Accrued Compensation</w:t>
      </w:r>
      <w:r>
        <w:rPr>
          <w:rFonts w:ascii="Arial" w:cs="Arial" w:eastAsia="Arial" w:hAnsi="Arial"/>
          <w:sz w:val="19"/>
          <w:szCs w:val="19"/>
          <w:color w:val="auto"/>
        </w:rPr>
        <w:t>. The Company will pay Executive all Accrued Benefits.</w:t>
      </w:r>
    </w:p>
    <w:p>
      <w:pPr>
        <w:spacing w:after="0" w:line="209" w:lineRule="exact"/>
        <w:rPr>
          <w:rFonts w:ascii="Arial" w:cs="Arial" w:eastAsia="Arial" w:hAnsi="Arial"/>
          <w:sz w:val="19"/>
          <w:szCs w:val="19"/>
          <w:color w:val="auto"/>
        </w:rPr>
      </w:pPr>
    </w:p>
    <w:p>
      <w:pPr>
        <w:jc w:val="both"/>
        <w:ind w:left="1605" w:hanging="495"/>
        <w:spacing w:after="0" w:line="292" w:lineRule="auto"/>
        <w:tabs>
          <w:tab w:leader="none" w:pos="1600"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exchange for Executive timely signing and not revoking the Release in accordance with the terms therein and in this Agreement, Executive will receive semi-monthly continuing payments of</w:t>
      </w:r>
    </w:p>
    <w:p>
      <w:pPr>
        <w:jc w:val="both"/>
        <w:ind w:left="1605"/>
        <w:spacing w:after="0" w:line="297" w:lineRule="auto"/>
        <w:rPr>
          <w:rFonts w:ascii="Arial" w:cs="Arial" w:eastAsia="Arial" w:hAnsi="Arial"/>
          <w:sz w:val="19"/>
          <w:szCs w:val="19"/>
          <w:color w:val="auto"/>
        </w:rPr>
      </w:pPr>
      <w:r>
        <w:rPr>
          <w:rFonts w:ascii="Arial" w:cs="Arial" w:eastAsia="Arial" w:hAnsi="Arial"/>
          <w:sz w:val="19"/>
          <w:szCs w:val="19"/>
          <w:color w:val="auto"/>
        </w:rPr>
        <w:t>severance pay at a rate equal to Executive’s Base Salary, as then in effect, for twelve (12) months (the “</w:t>
      </w:r>
      <w:r>
        <w:rPr>
          <w:rFonts w:ascii="Arial" w:cs="Arial" w:eastAsia="Arial" w:hAnsi="Arial"/>
          <w:sz w:val="19"/>
          <w:szCs w:val="19"/>
          <w:b w:val="1"/>
          <w:bCs w:val="1"/>
          <w:i w:val="1"/>
          <w:iCs w:val="1"/>
          <w:color w:val="auto"/>
        </w:rPr>
        <w:t>Severance Period</w:t>
      </w:r>
      <w:r>
        <w:rPr>
          <w:rFonts w:ascii="Arial" w:cs="Arial" w:eastAsia="Arial" w:hAnsi="Arial"/>
          <w:sz w:val="19"/>
          <w:szCs w:val="19"/>
          <w:color w:val="auto"/>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5"/>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885"/>
          </w:cols>
          <w:pgMar w:left="635" w:top="767" w:right="379" w:bottom="1440" w:gutter="0" w:footer="0" w:header="0"/>
        </w:sectPr>
      </w:pPr>
    </w:p>
    <w:bookmarkStart w:id="134" w:name="page135"/>
    <w:bookmarkEnd w:id="134"/>
    <w:p>
      <w:pPr>
        <w:jc w:val="both"/>
        <w:ind w:left="995" w:hanging="495"/>
        <w:spacing w:after="0" w:line="289" w:lineRule="auto"/>
        <w:tabs>
          <w:tab w:leader="none" w:pos="993"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If Executive elects continuation coverage pursuant to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Executive and Executive’s eligible dependents, within the time period prescribed pursuant to COBRA, the Company will reimburse Executive for</w:t>
      </w:r>
    </w:p>
    <w:p>
      <w:pPr>
        <w:spacing w:after="0" w:line="2" w:lineRule="exact"/>
        <w:rPr>
          <w:rFonts w:ascii="Arial" w:cs="Arial" w:eastAsia="Arial" w:hAnsi="Arial"/>
          <w:sz w:val="19"/>
          <w:szCs w:val="19"/>
          <w:color w:val="auto"/>
        </w:rPr>
      </w:pPr>
    </w:p>
    <w:p>
      <w:pPr>
        <w:ind w:left="995"/>
        <w:spacing w:after="0" w:line="285" w:lineRule="auto"/>
        <w:rPr>
          <w:rFonts w:ascii="Arial" w:cs="Arial" w:eastAsia="Arial" w:hAnsi="Arial"/>
          <w:sz w:val="19"/>
          <w:szCs w:val="19"/>
          <w:color w:val="auto"/>
        </w:rPr>
      </w:pPr>
      <w:r>
        <w:rPr>
          <w:rFonts w:ascii="Arial" w:cs="Arial" w:eastAsia="Arial" w:hAnsi="Arial"/>
          <w:sz w:val="19"/>
          <w:szCs w:val="19"/>
          <w:color w:val="auto"/>
        </w:rPr>
        <w:t>the COBRA premiums for such coverage (at the coverage levels in effect immediately prior to Executive’s termination or resignation) until the earlier of (A) the end of the Severance</w:t>
      </w:r>
    </w:p>
    <w:p>
      <w:pPr>
        <w:jc w:val="both"/>
        <w:ind w:left="955"/>
        <w:spacing w:after="0" w:line="292" w:lineRule="auto"/>
        <w:rPr>
          <w:rFonts w:ascii="Arial" w:cs="Arial" w:eastAsia="Arial" w:hAnsi="Arial"/>
          <w:sz w:val="19"/>
          <w:szCs w:val="19"/>
          <w:color w:val="auto"/>
        </w:rPr>
      </w:pPr>
      <w:r>
        <w:rPr>
          <w:rFonts w:ascii="Arial" w:cs="Arial" w:eastAsia="Arial" w:hAnsi="Arial"/>
          <w:sz w:val="19"/>
          <w:szCs w:val="19"/>
          <w:color w:val="auto"/>
        </w:rPr>
        <w:t>Period, or (B) the date upon which Executive and/or Executive’s eligible dependents become covered under similar plans. COBRA reimbursements will be made by the Company to Executive consistent with the</w:t>
      </w:r>
    </w:p>
    <w:p>
      <w:pPr>
        <w:jc w:val="both"/>
        <w:ind w:left="955"/>
        <w:spacing w:after="0" w:line="302" w:lineRule="auto"/>
        <w:rPr>
          <w:rFonts w:ascii="Arial" w:cs="Arial" w:eastAsia="Arial" w:hAnsi="Arial"/>
          <w:sz w:val="19"/>
          <w:szCs w:val="19"/>
          <w:color w:val="auto"/>
        </w:rPr>
      </w:pPr>
      <w:r>
        <w:rPr>
          <w:rFonts w:ascii="Arial" w:cs="Arial" w:eastAsia="Arial" w:hAnsi="Arial"/>
          <w:sz w:val="19"/>
          <w:szCs w:val="19"/>
          <w:color w:val="auto"/>
        </w:rPr>
        <w:t>Company’s normal expense reimbursement policy and will be taxable to the extent required to avoid adverse consequences to Executive or the Company under either Code Section 105(h) or the Patient Protection and Affordable Care Act of 2010.</w:t>
      </w:r>
    </w:p>
    <w:p>
      <w:pPr>
        <w:spacing w:after="0" w:line="109" w:lineRule="exact"/>
        <w:rPr>
          <w:rFonts w:ascii="Arial" w:cs="Arial" w:eastAsia="Arial" w:hAnsi="Arial"/>
          <w:sz w:val="19"/>
          <w:szCs w:val="19"/>
          <w:color w:val="auto"/>
        </w:rPr>
      </w:pPr>
    </w:p>
    <w:p>
      <w:pPr>
        <w:ind w:left="295" w:hanging="295"/>
        <w:spacing w:after="0"/>
        <w:tabs>
          <w:tab w:leader="none" w:pos="295"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without Cause or Resignation for Good Reason within the</w:t>
      </w:r>
    </w:p>
    <w:p>
      <w:pPr>
        <w:spacing w:after="0" w:line="42" w:lineRule="exact"/>
        <w:rPr>
          <w:sz w:val="20"/>
          <w:szCs w:val="20"/>
          <w:color w:val="auto"/>
        </w:rPr>
      </w:pPr>
    </w:p>
    <w:p>
      <w:pPr>
        <w:jc w:val="both"/>
        <w:ind w:left="315" w:firstLine="3005"/>
        <w:spacing w:after="0" w:line="300" w:lineRule="auto"/>
        <w:rPr>
          <w:sz w:val="20"/>
          <w:szCs w:val="20"/>
          <w:color w:val="auto"/>
        </w:rPr>
      </w:pPr>
      <w:r>
        <w:rPr>
          <w:rFonts w:ascii="Arial" w:cs="Arial" w:eastAsia="Arial" w:hAnsi="Arial"/>
          <w:sz w:val="19"/>
          <w:szCs w:val="19"/>
          <w:b w:val="1"/>
          <w:bCs w:val="1"/>
          <w:u w:val="single" w:color="auto"/>
          <w:color w:val="auto"/>
        </w:rPr>
        <w:t>Change in Control Protection Period</w:t>
      </w:r>
      <w:r>
        <w:rPr>
          <w:rFonts w:ascii="Arial" w:cs="Arial" w:eastAsia="Arial" w:hAnsi="Arial"/>
          <w:sz w:val="19"/>
          <w:szCs w:val="19"/>
          <w:color w:val="auto"/>
        </w:rPr>
        <w:t>. If, during the Change in Control Protection</w:t>
      </w:r>
      <w:r>
        <w:rPr>
          <w:rFonts w:ascii="Arial" w:cs="Arial" w:eastAsia="Arial" w:hAnsi="Arial"/>
          <w:sz w:val="19"/>
          <w:szCs w:val="19"/>
          <w:b w:val="1"/>
          <w:bCs w:val="1"/>
          <w:color w:val="auto"/>
        </w:rPr>
        <w:t xml:space="preserve"> </w:t>
      </w:r>
      <w:r>
        <w:rPr>
          <w:rFonts w:ascii="Arial" w:cs="Arial" w:eastAsia="Arial" w:hAnsi="Arial"/>
          <w:sz w:val="19"/>
          <w:szCs w:val="19"/>
          <w:color w:val="auto"/>
        </w:rPr>
        <w:t>Period, (x) the Company terminates Executive’s employment 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spacing w:after="0" w:line="139" w:lineRule="exact"/>
        <w:rPr>
          <w:sz w:val="20"/>
          <w:szCs w:val="20"/>
          <w:color w:val="auto"/>
        </w:rPr>
      </w:pPr>
    </w:p>
    <w:p>
      <w:pPr>
        <w:ind w:left="975" w:hanging="498"/>
        <w:spacing w:after="0"/>
        <w:tabs>
          <w:tab w:leader="none" w:pos="97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Accrued Compensation</w:t>
      </w:r>
      <w:r>
        <w:rPr>
          <w:rFonts w:ascii="Arial" w:cs="Arial" w:eastAsia="Arial" w:hAnsi="Arial"/>
          <w:sz w:val="19"/>
          <w:szCs w:val="19"/>
          <w:color w:val="auto"/>
        </w:rPr>
        <w:t>. The Company will pay Executive all Accrued Benefits.</w:t>
      </w:r>
    </w:p>
    <w:p>
      <w:pPr>
        <w:spacing w:after="0" w:line="209" w:lineRule="exact"/>
        <w:rPr>
          <w:rFonts w:ascii="Arial" w:cs="Arial" w:eastAsia="Arial" w:hAnsi="Arial"/>
          <w:sz w:val="19"/>
          <w:szCs w:val="19"/>
          <w:color w:val="auto"/>
        </w:rPr>
      </w:pPr>
    </w:p>
    <w:p>
      <w:pPr>
        <w:jc w:val="both"/>
        <w:ind w:left="975" w:hanging="498"/>
        <w:spacing w:after="0" w:line="294" w:lineRule="auto"/>
        <w:tabs>
          <w:tab w:leader="none" w:pos="97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In exchange for Executive timely signing and not revoking the Release in accordance with the terms therein and in this Agreement, Executive will receive a lump sum severance payment equal to twelve (12) months (the “</w:t>
      </w:r>
      <w:r>
        <w:rPr>
          <w:rFonts w:ascii="Arial" w:cs="Arial" w:eastAsia="Arial" w:hAnsi="Arial"/>
          <w:sz w:val="19"/>
          <w:szCs w:val="19"/>
          <w:b w:val="1"/>
          <w:bCs w:val="1"/>
          <w:i w:val="1"/>
          <w:iCs w:val="1"/>
          <w:color w:val="auto"/>
        </w:rPr>
        <w:t>CIC Severance Period</w:t>
      </w:r>
      <w:r>
        <w:rPr>
          <w:rFonts w:ascii="Arial" w:cs="Arial" w:eastAsia="Arial" w:hAnsi="Arial"/>
          <w:sz w:val="19"/>
          <w:szCs w:val="19"/>
          <w:color w:val="auto"/>
        </w:rPr>
        <w:t>”) of Executive’s Base Salary as in effect immediately prior to the 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spacing w:after="0" w:line="133" w:lineRule="exact"/>
        <w:rPr>
          <w:rFonts w:ascii="Arial" w:cs="Arial" w:eastAsia="Arial" w:hAnsi="Arial"/>
          <w:sz w:val="19"/>
          <w:szCs w:val="19"/>
          <w:color w:val="auto"/>
        </w:rPr>
      </w:pPr>
    </w:p>
    <w:p>
      <w:pPr>
        <w:jc w:val="both"/>
        <w:ind w:left="975" w:right="20" w:hanging="498"/>
        <w:spacing w:after="0" w:line="292" w:lineRule="auto"/>
        <w:tabs>
          <w:tab w:leader="none" w:pos="96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If Executive elects continuation coverage pursuant to COBRA for Executive and Executive’s eligible dependents, within the time period prescribed pursuant to COBRA, the Company will</w:t>
      </w:r>
    </w:p>
    <w:p>
      <w:pPr>
        <w:jc w:val="both"/>
        <w:ind w:left="975"/>
        <w:spacing w:after="0" w:line="285" w:lineRule="auto"/>
        <w:rPr>
          <w:rFonts w:ascii="Arial" w:cs="Arial" w:eastAsia="Arial" w:hAnsi="Arial"/>
          <w:sz w:val="19"/>
          <w:szCs w:val="19"/>
          <w:color w:val="auto"/>
        </w:rPr>
      </w:pPr>
      <w:r>
        <w:rPr>
          <w:rFonts w:ascii="Arial" w:cs="Arial" w:eastAsia="Arial" w:hAnsi="Arial"/>
          <w:sz w:val="19"/>
          <w:szCs w:val="19"/>
          <w:color w:val="auto"/>
        </w:rPr>
        <w:t>reimburse Executive for the COBRA premiums for such coverage (at the coverage levels in effect immediately prior to Executive’s termination or resignation) until the earlier of (A) the end of the CIC Severance Period, or</w:t>
      </w:r>
    </w:p>
    <w:p>
      <w:pPr>
        <w:ind w:left="975" w:firstLine="5"/>
        <w:spacing w:after="0" w:line="319" w:lineRule="auto"/>
        <w:tabs>
          <w:tab w:leader="none" w:pos="13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date upon which Executive and/or Executive’s eligible dependents become covered under similar plans. COBRA reimbursements will be made by the Company to Executive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55"/>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275"/>
          </w:cols>
          <w:pgMar w:left="1245" w:top="767" w:right="379" w:bottom="1440" w:gutter="0" w:footer="0" w:header="0"/>
        </w:sectPr>
      </w:pPr>
    </w:p>
    <w:bookmarkStart w:id="135" w:name="page136"/>
    <w:bookmarkEnd w:id="135"/>
    <w:p>
      <w:pPr>
        <w:jc w:val="both"/>
        <w:ind w:left="975"/>
        <w:spacing w:after="0" w:line="302" w:lineRule="auto"/>
        <w:rPr>
          <w:sz w:val="20"/>
          <w:szCs w:val="20"/>
          <w:color w:val="auto"/>
        </w:rPr>
      </w:pPr>
      <w:r>
        <w:rPr>
          <w:rFonts w:ascii="Arial" w:cs="Arial" w:eastAsia="Arial" w:hAnsi="Arial"/>
          <w:sz w:val="19"/>
          <w:szCs w:val="19"/>
          <w:color w:val="auto"/>
        </w:rPr>
        <w:t>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49" w:lineRule="exact"/>
        <w:rPr>
          <w:sz w:val="20"/>
          <w:szCs w:val="20"/>
          <w:color w:val="auto"/>
        </w:rPr>
      </w:pPr>
    </w:p>
    <w:p>
      <w:pPr>
        <w:ind w:left="975" w:hanging="498"/>
        <w:spacing w:after="0" w:line="306" w:lineRule="auto"/>
        <w:tabs>
          <w:tab w:leader="none" w:pos="960"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All of Executive’s unvested and outstanding time-based equity awards shall immediately vest and become exercisable as of the date of</w:t>
      </w:r>
    </w:p>
    <w:p>
      <w:pPr>
        <w:jc w:val="both"/>
        <w:ind w:left="955"/>
        <w:spacing w:after="0" w:line="302" w:lineRule="auto"/>
        <w:rPr>
          <w:rFonts w:ascii="Arial" w:cs="Arial" w:eastAsia="Arial" w:hAnsi="Arial"/>
          <w:sz w:val="19"/>
          <w:szCs w:val="19"/>
          <w:color w:val="auto"/>
        </w:rPr>
      </w:pPr>
      <w:r>
        <w:rPr>
          <w:rFonts w:ascii="Arial" w:cs="Arial" w:eastAsia="Arial" w:hAnsi="Arial"/>
          <w:sz w:val="19"/>
          <w:szCs w:val="19"/>
          <w:color w:val="auto"/>
        </w:rPr>
        <w:t>Executive’s termination and any unvested and outstanding performancebased awards shall be subject to the terms and conditions of the Equity Plan and the award agreement by and between Executive and the Company pursuant to which such award was granted.</w:t>
      </w:r>
    </w:p>
    <w:p>
      <w:pPr>
        <w:spacing w:after="0" w:line="109" w:lineRule="exact"/>
        <w:rPr>
          <w:rFonts w:ascii="Arial" w:cs="Arial" w:eastAsia="Arial" w:hAnsi="Arial"/>
          <w:sz w:val="19"/>
          <w:szCs w:val="19"/>
          <w:color w:val="auto"/>
        </w:rPr>
      </w:pPr>
    </w:p>
    <w:p>
      <w:pPr>
        <w:ind w:left="295" w:hanging="295"/>
        <w:spacing w:after="0"/>
        <w:tabs>
          <w:tab w:leader="none" w:pos="295"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Disability; Death; Voluntary Resignation; Termination for Cause</w:t>
      </w:r>
      <w:r>
        <w:rPr>
          <w:rFonts w:ascii="Arial" w:cs="Arial" w:eastAsia="Arial" w:hAnsi="Arial"/>
          <w:sz w:val="19"/>
          <w:szCs w:val="19"/>
          <w:color w:val="auto"/>
        </w:rPr>
        <w:t>. If</w:t>
      </w:r>
    </w:p>
    <w:p>
      <w:pPr>
        <w:spacing w:after="0" w:line="54" w:lineRule="exact"/>
        <w:rPr>
          <w:sz w:val="20"/>
          <w:szCs w:val="20"/>
          <w:color w:val="auto"/>
        </w:rPr>
      </w:pPr>
    </w:p>
    <w:p>
      <w:pPr>
        <w:ind w:left="315"/>
        <w:spacing w:after="0"/>
        <w:rPr>
          <w:sz w:val="20"/>
          <w:szCs w:val="20"/>
          <w:color w:val="auto"/>
        </w:rPr>
      </w:pPr>
      <w:r>
        <w:rPr>
          <w:rFonts w:ascii="Arial" w:cs="Arial" w:eastAsia="Arial" w:hAnsi="Arial"/>
          <w:sz w:val="19"/>
          <w:szCs w:val="19"/>
          <w:color w:val="auto"/>
        </w:rPr>
        <w:t>Executive’s employment with the Company is terminated due to (i) Executive becoming Disabled or Executive’s death,</w:t>
      </w:r>
    </w:p>
    <w:p>
      <w:pPr>
        <w:spacing w:after="0" w:line="41" w:lineRule="exact"/>
        <w:rPr>
          <w:sz w:val="20"/>
          <w:szCs w:val="20"/>
          <w:color w:val="auto"/>
        </w:rPr>
      </w:pPr>
    </w:p>
    <w:p>
      <w:pPr>
        <w:jc w:val="both"/>
        <w:ind w:left="335" w:hanging="2"/>
        <w:spacing w:after="0" w:line="293" w:lineRule="auto"/>
        <w:tabs>
          <w:tab w:leader="none" w:pos="619"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133" w:lineRule="exact"/>
        <w:rPr>
          <w:rFonts w:ascii="Arial" w:cs="Arial" w:eastAsia="Arial" w:hAnsi="Arial"/>
          <w:sz w:val="19"/>
          <w:szCs w:val="19"/>
          <w:color w:val="auto"/>
        </w:rPr>
      </w:pPr>
    </w:p>
    <w:p>
      <w:pPr>
        <w:jc w:val="both"/>
        <w:ind w:left="315" w:hanging="315"/>
        <w:spacing w:after="0" w:line="309" w:lineRule="auto"/>
        <w:tabs>
          <w:tab w:leader="none" w:pos="305"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Timing of Payments</w:t>
      </w:r>
      <w:r>
        <w:rPr>
          <w:rFonts w:ascii="Arial" w:cs="Arial" w:eastAsia="Arial" w:hAnsi="Arial"/>
          <w:sz w:val="19"/>
          <w:szCs w:val="19"/>
          <w:color w:val="auto"/>
        </w:rPr>
        <w:t>. Subject to any specific timing provisions in Section 6(a), 6(b), or 6(c), as applicable, 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Section 7, payment of the severance and benefits hereunder shall be made or commence to be made as soon as practicable following Executive’s termination of employment.</w:t>
      </w:r>
    </w:p>
    <w:p>
      <w:pPr>
        <w:spacing w:after="0" w:line="116" w:lineRule="exact"/>
        <w:rPr>
          <w:rFonts w:ascii="Arial" w:cs="Arial" w:eastAsia="Arial" w:hAnsi="Arial"/>
          <w:sz w:val="19"/>
          <w:szCs w:val="19"/>
          <w:color w:val="auto"/>
        </w:rPr>
      </w:pPr>
    </w:p>
    <w:p>
      <w:pPr>
        <w:jc w:val="both"/>
        <w:ind w:left="315" w:hanging="315"/>
        <w:spacing w:after="0" w:line="288" w:lineRule="auto"/>
        <w:tabs>
          <w:tab w:leader="none" w:pos="305"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Exclusive Remedy</w:t>
      </w:r>
      <w:r>
        <w:rPr>
          <w:rFonts w:ascii="Arial" w:cs="Arial" w:eastAsia="Arial" w:hAnsi="Arial"/>
          <w:sz w:val="19"/>
          <w:szCs w:val="19"/>
          <w:color w:val="auto"/>
        </w:rPr>
        <w:t>. In the event of a termination of Executive’s employment with the Company (or any parent,</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w:t>
      </w:r>
    </w:p>
    <w:p>
      <w:pPr>
        <w:spacing w:after="0" w:line="2" w:lineRule="exact"/>
        <w:rPr>
          <w:rFonts w:ascii="Arial" w:cs="Arial" w:eastAsia="Arial" w:hAnsi="Arial"/>
          <w:sz w:val="19"/>
          <w:szCs w:val="19"/>
          <w:color w:val="auto"/>
        </w:rPr>
      </w:pPr>
    </w:p>
    <w:p>
      <w:pPr>
        <w:jc w:val="both"/>
        <w:ind w:left="315"/>
        <w:spacing w:after="0" w:line="296" w:lineRule="auto"/>
        <w:rPr>
          <w:rFonts w:ascii="Arial" w:cs="Arial" w:eastAsia="Arial" w:hAnsi="Arial"/>
          <w:sz w:val="19"/>
          <w:szCs w:val="19"/>
          <w:color w:val="auto"/>
        </w:rPr>
      </w:pPr>
      <w:r>
        <w:rPr>
          <w:rFonts w:ascii="Arial" w:cs="Arial" w:eastAsia="Arial" w:hAnsi="Arial"/>
          <w:sz w:val="19"/>
          <w:szCs w:val="19"/>
          <w:color w:val="auto"/>
        </w:rPr>
        <w:t>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spacing w:after="0" w:line="142" w:lineRule="exact"/>
        <w:rPr>
          <w:rFonts w:ascii="Arial" w:cs="Arial" w:eastAsia="Arial" w:hAnsi="Arial"/>
          <w:sz w:val="19"/>
          <w:szCs w:val="19"/>
          <w:color w:val="auto"/>
        </w:rPr>
      </w:pPr>
    </w:p>
    <w:p>
      <w:pPr>
        <w:ind w:left="315" w:hanging="315"/>
        <w:spacing w:after="0" w:line="319" w:lineRule="auto"/>
        <w:tabs>
          <w:tab w:leader="none" w:pos="304"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No Duty to Mitigate</w:t>
      </w:r>
      <w:r>
        <w:rPr>
          <w:rFonts w:ascii="Arial" w:cs="Arial" w:eastAsia="Arial" w:hAnsi="Arial"/>
          <w:sz w:val="19"/>
          <w:szCs w:val="19"/>
          <w:color w:val="auto"/>
        </w:rPr>
        <w:t>. Executive will not be required to mitigate the amount of any payment contemplated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nor will any earnings that Executive may receive from any other source reduce any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55"/>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275"/>
          </w:cols>
          <w:pgMar w:left="1245" w:top="767" w:right="379" w:bottom="1440" w:gutter="0" w:footer="0" w:header="0"/>
        </w:sectPr>
      </w:pPr>
    </w:p>
    <w:bookmarkStart w:id="136" w:name="page137"/>
    <w:bookmarkEnd w:id="136"/>
    <w:p>
      <w:pPr>
        <w:ind w:left="320" w:hanging="311"/>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to Receipt of Severance</w:t>
      </w:r>
      <w:r>
        <w:rPr>
          <w:rFonts w:ascii="Arial" w:cs="Arial" w:eastAsia="Arial" w:hAnsi="Arial"/>
          <w:sz w:val="19"/>
          <w:szCs w:val="19"/>
          <w:color w:val="auto"/>
        </w:rPr>
        <w:t>.</w:t>
      </w:r>
    </w:p>
    <w:p>
      <w:pPr>
        <w:spacing w:after="0" w:line="222" w:lineRule="exact"/>
        <w:rPr>
          <w:rFonts w:ascii="Arial" w:cs="Arial" w:eastAsia="Arial" w:hAnsi="Arial"/>
          <w:sz w:val="19"/>
          <w:szCs w:val="19"/>
          <w:color w:val="auto"/>
        </w:rPr>
      </w:pPr>
    </w:p>
    <w:p>
      <w:pPr>
        <w:jc w:val="both"/>
        <w:ind w:left="940" w:hanging="315"/>
        <w:spacing w:after="0" w:line="289" w:lineRule="auto"/>
        <w:tabs>
          <w:tab w:leader="none" w:pos="930" w:val="left"/>
        </w:tabs>
        <w:numPr>
          <w:ilvl w:val="1"/>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of Claims Agreement</w:t>
      </w:r>
      <w:r>
        <w:rPr>
          <w:rFonts w:ascii="Arial" w:cs="Arial" w:eastAsia="Arial" w:hAnsi="Arial"/>
          <w:sz w:val="19"/>
          <w:szCs w:val="19"/>
          <w:color w:val="auto"/>
        </w:rPr>
        <w:t>. The receipt of any severance payments or benefits pursuant to Section 6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is subject to Executive signing and not revoking a separation agreement and release of claims in a form substantially similar, as determined by the Company, as that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must become effective no later than the sixtieth (60th) day following Executive’s termination of employment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w:t>
      </w:r>
    </w:p>
    <w:p>
      <w:pPr>
        <w:spacing w:after="0" w:line="1" w:lineRule="exact"/>
        <w:rPr>
          <w:rFonts w:ascii="Arial" w:cs="Arial" w:eastAsia="Arial" w:hAnsi="Arial"/>
          <w:sz w:val="19"/>
          <w:szCs w:val="19"/>
          <w:color w:val="auto"/>
        </w:rPr>
      </w:pPr>
    </w:p>
    <w:p>
      <w:pPr>
        <w:jc w:val="both"/>
        <w:ind w:left="940"/>
        <w:spacing w:after="0" w:line="288" w:lineRule="auto"/>
        <w:rPr>
          <w:rFonts w:ascii="Arial" w:cs="Arial" w:eastAsia="Arial" w:hAnsi="Arial"/>
          <w:sz w:val="19"/>
          <w:szCs w:val="19"/>
          <w:color w:val="auto"/>
        </w:rPr>
      </w:pPr>
      <w:r>
        <w:rPr>
          <w:rFonts w:ascii="Arial" w:cs="Arial" w:eastAsia="Arial" w:hAnsi="Arial"/>
          <w:sz w:val="19"/>
          <w:szCs w:val="19"/>
          <w:color w:val="auto"/>
        </w:rPr>
        <w:t>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w:t>
      </w:r>
    </w:p>
    <w:p>
      <w:pPr>
        <w:jc w:val="both"/>
        <w:ind w:left="940"/>
        <w:spacing w:after="0" w:line="296" w:lineRule="auto"/>
        <w:rPr>
          <w:rFonts w:ascii="Arial" w:cs="Arial" w:eastAsia="Arial" w:hAnsi="Arial"/>
          <w:sz w:val="19"/>
          <w:szCs w:val="19"/>
          <w:color w:val="auto"/>
        </w:rPr>
      </w:pPr>
      <w:r>
        <w:rPr>
          <w:rFonts w:ascii="Arial" w:cs="Arial" w:eastAsia="Arial" w:hAnsi="Arial"/>
          <w:sz w:val="19"/>
          <w:szCs w:val="19"/>
          <w:color w:val="auto"/>
        </w:rPr>
        <w:t>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68" w:lineRule="exact"/>
        <w:rPr>
          <w:rFonts w:ascii="Arial" w:cs="Arial" w:eastAsia="Arial" w:hAnsi="Arial"/>
          <w:sz w:val="19"/>
          <w:szCs w:val="19"/>
          <w:color w:val="auto"/>
        </w:rPr>
      </w:pPr>
    </w:p>
    <w:p>
      <w:pPr>
        <w:ind w:left="940" w:hanging="315"/>
        <w:spacing w:after="0" w:line="319" w:lineRule="auto"/>
        <w:tabs>
          <w:tab w:leader="none" w:pos="930" w:val="left"/>
        </w:tabs>
        <w:numPr>
          <w:ilvl w:val="1"/>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Executive’s receipt of any payments or benefits under Section 6 will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continuing to comply with the terms of the Confidentiality Agreement (as defined in Section 11(a) below).</w:t>
      </w:r>
    </w:p>
    <w:p>
      <w:pPr>
        <w:spacing w:after="0" w:line="107" w:lineRule="exact"/>
        <w:rPr>
          <w:rFonts w:ascii="Arial" w:cs="Arial" w:eastAsia="Arial" w:hAnsi="Arial"/>
          <w:sz w:val="19"/>
          <w:szCs w:val="19"/>
          <w:color w:val="auto"/>
        </w:rPr>
      </w:pPr>
    </w:p>
    <w:p>
      <w:pPr>
        <w:ind w:left="920" w:hanging="295"/>
        <w:spacing w:after="0"/>
        <w:tabs>
          <w:tab w:leader="none" w:pos="920" w:val="left"/>
        </w:tabs>
        <w:numPr>
          <w:ilvl w:val="1"/>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w:t>
      </w:r>
    </w:p>
    <w:p>
      <w:pPr>
        <w:spacing w:after="0" w:line="209" w:lineRule="exact"/>
        <w:rPr>
          <w:rFonts w:ascii="Arial" w:cs="Arial" w:eastAsia="Arial" w:hAnsi="Arial"/>
          <w:sz w:val="19"/>
          <w:szCs w:val="19"/>
          <w:color w:val="auto"/>
        </w:rPr>
      </w:pPr>
    </w:p>
    <w:p>
      <w:pPr>
        <w:jc w:val="both"/>
        <w:ind w:left="1600" w:hanging="503"/>
        <w:spacing w:after="0" w:line="292" w:lineRule="auto"/>
        <w:tabs>
          <w:tab w:leader="none" w:pos="1595" w:val="left"/>
        </w:tabs>
        <w:numPr>
          <w:ilvl w:val="2"/>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severance pay or benefits to be paid or provided to Executive, if any, pursuant to this Agreement that, when considered together with any other</w:t>
      </w:r>
    </w:p>
    <w:p>
      <w:pPr>
        <w:jc w:val="both"/>
        <w:ind w:left="1600"/>
        <w:spacing w:after="0" w:line="288" w:lineRule="auto"/>
        <w:rPr>
          <w:rFonts w:ascii="Arial" w:cs="Arial" w:eastAsia="Arial" w:hAnsi="Arial"/>
          <w:sz w:val="19"/>
          <w:szCs w:val="19"/>
          <w:color w:val="auto"/>
        </w:rPr>
      </w:pPr>
      <w:r>
        <w:rPr>
          <w:rFonts w:ascii="Arial" w:cs="Arial" w:eastAsia="Arial" w:hAnsi="Arial"/>
          <w:sz w:val="19"/>
          <w:szCs w:val="19"/>
          <w:color w:val="auto"/>
        </w:rPr>
        <w:t>severance payments or separation benefits, are considered deferred compensation not exempt under Section 409A (together, the “</w:t>
      </w:r>
      <w:r>
        <w:rPr>
          <w:rFonts w:ascii="Arial" w:cs="Arial" w:eastAsia="Arial" w:hAnsi="Arial"/>
          <w:sz w:val="19"/>
          <w:szCs w:val="19"/>
          <w:b w:val="1"/>
          <w:bCs w:val="1"/>
          <w:i w:val="1"/>
          <w:iCs w:val="1"/>
          <w:color w:val="auto"/>
        </w:rPr>
        <w:t>Deferred Payments</w:t>
      </w:r>
      <w:r>
        <w:rPr>
          <w:rFonts w:ascii="Arial" w:cs="Arial" w:eastAsia="Arial" w:hAnsi="Arial"/>
          <w:sz w:val="19"/>
          <w:szCs w:val="19"/>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w:t>
      </w:r>
    </w:p>
    <w:p>
      <w:pPr>
        <w:spacing w:after="0" w:line="2" w:lineRule="exact"/>
        <w:rPr>
          <w:rFonts w:ascii="Arial" w:cs="Arial" w:eastAsia="Arial" w:hAnsi="Arial"/>
          <w:sz w:val="19"/>
          <w:szCs w:val="19"/>
          <w:color w:val="auto"/>
        </w:rPr>
      </w:pPr>
    </w:p>
    <w:p>
      <w:pPr>
        <w:ind w:left="1600"/>
        <w:spacing w:after="0" w:line="319" w:lineRule="auto"/>
        <w:rPr>
          <w:rFonts w:ascii="Arial" w:cs="Arial" w:eastAsia="Arial" w:hAnsi="Arial"/>
          <w:sz w:val="19"/>
          <w:szCs w:val="19"/>
          <w:color w:val="auto"/>
        </w:rPr>
      </w:pPr>
      <w:r>
        <w:rPr>
          <w:rFonts w:ascii="Arial" w:cs="Arial" w:eastAsia="Arial" w:hAnsi="Arial"/>
          <w:sz w:val="19"/>
          <w:szCs w:val="19"/>
          <w:color w:val="auto"/>
        </w:rPr>
        <w:t>service” within the meaning of Section 409A. Similarly, no severance payable to Executive, if any, pursuant to this Agreement that otherwise would be exempt from Section 409A pursuant to Treasury Regulation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900"/>
          </w:cols>
          <w:pgMar w:left="620" w:top="754" w:right="379" w:bottom="1440" w:gutter="0" w:footer="0" w:header="0"/>
        </w:sectPr>
      </w:pPr>
    </w:p>
    <w:bookmarkStart w:id="137" w:name="page138"/>
    <w:bookmarkEnd w:id="137"/>
    <w:p>
      <w:pPr>
        <w:ind w:left="760"/>
        <w:spacing w:after="0"/>
        <w:rPr>
          <w:sz w:val="20"/>
          <w:szCs w:val="20"/>
          <w:color w:val="auto"/>
        </w:rPr>
      </w:pPr>
      <w:r>
        <w:rPr>
          <w:rFonts w:ascii="Arial" w:cs="Arial" w:eastAsia="Arial" w:hAnsi="Arial"/>
          <w:sz w:val="19"/>
          <w:szCs w:val="19"/>
          <w:color w:val="auto"/>
        </w:rPr>
        <w:t>1.409A-1(b)(9) will be payable until Executive has a “separation from service” within the meaning of Section</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409A.</w:t>
      </w:r>
    </w:p>
    <w:p>
      <w:pPr>
        <w:spacing w:after="0" w:line="210" w:lineRule="exact"/>
        <w:rPr>
          <w:sz w:val="20"/>
          <w:szCs w:val="20"/>
          <w:color w:val="auto"/>
        </w:rPr>
      </w:pPr>
    </w:p>
    <w:p>
      <w:pPr>
        <w:jc w:val="both"/>
        <w:ind w:left="780" w:hanging="503"/>
        <w:spacing w:after="0" w:line="289" w:lineRule="auto"/>
        <w:tabs>
          <w:tab w:leader="none" w:pos="778"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Executive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within the meaning of Section 409A at the time of Executive’s termination of employment (other than due to death), then the Deferred Payments, if any, that are payable within the first six (6) months following Executive’s separation</w:t>
      </w:r>
    </w:p>
    <w:p>
      <w:pPr>
        <w:spacing w:after="0" w:line="2" w:lineRule="exact"/>
        <w:rPr>
          <w:rFonts w:ascii="Arial" w:cs="Arial" w:eastAsia="Arial" w:hAnsi="Arial"/>
          <w:sz w:val="19"/>
          <w:szCs w:val="19"/>
          <w:color w:val="auto"/>
        </w:rPr>
      </w:pPr>
    </w:p>
    <w:p>
      <w:pPr>
        <w:jc w:val="both"/>
        <w:ind w:left="780"/>
        <w:spacing w:after="0" w:line="302" w:lineRule="auto"/>
        <w:rPr>
          <w:rFonts w:ascii="Arial" w:cs="Arial" w:eastAsia="Arial" w:hAnsi="Arial"/>
          <w:sz w:val="19"/>
          <w:szCs w:val="19"/>
          <w:color w:val="auto"/>
        </w:rPr>
      </w:pPr>
      <w:r>
        <w:rPr>
          <w:rFonts w:ascii="Arial" w:cs="Arial" w:eastAsia="Arial" w:hAnsi="Arial"/>
          <w:sz w:val="19"/>
          <w:szCs w:val="19"/>
          <w:color w:val="auto"/>
        </w:rPr>
        <w:t>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w:t>
      </w:r>
    </w:p>
    <w:p>
      <w:pPr>
        <w:spacing w:after="0" w:line="110" w:lineRule="exact"/>
        <w:rPr>
          <w:sz w:val="20"/>
          <w:szCs w:val="20"/>
          <w:color w:val="auto"/>
        </w:rPr>
      </w:pPr>
    </w:p>
    <w:p>
      <w:pPr>
        <w:jc w:val="both"/>
        <w:ind w:left="760" w:firstLine="3092"/>
        <w:spacing w:after="0" w:line="300" w:lineRule="auto"/>
        <w:rPr>
          <w:sz w:val="20"/>
          <w:szCs w:val="20"/>
          <w:color w:val="auto"/>
        </w:rPr>
      </w:pPr>
      <w:r>
        <w:rPr>
          <w:rFonts w:ascii="Arial" w:cs="Arial" w:eastAsia="Arial" w:hAnsi="Arial"/>
          <w:sz w:val="19"/>
          <w:szCs w:val="19"/>
          <w:color w:val="auto"/>
        </w:rPr>
        <w:t>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26" w:lineRule="exact"/>
        <w:rPr>
          <w:sz w:val="20"/>
          <w:szCs w:val="20"/>
          <w:color w:val="auto"/>
        </w:rPr>
      </w:pPr>
    </w:p>
    <w:p>
      <w:pPr>
        <w:jc w:val="both"/>
        <w:ind w:left="780" w:hanging="503"/>
        <w:spacing w:after="0" w:line="302" w:lineRule="auto"/>
        <w:tabs>
          <w:tab w:leader="none" w:pos="769"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22" w:lineRule="exact"/>
        <w:rPr>
          <w:rFonts w:ascii="Arial" w:cs="Arial" w:eastAsia="Arial" w:hAnsi="Arial"/>
          <w:sz w:val="19"/>
          <w:szCs w:val="19"/>
          <w:color w:val="auto"/>
        </w:rPr>
      </w:pPr>
    </w:p>
    <w:p>
      <w:pPr>
        <w:ind w:left="760" w:hanging="483"/>
        <w:spacing w:after="0"/>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qualifies as a payment made as a result of an</w:t>
      </w:r>
    </w:p>
    <w:p>
      <w:pPr>
        <w:spacing w:after="0" w:line="54" w:lineRule="exact"/>
        <w:rPr>
          <w:rFonts w:ascii="Arial" w:cs="Arial" w:eastAsia="Arial" w:hAnsi="Arial"/>
          <w:sz w:val="19"/>
          <w:szCs w:val="19"/>
          <w:color w:val="auto"/>
        </w:rPr>
      </w:pPr>
    </w:p>
    <w:p>
      <w:pPr>
        <w:jc w:val="both"/>
        <w:ind w:left="780"/>
        <w:spacing w:after="0" w:line="296" w:lineRule="auto"/>
        <w:rPr>
          <w:rFonts w:ascii="Arial" w:cs="Arial" w:eastAsia="Arial" w:hAnsi="Arial"/>
          <w:sz w:val="19"/>
          <w:szCs w:val="19"/>
          <w:color w:val="auto"/>
        </w:rPr>
      </w:pPr>
      <w:r>
        <w:rPr>
          <w:rFonts w:ascii="Arial" w:cs="Arial" w:eastAsia="Arial" w:hAnsi="Arial"/>
          <w:sz w:val="19"/>
          <w:szCs w:val="19"/>
          <w:color w:val="auto"/>
        </w:rPr>
        <w:t>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29" w:lineRule="exact"/>
        <w:rPr>
          <w:rFonts w:ascii="Arial" w:cs="Arial" w:eastAsia="Arial" w:hAnsi="Arial"/>
          <w:sz w:val="19"/>
          <w:szCs w:val="19"/>
          <w:color w:val="auto"/>
        </w:rPr>
      </w:pPr>
    </w:p>
    <w:p>
      <w:pPr>
        <w:ind w:left="760" w:hanging="483"/>
        <w:spacing w:after="0"/>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To  the  extent  that  reimbursements  or  in-kind  benefits  under  this  Agreement  constitute  non-exempt</w:t>
      </w:r>
    </w:p>
    <w:p>
      <w:pPr>
        <w:spacing w:after="0" w:line="54" w:lineRule="exact"/>
        <w:rPr>
          <w:rFonts w:ascii="Arial" w:cs="Arial" w:eastAsia="Arial" w:hAnsi="Arial"/>
          <w:sz w:val="19"/>
          <w:szCs w:val="19"/>
          <w:color w:val="auto"/>
        </w:rPr>
      </w:pPr>
    </w:p>
    <w:p>
      <w:pPr>
        <w:jc w:val="both"/>
        <w:ind w:left="780"/>
        <w:spacing w:after="0" w:line="297" w:lineRule="auto"/>
        <w:rPr>
          <w:rFonts w:ascii="Arial" w:cs="Arial" w:eastAsia="Arial" w:hAnsi="Arial"/>
          <w:sz w:val="19"/>
          <w:szCs w:val="19"/>
          <w:color w:val="auto"/>
        </w:rPr>
      </w:pPr>
      <w:r>
        <w:rPr>
          <w:rFonts w:ascii="Arial" w:cs="Arial" w:eastAsia="Arial" w:hAnsi="Arial"/>
          <w:sz w:val="19"/>
          <w:szCs w:val="19"/>
          <w:color w:val="auto"/>
        </w:rPr>
        <w:t>“nonqualified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080"/>
          </w:cols>
          <w:pgMar w:left="1440" w:top="767" w:right="379" w:bottom="1440" w:gutter="0" w:footer="0" w:header="0"/>
        </w:sectPr>
      </w:pPr>
    </w:p>
    <w:bookmarkStart w:id="138" w:name="page139"/>
    <w:bookmarkEnd w:id="138"/>
    <w:p>
      <w:pPr>
        <w:ind w:left="1600"/>
        <w:spacing w:after="0" w:line="319" w:lineRule="auto"/>
        <w:rPr>
          <w:sz w:val="20"/>
          <w:szCs w:val="20"/>
          <w:color w:val="auto"/>
        </w:rPr>
      </w:pPr>
      <w:r>
        <w:rPr>
          <w:rFonts w:ascii="Arial" w:cs="Arial" w:eastAsia="Arial" w:hAnsi="Arial"/>
          <w:sz w:val="19"/>
          <w:szCs w:val="19"/>
          <w:color w:val="auto"/>
        </w:rPr>
        <w:t>calendar year shall not in any way affect the expenses eligible for reimbursement or in-kind benefits to be provided, in any other calendar year.</w:t>
      </w:r>
    </w:p>
    <w:p>
      <w:pPr>
        <w:spacing w:after="0" w:line="107" w:lineRule="exact"/>
        <w:rPr>
          <w:sz w:val="20"/>
          <w:szCs w:val="20"/>
          <w:color w:val="auto"/>
        </w:rPr>
      </w:pPr>
    </w:p>
    <w:p>
      <w:pPr>
        <w:ind w:left="1600" w:hanging="503"/>
        <w:spacing w:after="0"/>
        <w:tabs>
          <w:tab w:leader="none" w:pos="1600" w:val="left"/>
        </w:tabs>
        <w:numPr>
          <w:ilvl w:val="2"/>
          <w:numId w:val="62"/>
        </w:numPr>
        <w:rPr>
          <w:rFonts w:ascii="Arial" w:cs="Arial" w:eastAsia="Arial" w:hAnsi="Arial"/>
          <w:sz w:val="19"/>
          <w:szCs w:val="19"/>
          <w:color w:val="auto"/>
        </w:rPr>
      </w:pPr>
      <w:r>
        <w:rPr>
          <w:rFonts w:ascii="Arial" w:cs="Arial" w:eastAsia="Arial" w:hAnsi="Arial"/>
          <w:sz w:val="19"/>
          <w:szCs w:val="19"/>
          <w:color w:val="auto"/>
        </w:rPr>
        <w:t>The payments and benefits provided under Sections 6(a) and 6(b) are intended to be exempt from or comply</w:t>
      </w:r>
    </w:p>
    <w:p>
      <w:pPr>
        <w:spacing w:after="0" w:line="54" w:lineRule="exact"/>
        <w:rPr>
          <w:rFonts w:ascii="Arial" w:cs="Arial" w:eastAsia="Arial" w:hAnsi="Arial"/>
          <w:sz w:val="19"/>
          <w:szCs w:val="19"/>
          <w:color w:val="auto"/>
        </w:rPr>
      </w:pPr>
    </w:p>
    <w:p>
      <w:pPr>
        <w:jc w:val="both"/>
        <w:ind w:left="1600"/>
        <w:spacing w:after="0" w:line="288" w:lineRule="auto"/>
        <w:rPr>
          <w:rFonts w:ascii="Arial" w:cs="Arial" w:eastAsia="Arial" w:hAnsi="Arial"/>
          <w:sz w:val="19"/>
          <w:szCs w:val="19"/>
          <w:color w:val="auto"/>
        </w:rPr>
      </w:pPr>
      <w:r>
        <w:rPr>
          <w:rFonts w:ascii="Arial" w:cs="Arial" w:eastAsia="Arial" w:hAnsi="Arial"/>
          <w:sz w:val="19"/>
          <w:szCs w:val="19"/>
          <w:color w:val="auto"/>
        </w:rPr>
        <w:t>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w:t>
      </w:r>
    </w:p>
    <w:p>
      <w:pPr>
        <w:spacing w:after="0" w:line="2" w:lineRule="exact"/>
        <w:rPr>
          <w:rFonts w:ascii="Arial" w:cs="Arial" w:eastAsia="Arial" w:hAnsi="Arial"/>
          <w:sz w:val="19"/>
          <w:szCs w:val="19"/>
          <w:color w:val="auto"/>
        </w:rPr>
      </w:pPr>
    </w:p>
    <w:p>
      <w:pPr>
        <w:ind w:left="1600"/>
        <w:spacing w:after="0" w:line="319" w:lineRule="auto"/>
        <w:rPr>
          <w:rFonts w:ascii="Arial" w:cs="Arial" w:eastAsia="Arial" w:hAnsi="Arial"/>
          <w:sz w:val="19"/>
          <w:szCs w:val="19"/>
          <w:color w:val="auto"/>
        </w:rPr>
      </w:pPr>
      <w:r>
        <w:rPr>
          <w:rFonts w:ascii="Arial" w:cs="Arial" w:eastAsia="Arial" w:hAnsi="Arial"/>
          <w:sz w:val="19"/>
          <w:szCs w:val="19"/>
          <w:color w:val="auto"/>
        </w:rPr>
        <w:t>that are necessary, appropriate or desirable to avoid imposition of any additional tax or income recognition prior to actual payment to Executive under Section 409A.</w:t>
      </w:r>
    </w:p>
    <w:p>
      <w:pPr>
        <w:spacing w:after="0" w:line="107" w:lineRule="exact"/>
        <w:rPr>
          <w:rFonts w:ascii="Arial" w:cs="Arial" w:eastAsia="Arial" w:hAnsi="Arial"/>
          <w:sz w:val="19"/>
          <w:szCs w:val="19"/>
          <w:color w:val="auto"/>
        </w:rPr>
      </w:pPr>
    </w:p>
    <w:p>
      <w:pPr>
        <w:ind w:left="620" w:right="1820" w:hanging="611"/>
        <w:spacing w:after="0" w:line="484" w:lineRule="auto"/>
        <w:tabs>
          <w:tab w:leader="none" w:pos="305"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 of Terms</w:t>
      </w:r>
      <w:r>
        <w:rPr>
          <w:rFonts w:ascii="Arial" w:cs="Arial" w:eastAsia="Arial" w:hAnsi="Arial"/>
          <w:sz w:val="19"/>
          <w:szCs w:val="19"/>
          <w:color w:val="auto"/>
        </w:rPr>
        <w:t>. The following terms referred to in this Agreement will have the following meanings: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“Cause” means:</w:t>
      </w:r>
    </w:p>
    <w:p>
      <w:pPr>
        <w:spacing w:after="0" w:line="1" w:lineRule="exact"/>
        <w:rPr>
          <w:sz w:val="20"/>
          <w:szCs w:val="20"/>
          <w:color w:val="auto"/>
        </w:rPr>
      </w:pPr>
    </w:p>
    <w:p>
      <w:pPr>
        <w:ind w:left="1600" w:hanging="485"/>
        <w:spacing w:after="0" w:line="319" w:lineRule="auto"/>
        <w:tabs>
          <w:tab w:leader="none" w:pos="1600" w:val="left"/>
        </w:tabs>
        <w:numPr>
          <w:ilvl w:val="2"/>
          <w:numId w:val="64"/>
        </w:numPr>
        <w:rPr>
          <w:rFonts w:ascii="Arial" w:cs="Arial" w:eastAsia="Arial" w:hAnsi="Arial"/>
          <w:sz w:val="19"/>
          <w:szCs w:val="19"/>
          <w:color w:val="auto"/>
        </w:rPr>
      </w:pPr>
      <w:r>
        <w:rPr>
          <w:rFonts w:ascii="Arial" w:cs="Arial" w:eastAsia="Arial" w:hAnsi="Arial"/>
          <w:sz w:val="19"/>
          <w:szCs w:val="19"/>
          <w:color w:val="auto"/>
        </w:rPr>
        <w:t>Executive’s gross negligence or willful misconduct in the performance of his or her duties and responsibilities to the Company or Executive’s violation of any written Company policy;</w:t>
      </w:r>
    </w:p>
    <w:p>
      <w:pPr>
        <w:spacing w:after="0" w:line="107" w:lineRule="exact"/>
        <w:rPr>
          <w:rFonts w:ascii="Arial" w:cs="Arial" w:eastAsia="Arial" w:hAnsi="Arial"/>
          <w:sz w:val="19"/>
          <w:szCs w:val="19"/>
          <w:color w:val="auto"/>
        </w:rPr>
      </w:pPr>
    </w:p>
    <w:p>
      <w:pPr>
        <w:jc w:val="both"/>
        <w:ind w:left="1600" w:hanging="527"/>
        <w:spacing w:after="0" w:line="309" w:lineRule="auto"/>
        <w:tabs>
          <w:tab w:leader="none" w:pos="1600" w:val="left"/>
        </w:tabs>
        <w:numPr>
          <w:ilvl w:val="2"/>
          <w:numId w:val="64"/>
        </w:numPr>
        <w:rPr>
          <w:rFonts w:ascii="Arial" w:cs="Arial" w:eastAsia="Arial" w:hAnsi="Arial"/>
          <w:sz w:val="19"/>
          <w:szCs w:val="19"/>
          <w:color w:val="auto"/>
        </w:rPr>
      </w:pPr>
      <w:r>
        <w:rPr>
          <w:rFonts w:ascii="Arial" w:cs="Arial" w:eastAsia="Arial" w:hAnsi="Arial"/>
          <w:sz w:val="19"/>
          <w:szCs w:val="19"/>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116" w:lineRule="exact"/>
        <w:rPr>
          <w:rFonts w:ascii="Arial" w:cs="Arial" w:eastAsia="Arial" w:hAnsi="Arial"/>
          <w:sz w:val="19"/>
          <w:szCs w:val="19"/>
          <w:color w:val="auto"/>
        </w:rPr>
      </w:pPr>
    </w:p>
    <w:p>
      <w:pPr>
        <w:ind w:left="1600" w:hanging="569"/>
        <w:spacing w:after="0" w:line="319" w:lineRule="auto"/>
        <w:tabs>
          <w:tab w:leader="none" w:pos="1600" w:val="left"/>
        </w:tabs>
        <w:numPr>
          <w:ilvl w:val="2"/>
          <w:numId w:val="64"/>
        </w:numPr>
        <w:rPr>
          <w:rFonts w:ascii="Arial" w:cs="Arial" w:eastAsia="Arial" w:hAnsi="Arial"/>
          <w:sz w:val="19"/>
          <w:szCs w:val="19"/>
          <w:color w:val="auto"/>
        </w:rPr>
      </w:pPr>
      <w:r>
        <w:rPr>
          <w:rFonts w:ascii="Arial" w:cs="Arial" w:eastAsia="Arial" w:hAnsi="Arial"/>
          <w:sz w:val="19"/>
          <w:szCs w:val="19"/>
          <w:color w:val="auto"/>
        </w:rPr>
        <w:t>Executive’s conviction of, or pleading guilty or nolo contendre to, any felony or a lesser crime involving dishonesty or moral turpitude;</w:t>
      </w:r>
    </w:p>
    <w:p>
      <w:pPr>
        <w:spacing w:after="0" w:line="107" w:lineRule="exact"/>
        <w:rPr>
          <w:rFonts w:ascii="Arial" w:cs="Arial" w:eastAsia="Arial" w:hAnsi="Arial"/>
          <w:sz w:val="19"/>
          <w:szCs w:val="19"/>
          <w:color w:val="auto"/>
        </w:rPr>
      </w:pPr>
    </w:p>
    <w:p>
      <w:pPr>
        <w:ind w:left="1600" w:hanging="580"/>
        <w:spacing w:after="0" w:line="319" w:lineRule="auto"/>
        <w:tabs>
          <w:tab w:leader="none" w:pos="1586" w:val="left"/>
        </w:tabs>
        <w:numPr>
          <w:ilvl w:val="1"/>
          <w:numId w:val="65"/>
        </w:numPr>
        <w:rPr>
          <w:rFonts w:ascii="Arial" w:cs="Arial" w:eastAsia="Arial" w:hAnsi="Arial"/>
          <w:sz w:val="19"/>
          <w:szCs w:val="19"/>
          <w:color w:val="auto"/>
        </w:rPr>
      </w:pPr>
      <w:r>
        <w:rPr>
          <w:rFonts w:ascii="Arial" w:cs="Arial" w:eastAsia="Arial" w:hAnsi="Arial"/>
          <w:sz w:val="19"/>
          <w:szCs w:val="19"/>
          <w:color w:val="auto"/>
        </w:rPr>
        <w:t>Executive’s unlawful use (including being under the influence) or possession of illegal drugs on the premises of the Company or while performing Executive’s duties and responsibilities for the Company</w:t>
      </w:r>
    </w:p>
    <w:p>
      <w:pPr>
        <w:spacing w:after="0" w:line="107" w:lineRule="exact"/>
        <w:rPr>
          <w:rFonts w:ascii="Arial" w:cs="Arial" w:eastAsia="Arial" w:hAnsi="Arial"/>
          <w:sz w:val="19"/>
          <w:szCs w:val="19"/>
          <w:color w:val="auto"/>
        </w:rPr>
      </w:pPr>
    </w:p>
    <w:p>
      <w:pPr>
        <w:ind w:left="1580" w:hanging="518"/>
        <w:spacing w:after="0"/>
        <w:tabs>
          <w:tab w:leader="none" w:pos="1580" w:val="left"/>
        </w:tabs>
        <w:numPr>
          <w:ilvl w:val="1"/>
          <w:numId w:val="65"/>
        </w:numPr>
        <w:rPr>
          <w:rFonts w:ascii="Arial" w:cs="Arial" w:eastAsia="Arial" w:hAnsi="Arial"/>
          <w:sz w:val="19"/>
          <w:szCs w:val="19"/>
          <w:color w:val="auto"/>
        </w:rPr>
      </w:pPr>
      <w:r>
        <w:rPr>
          <w:rFonts w:ascii="Arial" w:cs="Arial" w:eastAsia="Arial" w:hAnsi="Arial"/>
          <w:sz w:val="19"/>
          <w:szCs w:val="19"/>
          <w:color w:val="auto"/>
        </w:rPr>
        <w:t>Executive’s unauthorized use or disclosure of any proprietary information or trade secrets of the Company or</w:t>
      </w:r>
    </w:p>
    <w:p>
      <w:pPr>
        <w:spacing w:after="0" w:line="54" w:lineRule="exact"/>
        <w:rPr>
          <w:rFonts w:ascii="Arial" w:cs="Arial" w:eastAsia="Arial" w:hAnsi="Arial"/>
          <w:sz w:val="19"/>
          <w:szCs w:val="19"/>
          <w:color w:val="auto"/>
        </w:rPr>
      </w:pPr>
    </w:p>
    <w:p>
      <w:pPr>
        <w:ind w:left="1600"/>
        <w:spacing w:after="0" w:line="319" w:lineRule="auto"/>
        <w:rPr>
          <w:rFonts w:ascii="Arial" w:cs="Arial" w:eastAsia="Arial" w:hAnsi="Arial"/>
          <w:sz w:val="19"/>
          <w:szCs w:val="19"/>
          <w:color w:val="auto"/>
        </w:rPr>
      </w:pPr>
      <w:r>
        <w:rPr>
          <w:rFonts w:ascii="Arial" w:cs="Arial" w:eastAsia="Arial" w:hAnsi="Arial"/>
          <w:sz w:val="19"/>
          <w:szCs w:val="19"/>
          <w:color w:val="auto"/>
        </w:rPr>
        <w:t>any other party to whom Executive owes an obligation of nondisclosure as a result of his or her relationship with the Company; or</w:t>
      </w:r>
    </w:p>
    <w:p>
      <w:pPr>
        <w:spacing w:after="0" w:line="107" w:lineRule="exact"/>
        <w:rPr>
          <w:rFonts w:ascii="Arial" w:cs="Arial" w:eastAsia="Arial" w:hAnsi="Arial"/>
          <w:sz w:val="19"/>
          <w:szCs w:val="19"/>
          <w:color w:val="auto"/>
        </w:rPr>
      </w:pPr>
    </w:p>
    <w:p>
      <w:pPr>
        <w:ind w:left="1600" w:hanging="580"/>
        <w:spacing w:after="0" w:line="319" w:lineRule="auto"/>
        <w:tabs>
          <w:tab w:leader="none" w:pos="1600" w:val="left"/>
        </w:tabs>
        <w:numPr>
          <w:ilvl w:val="2"/>
          <w:numId w:val="65"/>
        </w:numPr>
        <w:rPr>
          <w:rFonts w:ascii="Arial" w:cs="Arial" w:eastAsia="Arial" w:hAnsi="Arial"/>
          <w:sz w:val="19"/>
          <w:szCs w:val="19"/>
          <w:color w:val="auto"/>
        </w:rPr>
      </w:pPr>
      <w:r>
        <w:rPr>
          <w:rFonts w:ascii="Arial" w:cs="Arial" w:eastAsia="Arial" w:hAnsi="Arial"/>
          <w:sz w:val="19"/>
          <w:szCs w:val="19"/>
          <w:color w:val="auto"/>
        </w:rPr>
        <w:t>Executive’s material breach of any of his or her obligations under any written agreement or covenant with the Company.</w:t>
      </w:r>
    </w:p>
    <w:p>
      <w:pPr>
        <w:spacing w:after="0" w:line="107" w:lineRule="exact"/>
        <w:rPr>
          <w:rFonts w:ascii="Arial" w:cs="Arial" w:eastAsia="Arial" w:hAnsi="Arial"/>
          <w:sz w:val="19"/>
          <w:szCs w:val="19"/>
          <w:color w:val="auto"/>
        </w:rPr>
      </w:pPr>
    </w:p>
    <w:p>
      <w:pPr>
        <w:ind w:left="960" w:hanging="373"/>
        <w:spacing w:after="0"/>
        <w:tabs>
          <w:tab w:leader="none" w:pos="960"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“Change in Control” shall have the meaning ascribed to such term in the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900"/>
          </w:cols>
          <w:pgMar w:left="620" w:top="767" w:right="379" w:bottom="1440" w:gutter="0" w:footer="0" w:header="0"/>
        </w:sectPr>
      </w:pPr>
    </w:p>
    <w:bookmarkStart w:id="139" w:name="page140"/>
    <w:bookmarkEnd w:id="139"/>
    <w:p>
      <w:pPr>
        <w:ind w:left="500" w:right="20" w:hanging="393"/>
        <w:spacing w:after="0" w:line="319" w:lineRule="auto"/>
        <w:tabs>
          <w:tab w:leader="none" w:pos="492"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Protection Period</w:t>
      </w:r>
      <w:r>
        <w:rPr>
          <w:rFonts w:ascii="Arial" w:cs="Arial" w:eastAsia="Arial" w:hAnsi="Arial"/>
          <w:sz w:val="19"/>
          <w:szCs w:val="19"/>
          <w:color w:val="auto"/>
        </w:rPr>
        <w:t>. “Change in Control Protection Period” means the period beginning one month</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and ending twelve (12) months immediately following the consummation of a Change in Control.</w:t>
      </w:r>
    </w:p>
    <w:p>
      <w:pPr>
        <w:spacing w:after="0" w:line="107" w:lineRule="exact"/>
        <w:rPr>
          <w:rFonts w:ascii="Arial" w:cs="Arial" w:eastAsia="Arial" w:hAnsi="Arial"/>
          <w:sz w:val="19"/>
          <w:szCs w:val="19"/>
          <w:color w:val="auto"/>
        </w:rPr>
      </w:pPr>
    </w:p>
    <w:p>
      <w:pPr>
        <w:ind w:left="480" w:hanging="373"/>
        <w:spacing w:after="0"/>
        <w:tabs>
          <w:tab w:leader="none" w:pos="480"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“Code” means the Internal Revenue Code of 1986, as amended.</w:t>
      </w:r>
    </w:p>
    <w:p>
      <w:pPr>
        <w:spacing w:after="0" w:line="209" w:lineRule="exact"/>
        <w:rPr>
          <w:rFonts w:ascii="Arial" w:cs="Arial" w:eastAsia="Arial" w:hAnsi="Arial"/>
          <w:sz w:val="19"/>
          <w:szCs w:val="19"/>
          <w:color w:val="auto"/>
        </w:rPr>
      </w:pPr>
    </w:p>
    <w:p>
      <w:pPr>
        <w:jc w:val="both"/>
        <w:ind w:left="500" w:right="20" w:hanging="393"/>
        <w:spacing w:after="0" w:line="302" w:lineRule="auto"/>
        <w:tabs>
          <w:tab w:leader="none" w:pos="490"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“Disability” or “Disabled” means that Executive is unable to engage in any substantial gainful activity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medically determinable physical or mental impairment which can be expected to result in death or which has lasted, or can be expected to last, for a continuous period of not less than one (1) year.</w:t>
      </w:r>
    </w:p>
    <w:p>
      <w:pPr>
        <w:spacing w:after="0" w:line="122" w:lineRule="exact"/>
        <w:rPr>
          <w:rFonts w:ascii="Arial" w:cs="Arial" w:eastAsia="Arial" w:hAnsi="Arial"/>
          <w:sz w:val="19"/>
          <w:szCs w:val="19"/>
          <w:color w:val="auto"/>
        </w:rPr>
      </w:pPr>
    </w:p>
    <w:p>
      <w:pPr>
        <w:jc w:val="both"/>
        <w:ind w:left="500" w:right="20" w:hanging="393"/>
        <w:spacing w:after="0" w:line="302" w:lineRule="auto"/>
        <w:tabs>
          <w:tab w:leader="none" w:pos="489" w:val="left"/>
        </w:tabs>
        <w:numPr>
          <w:ilvl w:val="0"/>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“Good Reason” means Executive’s resignation or termination of employment within thirty (30) days</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expiration of any cure period (discussed below) following the occurrence of one or more of the following without Executive’s consent:</w:t>
      </w:r>
    </w:p>
    <w:p>
      <w:pPr>
        <w:spacing w:after="0" w:line="122" w:lineRule="exact"/>
        <w:rPr>
          <w:rFonts w:ascii="Arial" w:cs="Arial" w:eastAsia="Arial" w:hAnsi="Arial"/>
          <w:sz w:val="19"/>
          <w:szCs w:val="19"/>
          <w:color w:val="auto"/>
        </w:rPr>
      </w:pPr>
    </w:p>
    <w:p>
      <w:pPr>
        <w:jc w:val="both"/>
        <w:ind w:left="1120" w:right="20" w:hanging="485"/>
        <w:spacing w:after="0" w:line="292" w:lineRule="auto"/>
        <w:tabs>
          <w:tab w:leader="none" w:pos="1120" w:val="left"/>
        </w:tabs>
        <w:numPr>
          <w:ilvl w:val="2"/>
          <w:numId w:val="67"/>
        </w:numPr>
        <w:rPr>
          <w:rFonts w:ascii="Arial" w:cs="Arial" w:eastAsia="Arial" w:hAnsi="Arial"/>
          <w:sz w:val="19"/>
          <w:szCs w:val="19"/>
          <w:color w:val="auto"/>
        </w:rPr>
      </w:pPr>
      <w:r>
        <w:rPr>
          <w:rFonts w:ascii="Arial" w:cs="Arial" w:eastAsia="Arial" w:hAnsi="Arial"/>
          <w:sz w:val="19"/>
          <w:szCs w:val="19"/>
          <w:color w:val="auto"/>
        </w:rPr>
        <w:t>A material reduction of Executive’s duties, authority or responsibilities, relative to Executive’s duties, authority or responsibilities in effect immediately prior to such reduction; provided, however, that a reduction in duties,</w:t>
      </w:r>
    </w:p>
    <w:p>
      <w:pPr>
        <w:jc w:val="both"/>
        <w:ind w:left="1120" w:right="20"/>
        <w:spacing w:after="0" w:line="296" w:lineRule="auto"/>
        <w:rPr>
          <w:rFonts w:ascii="Arial" w:cs="Arial" w:eastAsia="Arial" w:hAnsi="Arial"/>
          <w:sz w:val="19"/>
          <w:szCs w:val="19"/>
          <w:color w:val="auto"/>
        </w:rPr>
      </w:pPr>
      <w:r>
        <w:rPr>
          <w:rFonts w:ascii="Arial" w:cs="Arial" w:eastAsia="Arial" w:hAnsi="Arial"/>
          <w:sz w:val="19"/>
          <w:szCs w:val="19"/>
          <w:color w:val="auto"/>
        </w:rPr>
        <w:t>authority or responsibilities solely by virtue of the Company being acquired and made part of a larger entity (as, for example, when the Chief Executive Officer, Home Care of the Company remains as such following a Change in Control but is not made the Chief Executive Officer, Home Care of the acquiring corporation) will not constitute Good Reason;</w:t>
      </w:r>
    </w:p>
    <w:p>
      <w:pPr>
        <w:spacing w:after="0" w:line="129" w:lineRule="exact"/>
        <w:rPr>
          <w:rFonts w:ascii="Arial" w:cs="Arial" w:eastAsia="Arial" w:hAnsi="Arial"/>
          <w:sz w:val="19"/>
          <w:szCs w:val="19"/>
          <w:color w:val="auto"/>
        </w:rPr>
      </w:pPr>
    </w:p>
    <w:p>
      <w:pPr>
        <w:jc w:val="both"/>
        <w:ind w:left="1120" w:right="20" w:hanging="527"/>
        <w:spacing w:after="0" w:line="302" w:lineRule="auto"/>
        <w:tabs>
          <w:tab w:leader="none" w:pos="1120" w:val="left"/>
        </w:tabs>
        <w:numPr>
          <w:ilvl w:val="2"/>
          <w:numId w:val="67"/>
        </w:numPr>
        <w:rPr>
          <w:rFonts w:ascii="Arial" w:cs="Arial" w:eastAsia="Arial" w:hAnsi="Arial"/>
          <w:sz w:val="19"/>
          <w:szCs w:val="19"/>
          <w:color w:val="auto"/>
        </w:rPr>
      </w:pPr>
      <w:r>
        <w:rPr>
          <w:rFonts w:ascii="Arial" w:cs="Arial" w:eastAsia="Arial" w:hAnsi="Arial"/>
          <w:sz w:val="19"/>
          <w:szCs w:val="19"/>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122" w:lineRule="exact"/>
        <w:rPr>
          <w:rFonts w:ascii="Arial" w:cs="Arial" w:eastAsia="Arial" w:hAnsi="Arial"/>
          <w:sz w:val="19"/>
          <w:szCs w:val="19"/>
          <w:color w:val="auto"/>
        </w:rPr>
      </w:pPr>
    </w:p>
    <w:p>
      <w:pPr>
        <w:jc w:val="both"/>
        <w:ind w:left="1120" w:right="20" w:hanging="569"/>
        <w:spacing w:after="0" w:line="302" w:lineRule="auto"/>
        <w:tabs>
          <w:tab w:leader="none" w:pos="1120" w:val="left"/>
        </w:tabs>
        <w:numPr>
          <w:ilvl w:val="2"/>
          <w:numId w:val="67"/>
        </w:numPr>
        <w:rPr>
          <w:rFonts w:ascii="Arial" w:cs="Arial" w:eastAsia="Arial" w:hAnsi="Arial"/>
          <w:sz w:val="19"/>
          <w:szCs w:val="19"/>
          <w:color w:val="auto"/>
        </w:rPr>
      </w:pPr>
      <w:r>
        <w:rPr>
          <w:rFonts w:ascii="Arial" w:cs="Arial" w:eastAsia="Arial" w:hAnsi="Arial"/>
          <w:sz w:val="19"/>
          <w:szCs w:val="19"/>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122" w:lineRule="exact"/>
        <w:rPr>
          <w:rFonts w:ascii="Arial" w:cs="Arial" w:eastAsia="Arial" w:hAnsi="Arial"/>
          <w:sz w:val="19"/>
          <w:szCs w:val="19"/>
          <w:color w:val="auto"/>
        </w:rPr>
      </w:pPr>
    </w:p>
    <w:p>
      <w:pPr>
        <w:ind w:left="1100" w:hanging="560"/>
        <w:spacing w:after="0"/>
        <w:tabs>
          <w:tab w:leader="none" w:pos="11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A material breach by the Company of a material provision of this Agreement.</w:t>
      </w: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spacing w:after="0" w:line="137" w:lineRule="exact"/>
        <w:rPr>
          <w:sz w:val="20"/>
          <w:szCs w:val="20"/>
          <w:color w:val="auto"/>
        </w:rPr>
      </w:pPr>
    </w:p>
    <w:p>
      <w:pPr>
        <w:jc w:val="both"/>
        <w:ind w:left="460" w:right="20" w:hanging="315"/>
        <w:spacing w:after="0" w:line="309" w:lineRule="auto"/>
        <w:tabs>
          <w:tab w:leader="none" w:pos="450" w:val="left"/>
        </w:tabs>
        <w:numPr>
          <w:ilvl w:val="0"/>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Governmental Authority</w:t>
      </w:r>
      <w:r>
        <w:rPr>
          <w:rFonts w:ascii="Arial" w:cs="Arial" w:eastAsia="Arial" w:hAnsi="Arial"/>
          <w:sz w:val="19"/>
          <w:szCs w:val="19"/>
          <w:color w:val="auto"/>
        </w:rPr>
        <w:t>. “Governmental Authority” means any federal, state, municipal, foreign or other government,</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department, commission, board, bureau, agency or instrumentality, or any private or public court or tribunal.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440"/>
          </w:cols>
          <w:pgMar w:left="1100" w:top="767" w:right="359" w:bottom="1440" w:gutter="0" w:footer="0" w:header="0"/>
        </w:sectPr>
      </w:pPr>
    </w:p>
    <w:bookmarkStart w:id="140" w:name="page141"/>
    <w:bookmarkEnd w:id="140"/>
    <w:p>
      <w:pPr>
        <w:jc w:val="both"/>
        <w:ind w:left="940" w:hanging="315"/>
        <w:spacing w:after="0" w:line="302" w:lineRule="auto"/>
        <w:tabs>
          <w:tab w:leader="none" w:pos="930" w:val="left"/>
        </w:tabs>
        <w:numPr>
          <w:ilvl w:val="1"/>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“Person” shall be construed in the broadest sense and means and includes any natural person, a partnership,</w:t>
      </w:r>
      <w:r>
        <w:rPr>
          <w:rFonts w:ascii="Arial" w:cs="Arial" w:eastAsia="Arial" w:hAnsi="Arial"/>
          <w:sz w:val="19"/>
          <w:szCs w:val="19"/>
          <w:b w:val="1"/>
          <w:bCs w:val="1"/>
          <w:color w:val="auto"/>
        </w:rPr>
        <w:t xml:space="preserve"> </w:t>
      </w:r>
      <w:r>
        <w:rPr>
          <w:rFonts w:ascii="Arial" w:cs="Arial" w:eastAsia="Arial" w:hAnsi="Arial"/>
          <w:sz w:val="19"/>
          <w:szCs w:val="19"/>
          <w:color w:val="auto"/>
        </w:rPr>
        <w:t>a corporation, an association, a joint stock company, a limited liability company, a trust, a joint venture, an unincorporated organization and other entity or Governmental Authority.</w:t>
      </w:r>
    </w:p>
    <w:p>
      <w:pPr>
        <w:spacing w:after="0" w:line="161" w:lineRule="exact"/>
        <w:rPr>
          <w:rFonts w:ascii="Arial" w:cs="Arial" w:eastAsia="Arial" w:hAnsi="Arial"/>
          <w:sz w:val="19"/>
          <w:szCs w:val="19"/>
          <w:color w:val="auto"/>
        </w:rPr>
      </w:pPr>
    </w:p>
    <w:p>
      <w:pPr>
        <w:ind w:left="940" w:hanging="315"/>
        <w:spacing w:after="0" w:line="319" w:lineRule="auto"/>
        <w:tabs>
          <w:tab w:leader="none" w:pos="931" w:val="left"/>
        </w:tabs>
        <w:numPr>
          <w:ilvl w:val="1"/>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“Section 409A” means Section 409A of the Code, and the final regulations and any guidance</w:t>
      </w:r>
      <w:r>
        <w:rPr>
          <w:rFonts w:ascii="Arial" w:cs="Arial" w:eastAsia="Arial" w:hAnsi="Arial"/>
          <w:sz w:val="19"/>
          <w:szCs w:val="19"/>
          <w:b w:val="1"/>
          <w:bCs w:val="1"/>
          <w:color w:val="auto"/>
        </w:rPr>
        <w:t xml:space="preserve"> </w:t>
      </w:r>
      <w:r>
        <w:rPr>
          <w:rFonts w:ascii="Arial" w:cs="Arial" w:eastAsia="Arial" w:hAnsi="Arial"/>
          <w:sz w:val="19"/>
          <w:szCs w:val="19"/>
          <w:color w:val="auto"/>
        </w:rPr>
        <w:t>promulgated thereunder or any state law equivalent.</w:t>
      </w:r>
    </w:p>
    <w:p>
      <w:pPr>
        <w:spacing w:after="0" w:line="133" w:lineRule="exact"/>
        <w:rPr>
          <w:rFonts w:ascii="Arial" w:cs="Arial" w:eastAsia="Arial" w:hAnsi="Arial"/>
          <w:sz w:val="19"/>
          <w:szCs w:val="19"/>
          <w:color w:val="auto"/>
        </w:rPr>
      </w:pPr>
    </w:p>
    <w:p>
      <w:pPr>
        <w:ind w:left="920" w:hanging="295"/>
        <w:spacing w:after="0"/>
        <w:tabs>
          <w:tab w:leader="none" w:pos="920" w:val="left"/>
        </w:tabs>
        <w:numPr>
          <w:ilvl w:val="1"/>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Limit</w:t>
      </w:r>
      <w:r>
        <w:rPr>
          <w:rFonts w:ascii="Arial" w:cs="Arial" w:eastAsia="Arial" w:hAnsi="Arial"/>
          <w:sz w:val="19"/>
          <w:szCs w:val="19"/>
          <w:color w:val="auto"/>
        </w:rPr>
        <w:t>. “Section 409A Limit” shall mean two (2) times the lesser of:</w:t>
      </w:r>
    </w:p>
    <w:p>
      <w:pPr>
        <w:spacing w:after="0" w:line="41" w:lineRule="exact"/>
        <w:rPr>
          <w:rFonts w:ascii="Arial" w:cs="Arial" w:eastAsia="Arial" w:hAnsi="Arial"/>
          <w:sz w:val="19"/>
          <w:szCs w:val="19"/>
          <w:color w:val="auto"/>
        </w:rPr>
      </w:pPr>
    </w:p>
    <w:p>
      <w:pPr>
        <w:jc w:val="right"/>
        <w:ind w:left="1580" w:hanging="311"/>
        <w:spacing w:after="0" w:line="289" w:lineRule="auto"/>
        <w:rPr>
          <w:rFonts w:ascii="Arial" w:cs="Arial" w:eastAsia="Arial" w:hAnsi="Arial"/>
          <w:sz w:val="19"/>
          <w:szCs w:val="19"/>
          <w:color w:val="auto"/>
        </w:rPr>
      </w:pPr>
      <w:r>
        <w:rPr>
          <w:rFonts w:ascii="Arial" w:cs="Arial" w:eastAsia="Arial" w:hAnsi="Arial"/>
          <w:sz w:val="19"/>
          <w:szCs w:val="19"/>
          <w:color w:val="auto"/>
        </w:rPr>
        <w:t>a.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w:t>
      </w:r>
    </w:p>
    <w:p>
      <w:pPr>
        <w:spacing w:after="0" w:line="1" w:lineRule="exact"/>
        <w:rPr>
          <w:rFonts w:ascii="Arial" w:cs="Arial" w:eastAsia="Arial" w:hAnsi="Arial"/>
          <w:sz w:val="19"/>
          <w:szCs w:val="19"/>
          <w:color w:val="auto"/>
        </w:rPr>
      </w:pPr>
    </w:p>
    <w:p>
      <w:pPr>
        <w:jc w:val="both"/>
        <w:ind w:left="1580"/>
        <w:spacing w:after="0" w:line="302" w:lineRule="auto"/>
        <w:rPr>
          <w:rFonts w:ascii="Arial" w:cs="Arial" w:eastAsia="Arial" w:hAnsi="Arial"/>
          <w:sz w:val="19"/>
          <w:szCs w:val="19"/>
          <w:color w:val="auto"/>
        </w:rPr>
      </w:pPr>
      <w:r>
        <w:rPr>
          <w:rFonts w:ascii="Arial" w:cs="Arial" w:eastAsia="Arial" w:hAnsi="Arial"/>
          <w:sz w:val="19"/>
          <w:szCs w:val="19"/>
          <w:color w:val="auto"/>
        </w:rPr>
        <w:t>guidance issued with respect thereto; or (ii) the maximum amount that may be taken into account under a qualified plan pursuant to Section 401(a)(17) of the Code for the year in which Executive’s separation from service occurred.</w:t>
      </w:r>
    </w:p>
    <w:p>
      <w:pPr>
        <w:spacing w:after="0" w:line="109" w:lineRule="exact"/>
        <w:rPr>
          <w:rFonts w:ascii="Arial" w:cs="Arial" w:eastAsia="Arial" w:hAnsi="Arial"/>
          <w:sz w:val="19"/>
          <w:szCs w:val="19"/>
          <w:color w:val="auto"/>
        </w:rPr>
      </w:pPr>
    </w:p>
    <w:p>
      <w:pPr>
        <w:ind w:left="300" w:hanging="298"/>
        <w:spacing w:after="0"/>
        <w:tabs>
          <w:tab w:leader="none" w:pos="300"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Golden Parachute</w:t>
      </w:r>
      <w:r>
        <w:rPr>
          <w:rFonts w:ascii="Arial" w:cs="Arial" w:eastAsia="Arial" w:hAnsi="Arial"/>
          <w:sz w:val="19"/>
          <w:szCs w:val="19"/>
          <w:color w:val="auto"/>
        </w:rPr>
        <w:t>.</w:t>
      </w:r>
    </w:p>
    <w:p>
      <w:pPr>
        <w:spacing w:after="0" w:line="222" w:lineRule="exact"/>
        <w:rPr>
          <w:rFonts w:ascii="Arial" w:cs="Arial" w:eastAsia="Arial" w:hAnsi="Arial"/>
          <w:sz w:val="19"/>
          <w:szCs w:val="19"/>
          <w:color w:val="auto"/>
        </w:rPr>
      </w:pPr>
    </w:p>
    <w:p>
      <w:pPr>
        <w:jc w:val="both"/>
        <w:ind w:left="940" w:hanging="315"/>
        <w:spacing w:after="0" w:line="289" w:lineRule="auto"/>
        <w:tabs>
          <w:tab w:leader="none" w:pos="93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any payment or benefit Executive would receive from the Company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Tax</w:t>
      </w:r>
      <w:r>
        <w:rPr>
          <w:rFonts w:ascii="Arial" w:cs="Arial" w:eastAsia="Arial" w:hAnsi="Arial"/>
          <w:sz w:val="19"/>
          <w:szCs w:val="19"/>
          <w:color w:val="auto"/>
        </w:rPr>
        <w:t>”), then such Payment shall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either (x)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portion of the Payment that would result in no portion of the Payment being subject to the Excise Tax; or (y) the largest portion, up to and including the total, of the Payment, whichever amount, after taking into account all applicable</w:t>
      </w:r>
    </w:p>
    <w:p>
      <w:pPr>
        <w:spacing w:after="0" w:line="4" w:lineRule="exact"/>
        <w:rPr>
          <w:rFonts w:ascii="Arial" w:cs="Arial" w:eastAsia="Arial" w:hAnsi="Arial"/>
          <w:sz w:val="19"/>
          <w:szCs w:val="19"/>
          <w:color w:val="auto"/>
        </w:rPr>
      </w:pPr>
    </w:p>
    <w:p>
      <w:pPr>
        <w:jc w:val="both"/>
        <w:ind w:left="940"/>
        <w:spacing w:after="0" w:line="288" w:lineRule="auto"/>
        <w:rPr>
          <w:rFonts w:ascii="Arial" w:cs="Arial" w:eastAsia="Arial" w:hAnsi="Arial"/>
          <w:sz w:val="19"/>
          <w:szCs w:val="19"/>
          <w:color w:val="auto"/>
        </w:rPr>
      </w:pPr>
      <w:r>
        <w:rPr>
          <w:rFonts w:ascii="Arial" w:cs="Arial" w:eastAsia="Arial" w:hAnsi="Arial"/>
          <w:sz w:val="19"/>
          <w:szCs w:val="19"/>
          <w:color w:val="auto"/>
        </w:rPr>
        <w:t>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the optioned stock (“</w:t>
      </w:r>
      <w:r>
        <w:rPr>
          <w:rFonts w:ascii="Arial" w:cs="Arial" w:eastAsia="Arial" w:hAnsi="Arial"/>
          <w:sz w:val="19"/>
          <w:szCs w:val="19"/>
          <w:b w:val="1"/>
          <w:bCs w:val="1"/>
          <w:i w:val="1"/>
          <w:iCs w:val="1"/>
          <w:color w:val="auto"/>
        </w:rPr>
        <w:t>Underwater Options</w:t>
      </w:r>
      <w:r>
        <w:rPr>
          <w:rFonts w:ascii="Arial" w:cs="Arial" w:eastAsia="Arial" w:hAnsi="Arial"/>
          <w:sz w:val="19"/>
          <w:szCs w:val="19"/>
          <w:color w:val="auto"/>
        </w:rPr>
        <w:t>”) (ii) Full Credit Payments (as defined below) that are payable in cash, (iii) non-cash Full Credit Payments that are taxable, (iv)</w:t>
      </w:r>
    </w:p>
    <w:p>
      <w:pPr>
        <w:jc w:val="both"/>
        <w:ind w:left="940"/>
        <w:spacing w:after="0" w:line="288" w:lineRule="auto"/>
        <w:rPr>
          <w:rFonts w:ascii="Arial" w:cs="Arial" w:eastAsia="Arial" w:hAnsi="Arial"/>
          <w:sz w:val="19"/>
          <w:szCs w:val="19"/>
          <w:color w:val="auto"/>
        </w:rPr>
      </w:pPr>
      <w:r>
        <w:rPr>
          <w:rFonts w:ascii="Arial" w:cs="Arial" w:eastAsia="Arial" w:hAnsi="Arial"/>
          <w:sz w:val="19"/>
          <w:szCs w:val="19"/>
          <w:color w:val="auto"/>
        </w:rPr>
        <w:t>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w:t>
      </w:r>
    </w:p>
    <w:p>
      <w:pPr>
        <w:spacing w:after="0" w:line="2" w:lineRule="exact"/>
        <w:rPr>
          <w:rFonts w:ascii="Arial" w:cs="Arial" w:eastAsia="Arial" w:hAnsi="Arial"/>
          <w:sz w:val="19"/>
          <w:szCs w:val="19"/>
          <w:color w:val="auto"/>
        </w:rPr>
      </w:pPr>
    </w:p>
    <w:p>
      <w:pPr>
        <w:ind w:left="940"/>
        <w:spacing w:after="0" w:line="319" w:lineRule="auto"/>
        <w:rPr>
          <w:rFonts w:ascii="Arial" w:cs="Arial" w:eastAsia="Arial" w:hAnsi="Arial"/>
          <w:sz w:val="19"/>
          <w:szCs w:val="19"/>
          <w:color w:val="auto"/>
        </w:rPr>
      </w:pPr>
      <w:r>
        <w:rPr>
          <w:rFonts w:ascii="Arial" w:cs="Arial" w:eastAsia="Arial" w:hAnsi="Arial"/>
          <w:sz w:val="19"/>
          <w:szCs w:val="19"/>
          <w:color w:val="auto"/>
        </w:rPr>
        <w:t>same time). “</w:t>
      </w:r>
      <w:r>
        <w:rPr>
          <w:rFonts w:ascii="Arial" w:cs="Arial" w:eastAsia="Arial" w:hAnsi="Arial"/>
          <w:sz w:val="19"/>
          <w:szCs w:val="19"/>
          <w:b w:val="1"/>
          <w:bCs w:val="1"/>
          <w:i w:val="1"/>
          <w:iCs w:val="1"/>
          <w:color w:val="auto"/>
        </w:rPr>
        <w:t>Full Credit Payment</w:t>
      </w:r>
      <w:r>
        <w:rPr>
          <w:rFonts w:ascii="Arial" w:cs="Arial" w:eastAsia="Arial" w:hAnsi="Arial"/>
          <w:sz w:val="19"/>
          <w:szCs w:val="19"/>
          <w:color w:val="auto"/>
        </w:rPr>
        <w:t>” means a payment, distribution or benefit, whether paid or payable or distributed or distributable pursuant to the terms of this Agreement or otherwise, that if reduced in value by one dollar reduces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900"/>
          </w:cols>
          <w:pgMar w:left="620" w:top="767" w:right="379" w:bottom="1440" w:gutter="0" w:footer="0" w:header="0"/>
        </w:sectPr>
      </w:pPr>
    </w:p>
    <w:bookmarkStart w:id="141" w:name="page142"/>
    <w:bookmarkEnd w:id="141"/>
    <w:p>
      <w:pPr>
        <w:jc w:val="both"/>
        <w:ind w:left="940" w:right="40"/>
        <w:spacing w:after="0" w:line="308" w:lineRule="auto"/>
        <w:rPr>
          <w:sz w:val="20"/>
          <w:szCs w:val="20"/>
          <w:color w:val="auto"/>
        </w:rPr>
      </w:pPr>
      <w:r>
        <w:rPr>
          <w:rFonts w:ascii="Arial" w:cs="Arial" w:eastAsia="Arial" w:hAnsi="Arial"/>
          <w:sz w:val="19"/>
          <w:szCs w:val="19"/>
          <w:color w:val="auto"/>
        </w:rPr>
        <w:t>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19"/>
          <w:szCs w:val="19"/>
          <w:b w:val="1"/>
          <w:bCs w:val="1"/>
          <w:i w:val="1"/>
          <w:iCs w:val="1"/>
          <w:color w:val="auto"/>
        </w:rPr>
        <w:t>Partial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Credit Payment</w:t>
      </w:r>
      <w:r>
        <w:rPr>
          <w:rFonts w:ascii="Arial" w:cs="Arial" w:eastAsia="Arial" w:hAnsi="Arial"/>
          <w:sz w:val="19"/>
          <w:szCs w:val="19"/>
          <w:color w:val="auto"/>
        </w:rPr>
        <w:t>” means any payment, distribution or benefit that is not a Full Credit Payment.</w:t>
      </w:r>
    </w:p>
    <w:p>
      <w:pPr>
        <w:spacing w:after="0" w:line="106" w:lineRule="exact"/>
        <w:rPr>
          <w:sz w:val="20"/>
          <w:szCs w:val="20"/>
          <w:color w:val="auto"/>
        </w:rPr>
      </w:pPr>
    </w:p>
    <w:p>
      <w:pPr>
        <w:jc w:val="both"/>
        <w:ind w:left="940" w:right="40" w:hanging="315"/>
        <w:spacing w:after="0" w:line="273" w:lineRule="auto"/>
        <w:tabs>
          <w:tab w:leader="none" w:pos="930"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nationally recognized certified public accounting firm selected by the Company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5" w:lineRule="exact"/>
        <w:rPr>
          <w:rFonts w:ascii="Arial" w:cs="Arial" w:eastAsia="Arial" w:hAnsi="Arial"/>
          <w:sz w:val="19"/>
          <w:szCs w:val="19"/>
          <w:color w:val="auto"/>
        </w:rPr>
      </w:pPr>
    </w:p>
    <w:p>
      <w:pPr>
        <w:jc w:val="both"/>
        <w:ind w:left="940" w:right="40" w:hanging="315"/>
        <w:spacing w:after="0" w:line="285" w:lineRule="auto"/>
        <w:tabs>
          <w:tab w:leader="none" w:pos="932"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jc w:val="both"/>
        <w:ind w:left="320" w:hanging="318"/>
        <w:spacing w:after="0" w:line="289" w:lineRule="auto"/>
        <w:tabs>
          <w:tab w:leader="none" w:pos="312" w:val="left"/>
        </w:tabs>
        <w:numPr>
          <w:ilvl w:val="0"/>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To the fullest extent permitted by applicable law, Executive and the Company agree that any and all disputes,</w:t>
      </w:r>
      <w:r>
        <w:rPr>
          <w:rFonts w:ascii="Arial" w:cs="Arial" w:eastAsia="Arial" w:hAnsi="Arial"/>
          <w:sz w:val="19"/>
          <w:szCs w:val="19"/>
          <w:b w:val="1"/>
          <w:bCs w:val="1"/>
          <w:color w:val="auto"/>
        </w:rPr>
        <w:t xml:space="preserve"> </w:t>
      </w:r>
      <w:r>
        <w:rPr>
          <w:rFonts w:ascii="Arial" w:cs="Arial" w:eastAsia="Arial" w:hAnsi="Arial"/>
          <w:sz w:val="19"/>
          <w:szCs w:val="19"/>
          <w:color w:val="auto"/>
        </w:rPr>
        <w:t>demands, claims, or controversies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Minnesota (or another mutually agreeable location). This does not prevent either Executive or the Company from seeking and obtaining temporary or</w:t>
      </w:r>
    </w:p>
    <w:p>
      <w:pPr>
        <w:spacing w:after="0" w:line="4" w:lineRule="exact"/>
        <w:rPr>
          <w:rFonts w:ascii="Arial" w:cs="Arial" w:eastAsia="Arial" w:hAnsi="Arial"/>
          <w:sz w:val="19"/>
          <w:szCs w:val="19"/>
          <w:color w:val="auto"/>
        </w:rPr>
      </w:pPr>
    </w:p>
    <w:p>
      <w:pPr>
        <w:jc w:val="both"/>
        <w:ind w:left="320"/>
        <w:spacing w:after="0" w:line="288" w:lineRule="auto"/>
        <w:rPr>
          <w:rFonts w:ascii="Arial" w:cs="Arial" w:eastAsia="Arial" w:hAnsi="Arial"/>
          <w:sz w:val="19"/>
          <w:szCs w:val="19"/>
          <w:color w:val="auto"/>
        </w:rPr>
      </w:pPr>
      <w:r>
        <w:rPr>
          <w:rFonts w:ascii="Arial" w:cs="Arial" w:eastAsia="Arial" w:hAnsi="Arial"/>
          <w:sz w:val="19"/>
          <w:szCs w:val="19"/>
          <w:color w:val="auto"/>
        </w:rPr>
        <w:t>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w:t>
      </w:r>
    </w:p>
    <w:p>
      <w:pPr>
        <w:spacing w:after="0" w:line="2" w:lineRule="exact"/>
        <w:rPr>
          <w:rFonts w:ascii="Arial" w:cs="Arial" w:eastAsia="Arial" w:hAnsi="Arial"/>
          <w:sz w:val="19"/>
          <w:szCs w:val="19"/>
          <w:color w:val="auto"/>
        </w:rPr>
      </w:pPr>
    </w:p>
    <w:p>
      <w:pPr>
        <w:jc w:val="both"/>
        <w:ind w:left="320"/>
        <w:spacing w:after="0" w:line="293" w:lineRule="auto"/>
        <w:rPr>
          <w:rFonts w:ascii="Arial" w:cs="Arial" w:eastAsia="Arial" w:hAnsi="Arial"/>
          <w:sz w:val="19"/>
          <w:szCs w:val="19"/>
          <w:color w:val="auto"/>
        </w:rPr>
      </w:pPr>
      <w:r>
        <w:rPr>
          <w:rFonts w:ascii="Arial" w:cs="Arial" w:eastAsia="Arial" w:hAnsi="Arial"/>
          <w:sz w:val="19"/>
          <w:szCs w:val="19"/>
          <w:color w:val="auto"/>
        </w:rPr>
        <w:t>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w:t>
      </w:r>
      <w:r>
        <w:rPr>
          <w:rFonts w:ascii="Arial" w:cs="Arial" w:eastAsia="Arial" w:hAnsi="Arial"/>
          <w:sz w:val="19"/>
          <w:szCs w:val="19"/>
          <w:b w:val="1"/>
          <w:bCs w:val="1"/>
          <w:i w:val="1"/>
          <w:iCs w:val="1"/>
          <w:color w:val="auto"/>
        </w:rPr>
        <w:t>Class Waiver</w:t>
      </w:r>
      <w:r>
        <w:rPr>
          <w:rFonts w:ascii="Arial" w:cs="Arial" w:eastAsia="Arial" w:hAnsi="Arial"/>
          <w:sz w:val="19"/>
          <w:szCs w:val="19"/>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172" w:lineRule="exact"/>
        <w:rPr>
          <w:sz w:val="20"/>
          <w:szCs w:val="20"/>
          <w:color w:val="auto"/>
        </w:rPr>
      </w:pPr>
    </w:p>
    <w:p>
      <w:pPr>
        <w:jc w:val="both"/>
        <w:ind w:left="320" w:right="40"/>
        <w:spacing w:after="0" w:line="301" w:lineRule="auto"/>
        <w:rPr>
          <w:sz w:val="20"/>
          <w:szCs w:val="20"/>
          <w:color w:val="auto"/>
        </w:rPr>
      </w:pPr>
      <w:r>
        <w:rPr>
          <w:rFonts w:ascii="Arial" w:cs="Arial" w:eastAsia="Arial" w:hAnsi="Arial"/>
          <w:sz w:val="19"/>
          <w:szCs w:val="19"/>
          <w:color w:val="auto"/>
        </w:rPr>
        <w:t>The parties agree that the arbitration shall be conducted by a single neutral arbitrator through JAMS in accordance with JAMS Employment Arbitration Rules and Procedures (available at www.jamsadr.com/rules-employment-arbitration). Except as to the Class Waiver, the arbitrator shall determine arbitrability. The Company will bear all JAMS arbitration fees and administrative costs in excess of the amount of administrative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940"/>
          </w:cols>
          <w:pgMar w:left="620" w:top="767" w:right="339" w:bottom="1440" w:gutter="0" w:footer="0" w:header="0"/>
        </w:sectPr>
      </w:pPr>
    </w:p>
    <w:bookmarkStart w:id="142" w:name="page143"/>
    <w:bookmarkEnd w:id="142"/>
    <w:p>
      <w:pPr>
        <w:jc w:val="both"/>
        <w:ind w:left="320"/>
        <w:spacing w:after="0" w:line="293" w:lineRule="auto"/>
        <w:rPr>
          <w:sz w:val="20"/>
          <w:szCs w:val="20"/>
          <w:color w:val="auto"/>
        </w:rPr>
      </w:pPr>
      <w:r>
        <w:rPr>
          <w:rFonts w:ascii="Arial" w:cs="Arial" w:eastAsia="Arial" w:hAnsi="Arial"/>
          <w:sz w:val="19"/>
          <w:szCs w:val="19"/>
          <w:color w:val="auto"/>
        </w:rPr>
        <w:t>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spacing w:after="0" w:line="143" w:lineRule="exact"/>
        <w:rPr>
          <w:sz w:val="20"/>
          <w:szCs w:val="20"/>
          <w:color w:val="auto"/>
        </w:rPr>
      </w:pPr>
    </w:p>
    <w:p>
      <w:pPr>
        <w:ind w:left="300" w:hanging="298"/>
        <w:spacing w:after="0"/>
        <w:tabs>
          <w:tab w:leader="none" w:pos="300" w:val="left"/>
        </w:tabs>
        <w:numPr>
          <w:ilvl w:val="0"/>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Pre-Employment Conditions</w:t>
      </w:r>
      <w:r>
        <w:rPr>
          <w:rFonts w:ascii="Arial" w:cs="Arial" w:eastAsia="Arial" w:hAnsi="Arial"/>
          <w:sz w:val="19"/>
          <w:szCs w:val="19"/>
          <w:b w:val="1"/>
          <w:bCs w:val="1"/>
          <w:color w:val="auto"/>
        </w:rPr>
        <w:t>.</w:t>
      </w:r>
    </w:p>
    <w:p>
      <w:pPr>
        <w:spacing w:after="0" w:line="287" w:lineRule="exact"/>
        <w:rPr>
          <w:rFonts w:ascii="Arial" w:cs="Arial" w:eastAsia="Arial" w:hAnsi="Arial"/>
          <w:sz w:val="19"/>
          <w:szCs w:val="19"/>
          <w:color w:val="auto"/>
        </w:rPr>
      </w:pPr>
    </w:p>
    <w:p>
      <w:pPr>
        <w:jc w:val="both"/>
        <w:ind w:left="940" w:hanging="315"/>
        <w:spacing w:after="0" w:line="300" w:lineRule="auto"/>
        <w:tabs>
          <w:tab w:leader="none" w:pos="930" w:val="left"/>
        </w:tabs>
        <w:numPr>
          <w:ilvl w:val="1"/>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Executive’s acceptance of this offer and Executive’s Employment with the Company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contingent upon the execution, and delivery to an officer of the Company, of the Company’s Employee Nondisclosure, NonSolicitation, Confidentiality and Developments Agreement, a copy of which is attached hereto as </w:t>
      </w:r>
      <w:r>
        <w:rPr>
          <w:rFonts w:ascii="Arial" w:cs="Arial" w:eastAsia="Arial" w:hAnsi="Arial"/>
          <w:sz w:val="19"/>
          <w:szCs w:val="19"/>
          <w:u w:val="single" w:color="auto"/>
          <w:color w:val="auto"/>
        </w:rPr>
        <w:t>Attachment [B]</w:t>
      </w:r>
      <w:r>
        <w:rPr>
          <w:rFonts w:ascii="Arial" w:cs="Arial" w:eastAsia="Arial" w:hAnsi="Arial"/>
          <w:sz w:val="19"/>
          <w:szCs w:val="19"/>
          <w:color w:val="auto"/>
        </w:rPr>
        <w:t xml:space="preserve"> for Executive’s review and execution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prior to or on the Effective Date.</w:t>
      </w:r>
    </w:p>
    <w:p>
      <w:pPr>
        <w:spacing w:after="0" w:line="114" w:lineRule="exact"/>
        <w:rPr>
          <w:rFonts w:ascii="Arial" w:cs="Arial" w:eastAsia="Arial" w:hAnsi="Arial"/>
          <w:sz w:val="19"/>
          <w:szCs w:val="19"/>
          <w:color w:val="auto"/>
        </w:rPr>
      </w:pPr>
    </w:p>
    <w:p>
      <w:pPr>
        <w:jc w:val="both"/>
        <w:ind w:left="940" w:hanging="315"/>
        <w:spacing w:after="0" w:line="296" w:lineRule="auto"/>
        <w:tabs>
          <w:tab w:leader="none" w:pos="930" w:val="left"/>
        </w:tabs>
        <w:numPr>
          <w:ilvl w:val="1"/>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 to Work</w:t>
      </w:r>
      <w:r>
        <w:rPr>
          <w:rFonts w:ascii="Arial" w:cs="Arial" w:eastAsia="Arial" w:hAnsi="Arial"/>
          <w:sz w:val="19"/>
          <w:szCs w:val="19"/>
          <w:color w:val="auto"/>
        </w:rPr>
        <w:t>. For purposes of federal immigration law, Executive will be required, if Executive has not already,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to the Company documentary evidence of Executive’s identity and eligibility for employment in the United States. Such documentation must be provided to the Company within three (3) business days of the Effective Date, or the Employment relationship with Executive may be terminated.</w:t>
      </w:r>
    </w:p>
    <w:p>
      <w:pPr>
        <w:spacing w:after="0" w:line="142" w:lineRule="exact"/>
        <w:rPr>
          <w:rFonts w:ascii="Arial" w:cs="Arial" w:eastAsia="Arial" w:hAnsi="Arial"/>
          <w:sz w:val="19"/>
          <w:szCs w:val="19"/>
          <w:color w:val="auto"/>
        </w:rPr>
      </w:pPr>
    </w:p>
    <w:p>
      <w:pPr>
        <w:jc w:val="both"/>
        <w:ind w:left="940" w:hanging="315"/>
        <w:spacing w:after="0" w:line="288" w:lineRule="auto"/>
        <w:tabs>
          <w:tab w:leader="none" w:pos="932" w:val="left"/>
        </w:tabs>
        <w:numPr>
          <w:ilvl w:val="1"/>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Verification of Information</w:t>
      </w:r>
      <w:r>
        <w:rPr>
          <w:rFonts w:ascii="Arial" w:cs="Arial" w:eastAsia="Arial" w:hAnsi="Arial"/>
          <w:sz w:val="19"/>
          <w:szCs w:val="19"/>
          <w:color w:val="auto"/>
        </w:rPr>
        <w:t>. This Agreement is also contingent upon the successful verification of the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w:t>
      </w:r>
    </w:p>
    <w:p>
      <w:pPr>
        <w:ind w:left="940"/>
        <w:spacing w:after="0" w:line="319" w:lineRule="auto"/>
        <w:rPr>
          <w:rFonts w:ascii="Arial" w:cs="Arial" w:eastAsia="Arial" w:hAnsi="Arial"/>
          <w:sz w:val="19"/>
          <w:szCs w:val="19"/>
          <w:color w:val="auto"/>
        </w:rPr>
      </w:pPr>
      <w:r>
        <w:rPr>
          <w:rFonts w:ascii="Arial" w:cs="Arial" w:eastAsia="Arial" w:hAnsi="Arial"/>
          <w:sz w:val="19"/>
          <w:szCs w:val="19"/>
          <w:color w:val="auto"/>
        </w:rPr>
        <w:t>Executive expressly releases the Company from any claim or cause of action arising out of the Company’s verification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900"/>
          </w:cols>
          <w:pgMar w:left="620" w:top="767" w:right="379" w:bottom="1440" w:gutter="0" w:footer="0" w:header="0"/>
        </w:sectPr>
      </w:pPr>
    </w:p>
    <w:bookmarkStart w:id="143" w:name="page144"/>
    <w:bookmarkEnd w:id="143"/>
    <w:p>
      <w:pPr>
        <w:ind w:left="300" w:hanging="298"/>
        <w:spacing w:after="0"/>
        <w:tabs>
          <w:tab w:leader="none" w:pos="300"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w:t>
      </w:r>
      <w:r>
        <w:rPr>
          <w:rFonts w:ascii="Arial" w:cs="Arial" w:eastAsia="Arial" w:hAnsi="Arial"/>
          <w:sz w:val="19"/>
          <w:szCs w:val="19"/>
          <w:b w:val="1"/>
          <w:bCs w:val="1"/>
          <w:color w:val="auto"/>
        </w:rPr>
        <w:t>.</w:t>
      </w:r>
    </w:p>
    <w:p>
      <w:pPr>
        <w:spacing w:after="0" w:line="222" w:lineRule="exact"/>
        <w:rPr>
          <w:rFonts w:ascii="Arial" w:cs="Arial" w:eastAsia="Arial" w:hAnsi="Arial"/>
          <w:sz w:val="19"/>
          <w:szCs w:val="19"/>
          <w:color w:val="auto"/>
        </w:rPr>
      </w:pPr>
    </w:p>
    <w:p>
      <w:pPr>
        <w:jc w:val="both"/>
        <w:ind w:left="940" w:hanging="315"/>
        <w:spacing w:after="0" w:line="297" w:lineRule="auto"/>
        <w:tabs>
          <w:tab w:leader="none" w:pos="93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any successor (whether direct or indirect and</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by purchase, lease, merger, consolidation, liquidation or otherwise) to all or substantially all of the Company’s business and/or assets. For all purposes under this Agreement, the term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include any successor to the Company’s business or assets that become bound by this Agreement or any affiliate of any such successor that employs Executive.</w:t>
      </w:r>
    </w:p>
    <w:p>
      <w:pPr>
        <w:spacing w:after="0" w:line="153" w:lineRule="exact"/>
        <w:rPr>
          <w:rFonts w:ascii="Arial" w:cs="Arial" w:eastAsia="Arial" w:hAnsi="Arial"/>
          <w:sz w:val="19"/>
          <w:szCs w:val="19"/>
          <w:color w:val="auto"/>
        </w:rPr>
      </w:pPr>
    </w:p>
    <w:p>
      <w:pPr>
        <w:jc w:val="both"/>
        <w:ind w:left="940" w:hanging="315"/>
        <w:spacing w:after="0" w:line="309" w:lineRule="auto"/>
        <w:tabs>
          <w:tab w:leader="none" w:pos="93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Executive’s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of Executive’s rights hereunder shall inure to the benefit of, and be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enforceable by, Executive’s personal or legal representatives, executors, administrators, successors, heirs, distributees, devisees and legatees.</w:t>
      </w:r>
    </w:p>
    <w:p>
      <w:pPr>
        <w:spacing w:after="0" w:line="103" w:lineRule="exact"/>
        <w:rPr>
          <w:rFonts w:ascii="Arial" w:cs="Arial" w:eastAsia="Arial" w:hAnsi="Arial"/>
          <w:sz w:val="19"/>
          <w:szCs w:val="19"/>
          <w:color w:val="auto"/>
        </w:rPr>
      </w:pPr>
    </w:p>
    <w:p>
      <w:pPr>
        <w:ind w:left="300" w:hanging="298"/>
        <w:spacing w:after="0"/>
        <w:tabs>
          <w:tab w:leader="none" w:pos="300"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 Provisions</w:t>
      </w:r>
      <w:r>
        <w:rPr>
          <w:rFonts w:ascii="Arial" w:cs="Arial" w:eastAsia="Arial" w:hAnsi="Arial"/>
          <w:sz w:val="19"/>
          <w:szCs w:val="19"/>
          <w:b w:val="1"/>
          <w:bCs w:val="1"/>
          <w:color w:val="auto"/>
        </w:rPr>
        <w:t>.</w:t>
      </w:r>
    </w:p>
    <w:p>
      <w:pPr>
        <w:spacing w:after="0" w:line="222" w:lineRule="exact"/>
        <w:rPr>
          <w:rFonts w:ascii="Arial" w:cs="Arial" w:eastAsia="Arial" w:hAnsi="Arial"/>
          <w:sz w:val="19"/>
          <w:szCs w:val="19"/>
          <w:color w:val="auto"/>
        </w:rPr>
      </w:pPr>
    </w:p>
    <w:p>
      <w:pPr>
        <w:jc w:val="both"/>
        <w:ind w:left="940" w:hanging="315"/>
        <w:spacing w:after="0" w:line="296" w:lineRule="auto"/>
        <w:tabs>
          <w:tab w:leader="none" w:pos="93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indemnify Executive to the maximum extent permitted by applicable law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29" w:lineRule="exact"/>
        <w:rPr>
          <w:rFonts w:ascii="Arial" w:cs="Arial" w:eastAsia="Arial" w:hAnsi="Arial"/>
          <w:sz w:val="19"/>
          <w:szCs w:val="19"/>
          <w:color w:val="auto"/>
        </w:rPr>
      </w:pPr>
    </w:p>
    <w:p>
      <w:pPr>
        <w:ind w:left="940" w:hanging="315"/>
        <w:spacing w:after="0" w:line="334" w:lineRule="auto"/>
        <w:tabs>
          <w:tab w:leader="none" w:pos="93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All captions and section headings used in this Agreement are for convenient reference only and do not</w:t>
      </w:r>
      <w:r>
        <w:rPr>
          <w:rFonts w:ascii="Arial" w:cs="Arial" w:eastAsia="Arial" w:hAnsi="Arial"/>
          <w:sz w:val="19"/>
          <w:szCs w:val="19"/>
          <w:b w:val="1"/>
          <w:bCs w:val="1"/>
          <w:color w:val="auto"/>
        </w:rPr>
        <w:t xml:space="preserve"> </w:t>
      </w:r>
      <w:r>
        <w:rPr>
          <w:rFonts w:ascii="Arial" w:cs="Arial" w:eastAsia="Arial" w:hAnsi="Arial"/>
          <w:sz w:val="19"/>
          <w:szCs w:val="19"/>
          <w:color w:val="auto"/>
        </w:rPr>
        <w:t>form a part of this Agreement.</w:t>
      </w:r>
    </w:p>
    <w:p>
      <w:pPr>
        <w:spacing w:after="0" w:line="79" w:lineRule="exact"/>
        <w:rPr>
          <w:rFonts w:ascii="Arial" w:cs="Arial" w:eastAsia="Arial" w:hAnsi="Arial"/>
          <w:sz w:val="19"/>
          <w:szCs w:val="19"/>
          <w:color w:val="auto"/>
        </w:rPr>
      </w:pPr>
    </w:p>
    <w:p>
      <w:pPr>
        <w:ind w:left="920" w:hanging="295"/>
        <w:spacing w:after="0"/>
        <w:tabs>
          <w:tab w:leader="none" w:pos="920" w:val="left"/>
        </w:tabs>
        <w:numPr>
          <w:ilvl w:val="1"/>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222" w:lineRule="exact"/>
        <w:rPr>
          <w:rFonts w:ascii="Arial" w:cs="Arial" w:eastAsia="Arial" w:hAnsi="Arial"/>
          <w:sz w:val="19"/>
          <w:szCs w:val="19"/>
          <w:color w:val="auto"/>
        </w:rPr>
      </w:pPr>
    </w:p>
    <w:p>
      <w:pPr>
        <w:jc w:val="both"/>
        <w:ind w:left="1600" w:hanging="455"/>
        <w:spacing w:after="0" w:line="288" w:lineRule="auto"/>
        <w:tabs>
          <w:tab w:leader="none" w:pos="1597" w:val="left"/>
        </w:tabs>
        <w:numPr>
          <w:ilvl w:val="2"/>
          <w:numId w:val="7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w:t>
      </w:r>
    </w:p>
    <w:p>
      <w:pPr>
        <w:spacing w:after="0" w:line="2" w:lineRule="exact"/>
        <w:rPr>
          <w:rFonts w:ascii="Arial" w:cs="Arial" w:eastAsia="Arial" w:hAnsi="Arial"/>
          <w:sz w:val="19"/>
          <w:szCs w:val="19"/>
          <w:color w:val="auto"/>
        </w:rPr>
      </w:pPr>
    </w:p>
    <w:p>
      <w:pPr>
        <w:ind w:left="1600"/>
        <w:spacing w:after="0" w:line="319" w:lineRule="auto"/>
        <w:rPr>
          <w:rFonts w:ascii="Arial" w:cs="Arial" w:eastAsia="Arial" w:hAnsi="Arial"/>
          <w:sz w:val="19"/>
          <w:szCs w:val="19"/>
          <w:color w:val="auto"/>
        </w:rPr>
      </w:pPr>
      <w:r>
        <w:rPr>
          <w:rFonts w:ascii="Arial" w:cs="Arial" w:eastAsia="Arial" w:hAnsi="Arial"/>
          <w:sz w:val="19"/>
          <w:szCs w:val="19"/>
          <w:color w:val="auto"/>
        </w:rPr>
        <w:t>case of the Company, mailed notices shall be addressed to its corporate headquarters, and all notices shall be directed to the attention of its Secretary.</w:t>
      </w:r>
    </w:p>
    <w:p>
      <w:pPr>
        <w:spacing w:after="0" w:line="107" w:lineRule="exact"/>
        <w:rPr>
          <w:rFonts w:ascii="Arial" w:cs="Arial" w:eastAsia="Arial" w:hAnsi="Arial"/>
          <w:sz w:val="19"/>
          <w:szCs w:val="19"/>
          <w:color w:val="auto"/>
        </w:rPr>
      </w:pPr>
    </w:p>
    <w:p>
      <w:pPr>
        <w:jc w:val="both"/>
        <w:ind w:left="1600" w:hanging="455"/>
        <w:spacing w:after="0" w:line="289" w:lineRule="auto"/>
        <w:tabs>
          <w:tab w:leader="none" w:pos="1588" w:val="left"/>
        </w:tabs>
        <w:numPr>
          <w:ilvl w:val="2"/>
          <w:numId w:val="74"/>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w:t>
      </w:r>
    </w:p>
    <w:p>
      <w:pPr>
        <w:spacing w:after="0" w:line="2" w:lineRule="exact"/>
        <w:rPr>
          <w:rFonts w:ascii="Arial" w:cs="Arial" w:eastAsia="Arial" w:hAnsi="Arial"/>
          <w:sz w:val="19"/>
          <w:szCs w:val="19"/>
          <w:color w:val="auto"/>
        </w:rPr>
      </w:pPr>
    </w:p>
    <w:p>
      <w:pPr>
        <w:jc w:val="both"/>
        <w:ind w:left="1600"/>
        <w:spacing w:after="0" w:line="296" w:lineRule="auto"/>
        <w:rPr>
          <w:rFonts w:ascii="Arial" w:cs="Arial" w:eastAsia="Arial" w:hAnsi="Arial"/>
          <w:sz w:val="19"/>
          <w:szCs w:val="19"/>
          <w:color w:val="auto"/>
        </w:rPr>
      </w:pPr>
      <w:r>
        <w:rPr>
          <w:rFonts w:ascii="Arial" w:cs="Arial" w:eastAsia="Arial" w:hAnsi="Arial"/>
          <w:sz w:val="19"/>
          <w:szCs w:val="19"/>
          <w:color w:val="auto"/>
        </w:rPr>
        <w:t>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900"/>
          </w:cols>
          <w:pgMar w:left="620" w:top="754" w:right="379" w:bottom="1440" w:gutter="0" w:footer="0" w:header="0"/>
        </w:sectPr>
      </w:pPr>
    </w:p>
    <w:bookmarkStart w:id="144" w:name="page145"/>
    <w:bookmarkEnd w:id="144"/>
    <w:p>
      <w:pPr>
        <w:jc w:val="both"/>
        <w:ind w:left="975"/>
        <w:spacing w:after="0" w:line="301" w:lineRule="auto"/>
        <w:rPr>
          <w:sz w:val="20"/>
          <w:szCs w:val="20"/>
          <w:color w:val="auto"/>
        </w:rPr>
      </w:pPr>
      <w:r>
        <w:rPr>
          <w:rFonts w:ascii="Arial" w:cs="Arial" w:eastAsia="Arial" w:hAnsi="Arial"/>
          <w:sz w:val="19"/>
          <w:szCs w:val="19"/>
          <w:color w:val="auto"/>
        </w:rPr>
        <w:t>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sixty (60) days advance written notice.</w:t>
      </w:r>
    </w:p>
    <w:p>
      <w:pPr>
        <w:spacing w:after="0" w:line="124" w:lineRule="exact"/>
        <w:rPr>
          <w:sz w:val="20"/>
          <w:szCs w:val="20"/>
          <w:color w:val="auto"/>
        </w:rPr>
      </w:pPr>
    </w:p>
    <w:p>
      <w:pPr>
        <w:jc w:val="both"/>
        <w:ind w:left="315" w:hanging="315"/>
        <w:spacing w:after="0" w:line="289" w:lineRule="auto"/>
        <w:tabs>
          <w:tab w:leader="none" w:pos="305"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Modifications and Waivers</w:t>
      </w:r>
      <w:r>
        <w:rPr>
          <w:rFonts w:ascii="Arial" w:cs="Arial" w:eastAsia="Arial" w:hAnsi="Arial"/>
          <w:sz w:val="19"/>
          <w:szCs w:val="19"/>
          <w:b w:val="1"/>
          <w:bCs w:val="1"/>
          <w:color w:val="auto"/>
        </w:rPr>
        <w:t xml:space="preserve">. </w:t>
      </w:r>
      <w:r>
        <w:rPr>
          <w:rFonts w:ascii="Arial" w:cs="Arial" w:eastAsia="Arial" w:hAnsi="Arial"/>
          <w:sz w:val="19"/>
          <w:szCs w:val="19"/>
          <w:color w:val="auto"/>
        </w:rPr>
        <w:t>No provision of this Agreement shall be modified, waived or discharged unless the</w:t>
      </w:r>
      <w:r>
        <w:rPr>
          <w:rFonts w:ascii="Arial" w:cs="Arial" w:eastAsia="Arial" w:hAnsi="Arial"/>
          <w:sz w:val="19"/>
          <w:szCs w:val="19"/>
          <w:b w:val="1"/>
          <w:bCs w:val="1"/>
          <w:color w:val="auto"/>
        </w:rPr>
        <w:t xml:space="preserve"> </w:t>
      </w:r>
      <w:r>
        <w:rPr>
          <w:rFonts w:ascii="Arial" w:cs="Arial" w:eastAsia="Arial" w:hAnsi="Arial"/>
          <w:sz w:val="19"/>
          <w:szCs w:val="19"/>
          <w:color w:val="auto"/>
        </w:rPr>
        <w:t>modification, waiver or discharge is agreed to in writing and signed by Executive and by an authorized officer of the Company (other than Executive ). No waiver by either party of any breach of, or of compliance with, any condition or</w:t>
      </w:r>
    </w:p>
    <w:p>
      <w:pPr>
        <w:spacing w:after="0" w:line="2" w:lineRule="exact"/>
        <w:rPr>
          <w:rFonts w:ascii="Arial" w:cs="Arial" w:eastAsia="Arial" w:hAnsi="Arial"/>
          <w:sz w:val="19"/>
          <w:szCs w:val="19"/>
          <w:color w:val="auto"/>
        </w:rPr>
      </w:pPr>
    </w:p>
    <w:p>
      <w:pPr>
        <w:ind w:left="315"/>
        <w:spacing w:after="0" w:line="319" w:lineRule="auto"/>
        <w:rPr>
          <w:rFonts w:ascii="Arial" w:cs="Arial" w:eastAsia="Arial" w:hAnsi="Arial"/>
          <w:sz w:val="19"/>
          <w:szCs w:val="19"/>
          <w:color w:val="auto"/>
        </w:rPr>
      </w:pPr>
      <w:r>
        <w:rPr>
          <w:rFonts w:ascii="Arial" w:cs="Arial" w:eastAsia="Arial" w:hAnsi="Arial"/>
          <w:sz w:val="19"/>
          <w:szCs w:val="19"/>
          <w:color w:val="auto"/>
        </w:rPr>
        <w:t>provision of this Agreement by the other party shall be considered a waiver of any other condition or provision or of the same condition or provision at another time.</w:t>
      </w:r>
    </w:p>
    <w:p>
      <w:pPr>
        <w:spacing w:after="0" w:line="107" w:lineRule="exact"/>
        <w:rPr>
          <w:rFonts w:ascii="Arial" w:cs="Arial" w:eastAsia="Arial" w:hAnsi="Arial"/>
          <w:sz w:val="19"/>
          <w:szCs w:val="19"/>
          <w:color w:val="auto"/>
        </w:rPr>
      </w:pPr>
    </w:p>
    <w:p>
      <w:pPr>
        <w:jc w:val="both"/>
        <w:ind w:left="315" w:hanging="315"/>
        <w:spacing w:after="0" w:line="302" w:lineRule="auto"/>
        <w:tabs>
          <w:tab w:leader="none" w:pos="305"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the Confidentiality Agreement contain the entire understanding of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subject matter hereof and supersede all other prior or contemporaneous discussions, understandings and agreements, whether oral or written, between them relating to the subject matter hereof.</w:t>
      </w:r>
    </w:p>
    <w:p>
      <w:pPr>
        <w:spacing w:after="0" w:line="135" w:lineRule="exact"/>
        <w:rPr>
          <w:rFonts w:ascii="Arial" w:cs="Arial" w:eastAsia="Arial" w:hAnsi="Arial"/>
          <w:sz w:val="19"/>
          <w:szCs w:val="19"/>
          <w:color w:val="auto"/>
        </w:rPr>
      </w:pPr>
    </w:p>
    <w:p>
      <w:pPr>
        <w:ind w:left="315" w:hanging="315"/>
        <w:spacing w:after="0" w:line="319" w:lineRule="auto"/>
        <w:tabs>
          <w:tab w:leader="none" w:pos="304"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 xml:space="preserve">. </w:t>
      </w:r>
      <w:r>
        <w:rPr>
          <w:rFonts w:ascii="Arial" w:cs="Arial" w:eastAsia="Arial" w:hAnsi="Arial"/>
          <w:sz w:val="19"/>
          <w:szCs w:val="19"/>
          <w:color w:val="auto"/>
        </w:rPr>
        <w:t>All payments made under this Agreement shall be subject to reduction to reflect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deductions required to be withheld by law.</w:t>
      </w:r>
    </w:p>
    <w:p>
      <w:pPr>
        <w:spacing w:after="0" w:line="107" w:lineRule="exact"/>
        <w:rPr>
          <w:rFonts w:ascii="Arial" w:cs="Arial" w:eastAsia="Arial" w:hAnsi="Arial"/>
          <w:sz w:val="19"/>
          <w:szCs w:val="19"/>
          <w:color w:val="auto"/>
        </w:rPr>
      </w:pPr>
    </w:p>
    <w:p>
      <w:pPr>
        <w:jc w:val="both"/>
        <w:ind w:left="315" w:hanging="315"/>
        <w:spacing w:after="0" w:line="289" w:lineRule="auto"/>
        <w:tabs>
          <w:tab w:leader="none" w:pos="305"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Minnesota without giving effect to provisions governing the choice of law. If any provision of this Agreement becomes or is deemed invalid, illegal or unenforceable in any applicable jurisdiction by reason of the scope, extent or duration of</w:t>
      </w:r>
    </w:p>
    <w:p>
      <w:pPr>
        <w:spacing w:after="0" w:line="2" w:lineRule="exact"/>
        <w:rPr>
          <w:rFonts w:ascii="Arial" w:cs="Arial" w:eastAsia="Arial" w:hAnsi="Arial"/>
          <w:sz w:val="19"/>
          <w:szCs w:val="19"/>
          <w:color w:val="auto"/>
        </w:rPr>
      </w:pPr>
    </w:p>
    <w:p>
      <w:pPr>
        <w:jc w:val="both"/>
        <w:ind w:left="315"/>
        <w:spacing w:after="0" w:line="288" w:lineRule="auto"/>
        <w:rPr>
          <w:rFonts w:ascii="Arial" w:cs="Arial" w:eastAsia="Arial" w:hAnsi="Arial"/>
          <w:sz w:val="19"/>
          <w:szCs w:val="19"/>
          <w:color w:val="auto"/>
        </w:rPr>
      </w:pPr>
      <w:r>
        <w:rPr>
          <w:rFonts w:ascii="Arial" w:cs="Arial" w:eastAsia="Arial" w:hAnsi="Arial"/>
          <w:sz w:val="19"/>
          <w:szCs w:val="19"/>
          <w:color w:val="auto"/>
        </w:rPr>
        <w:t>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w:t>
      </w:r>
    </w:p>
    <w:p>
      <w:pPr>
        <w:spacing w:after="0" w:line="2" w:lineRule="exact"/>
        <w:rPr>
          <w:rFonts w:ascii="Arial" w:cs="Arial" w:eastAsia="Arial" w:hAnsi="Arial"/>
          <w:sz w:val="19"/>
          <w:szCs w:val="19"/>
          <w:color w:val="auto"/>
        </w:rPr>
      </w:pPr>
    </w:p>
    <w:p>
      <w:pPr>
        <w:jc w:val="both"/>
        <w:ind w:left="315"/>
        <w:spacing w:after="0" w:line="302" w:lineRule="auto"/>
        <w:rPr>
          <w:rFonts w:ascii="Arial" w:cs="Arial" w:eastAsia="Arial" w:hAnsi="Arial"/>
          <w:sz w:val="19"/>
          <w:szCs w:val="19"/>
          <w:color w:val="auto"/>
        </w:rPr>
      </w:pPr>
      <w:r>
        <w:rPr>
          <w:rFonts w:ascii="Arial" w:cs="Arial" w:eastAsia="Arial" w:hAnsi="Arial"/>
          <w:sz w:val="19"/>
          <w:szCs w:val="19"/>
          <w:color w:val="auto"/>
        </w:rPr>
        <w:t>ordinance or regulation (collectively, the “</w:t>
      </w:r>
      <w:r>
        <w:rPr>
          <w:rFonts w:ascii="Arial" w:cs="Arial" w:eastAsia="Arial" w:hAnsi="Arial"/>
          <w:sz w:val="19"/>
          <w:szCs w:val="19"/>
          <w:b w:val="1"/>
          <w:bCs w:val="1"/>
          <w:i w:val="1"/>
          <w:iCs w:val="1"/>
          <w:color w:val="auto"/>
        </w:rPr>
        <w:t>Law</w:t>
      </w:r>
      <w:r>
        <w:rPr>
          <w:rFonts w:ascii="Arial" w:cs="Arial" w:eastAsia="Arial" w:hAnsi="Arial"/>
          <w:sz w:val="19"/>
          <w:szCs w:val="19"/>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48" w:lineRule="exact"/>
        <w:rPr>
          <w:rFonts w:ascii="Arial" w:cs="Arial" w:eastAsia="Arial" w:hAnsi="Arial"/>
          <w:sz w:val="19"/>
          <w:szCs w:val="19"/>
          <w:color w:val="auto"/>
        </w:rPr>
      </w:pPr>
    </w:p>
    <w:p>
      <w:pPr>
        <w:jc w:val="both"/>
        <w:ind w:left="315" w:hanging="315"/>
        <w:spacing w:after="0" w:line="296" w:lineRule="auto"/>
        <w:tabs>
          <w:tab w:leader="none" w:pos="305"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No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of Executive’s rights and obligations hereunder are personal to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95"/>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275"/>
          </w:cols>
          <w:pgMar w:left="1245" w:top="767" w:right="379" w:bottom="1440" w:gutter="0" w:footer="0" w:header="0"/>
        </w:sectPr>
      </w:pPr>
    </w:p>
    <w:bookmarkStart w:id="145" w:name="page146"/>
    <w:bookmarkEnd w:id="145"/>
    <w:p>
      <w:pPr>
        <w:jc w:val="both"/>
        <w:ind w:left="315" w:hanging="315"/>
        <w:spacing w:after="0" w:line="302" w:lineRule="auto"/>
        <w:tabs>
          <w:tab w:leader="none" w:pos="306"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Acknowledgment</w:t>
      </w:r>
      <w:r>
        <w:rPr>
          <w:rFonts w:ascii="Arial" w:cs="Arial" w:eastAsia="Arial" w:hAnsi="Arial"/>
          <w:sz w:val="19"/>
          <w:szCs w:val="19"/>
          <w:color w:val="auto"/>
        </w:rPr>
        <w:t>. Executive acknowledges that Executive has had the opportunity to discuss this matter with and</w:t>
      </w:r>
      <w:r>
        <w:rPr>
          <w:rFonts w:ascii="Arial" w:cs="Arial" w:eastAsia="Arial" w:hAnsi="Arial"/>
          <w:sz w:val="19"/>
          <w:szCs w:val="19"/>
          <w:b w:val="1"/>
          <w:bCs w:val="1"/>
          <w:color w:val="auto"/>
        </w:rPr>
        <w:t xml:space="preserve"> </w:t>
      </w:r>
      <w:r>
        <w:rPr>
          <w:rFonts w:ascii="Arial" w:cs="Arial" w:eastAsia="Arial" w:hAnsi="Arial"/>
          <w:sz w:val="19"/>
          <w:szCs w:val="19"/>
          <w:color w:val="auto"/>
        </w:rPr>
        <w:t>obtain advice from Executive’s personal attorney, has had sufficient time to, and has carefully read and fully understood all the provisions of this Agreement, and is knowingly and voluntarily entering into this Agreement.</w:t>
      </w:r>
    </w:p>
    <w:p>
      <w:pPr>
        <w:spacing w:after="0" w:line="135" w:lineRule="exact"/>
        <w:rPr>
          <w:rFonts w:ascii="Arial" w:cs="Arial" w:eastAsia="Arial" w:hAnsi="Arial"/>
          <w:sz w:val="19"/>
          <w:szCs w:val="19"/>
          <w:color w:val="auto"/>
        </w:rPr>
      </w:pPr>
    </w:p>
    <w:p>
      <w:pPr>
        <w:jc w:val="both"/>
        <w:ind w:left="315" w:hanging="315"/>
        <w:spacing w:after="0" w:line="296" w:lineRule="auto"/>
        <w:tabs>
          <w:tab w:leader="none" w:pos="306"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two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but all of which together shall constitute one and the same instrument. Execution of a facsimile copy will have the same force and effect as execution of an original, and a facsimile signature will be deemed an original and valid signature.</w:t>
      </w:r>
    </w:p>
    <w:p>
      <w:pPr>
        <w:spacing w:after="0" w:line="129" w:lineRule="exact"/>
        <w:rPr>
          <w:rFonts w:ascii="Arial" w:cs="Arial" w:eastAsia="Arial" w:hAnsi="Arial"/>
          <w:sz w:val="19"/>
          <w:szCs w:val="19"/>
          <w:color w:val="auto"/>
        </w:rPr>
      </w:pPr>
    </w:p>
    <w:p>
      <w:pPr>
        <w:ind w:left="315" w:hanging="315"/>
        <w:spacing w:after="0" w:line="334" w:lineRule="auto"/>
        <w:tabs>
          <w:tab w:leader="none" w:pos="307"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in its sole discretion, decide to deliver any documents or notices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letter, securities of the Company or any</w:t>
      </w:r>
    </w:p>
    <w:p>
      <w:pPr>
        <w:spacing w:after="0" w:line="93" w:lineRule="exact"/>
        <w:rPr>
          <w:sz w:val="20"/>
          <w:szCs w:val="20"/>
          <w:color w:val="auto"/>
        </w:rPr>
      </w:pPr>
    </w:p>
    <w:p>
      <w:pPr>
        <w:jc w:val="both"/>
        <w:ind w:left="315"/>
        <w:spacing w:after="0" w:line="297" w:lineRule="auto"/>
        <w:rPr>
          <w:sz w:val="20"/>
          <w:szCs w:val="20"/>
          <w:color w:val="auto"/>
        </w:rPr>
      </w:pPr>
      <w:r>
        <w:rPr>
          <w:rFonts w:ascii="Arial" w:cs="Arial" w:eastAsia="Arial" w:hAnsi="Arial"/>
          <w:sz w:val="19"/>
          <w:szCs w:val="19"/>
          <w:color w:val="auto"/>
        </w:rPr>
        <w:t>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43" w:lineRule="exact"/>
        <w:rPr>
          <w:sz w:val="20"/>
          <w:szCs w:val="20"/>
          <w:color w:val="auto"/>
        </w:rPr>
      </w:pPr>
    </w:p>
    <w:p>
      <w:pPr>
        <w:ind w:left="3635"/>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95"/>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275"/>
          </w:cols>
          <w:pgMar w:left="1245" w:top="767" w:right="379" w:bottom="1440" w:gutter="0" w:footer="0" w:header="0"/>
        </w:sectPr>
      </w:pPr>
    </w:p>
    <w:bookmarkStart w:id="146" w:name="page147"/>
    <w:bookmarkEnd w:id="146"/>
    <w:p>
      <w:pPr>
        <w:jc w:val="both"/>
        <w:spacing w:after="0" w:line="309" w:lineRule="auto"/>
        <w:rPr>
          <w:sz w:val="20"/>
          <w:szCs w:val="20"/>
          <w:color w:val="auto"/>
        </w:rPr>
      </w:pPr>
      <w:r>
        <w:rPr>
          <w:rFonts w:ascii="Arial" w:cs="Arial" w:eastAsia="Arial" w:hAnsi="Arial"/>
          <w:sz w:val="19"/>
          <w:szCs w:val="19"/>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Vivek Garipalli</w:t>
      </w:r>
    </w:p>
    <w:p>
      <w:pPr>
        <w:spacing w:after="0" w:line="4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Vivek Garipalli, CEO &amp; Co-Founder</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to and Accepted by: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Brady Priest</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Brady Priest</w:t>
      </w:r>
    </w:p>
    <w:p>
      <w:pPr>
        <w:spacing w:after="0" w:line="192" w:lineRule="exact"/>
        <w:rPr>
          <w:sz w:val="20"/>
          <w:szCs w:val="20"/>
          <w:color w:val="auto"/>
        </w:rPr>
      </w:pPr>
    </w:p>
    <w:p>
      <w:pPr>
        <w:ind w:left="180"/>
        <w:spacing w:after="0"/>
        <w:rPr>
          <w:sz w:val="20"/>
          <w:szCs w:val="20"/>
          <w:color w:val="auto"/>
        </w:rPr>
      </w:pPr>
      <w:r>
        <w:rPr>
          <w:rFonts w:ascii="Calibri" w:cs="Calibri" w:eastAsia="Calibri" w:hAnsi="Calibri"/>
          <w:sz w:val="17"/>
          <w:szCs w:val="17"/>
          <w:color w:val="auto"/>
        </w:rPr>
        <w:t>7/8/2022</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00"/>
          </w:cols>
          <w:pgMar w:left="320" w:top="987" w:right="379" w:bottom="1440" w:gutter="0" w:footer="0" w:header="0"/>
        </w:sectPr>
      </w:pPr>
    </w:p>
    <w:bookmarkStart w:id="147" w:name="page148"/>
    <w:bookmarkEnd w:id="147"/>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CLOVER HEALTH INVESTMENTS, CORP</w:t>
      </w:r>
      <w:r>
        <w:rPr>
          <w:rFonts w:ascii="Times New Roman" w:cs="Times New Roman" w:eastAsia="Times New Roman" w:hAnsi="Times New Roman"/>
          <w:sz w:val="19"/>
          <w:szCs w:val="19"/>
          <w:b w:val="1"/>
          <w:bCs w:val="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Mr. Prabhdeep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Prabhdeep:</w:t>
      </w:r>
    </w:p>
    <w:p>
      <w:pPr>
        <w:spacing w:after="0" w:line="1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This letter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confirms the agreement between you and Clover Health Investments, Corp. (collectively, with its affiliates and subsidiaries,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regarding the termination of your employment with the Company.</w:t>
      </w:r>
    </w:p>
    <w:p>
      <w:pPr>
        <w:spacing w:after="0" w:line="147" w:lineRule="exact"/>
        <w:rPr>
          <w:sz w:val="20"/>
          <w:szCs w:val="20"/>
          <w:color w:val="auto"/>
        </w:rPr>
      </w:pPr>
    </w:p>
    <w:p>
      <w:pPr>
        <w:jc w:val="both"/>
        <w:ind w:firstLine="4"/>
        <w:spacing w:after="0" w:line="220" w:lineRule="auto"/>
        <w:tabs>
          <w:tab w:leader="none" w:pos="62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By signing this Agreement, you hereby agree to resign, effective as of March 31, 2023 (the “</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from any and all officer or other positions held by you with the Company or any of its subsidiaries or affiliates, and you agree to execute and deliver any additional documentation that may be necessary to give effect to all such resignations. After the Separation Date, you agree that you will not represent to anyone that you are still an employee or officer of the Company and you will not say or do anything purporting to bind the Company or any of its affiliates.</w:t>
      </w:r>
    </w:p>
    <w:p>
      <w:pPr>
        <w:spacing w:after="0" w:line="153" w:lineRule="exact"/>
        <w:rPr>
          <w:rFonts w:ascii="Times New Roman" w:cs="Times New Roman" w:eastAsia="Times New Roman" w:hAnsi="Times New Roman"/>
          <w:sz w:val="19"/>
          <w:szCs w:val="19"/>
          <w:color w:val="auto"/>
        </w:rPr>
      </w:pPr>
    </w:p>
    <w:p>
      <w:pPr>
        <w:jc w:val="both"/>
        <w:ind w:firstLine="4"/>
        <w:spacing w:after="0" w:line="215" w:lineRule="auto"/>
        <w:tabs>
          <w:tab w:leader="none" w:pos="62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Other Amounts/Benefits Owed</w:t>
      </w:r>
      <w:r>
        <w:rPr>
          <w:rFonts w:ascii="Times New Roman" w:cs="Times New Roman" w:eastAsia="Times New Roman" w:hAnsi="Times New Roman"/>
          <w:sz w:val="19"/>
          <w:szCs w:val="19"/>
          <w:color w:val="auto"/>
        </w:rPr>
        <w:t>. For purposes of clarity, this paragraph shall only be considered part of the Agreement when the Agreement is re-executed on or after your Separation Date. By re-executing this Agreement on or after your Separation Date, you acknowledge and agree that, as of the Separation Date, you have been timely paid all of your salary, all of your accrued but unused vacation and paid time off, and all other wages earned through the Separation Date. You acknowledge and agree that you have been paid for all of your services with the Company and you have not earned any wages, salary, incentive compensation, bonuses, commissions or similar payments or benefits, or any other compensation or amounts that have not already been paid to you. You further agree that you have no unreimbursed business expenses arising out of your employment with the Company. You also agree that, prior to the execution of this Agreement, you were not entitled to receive any further payments or benefits from the Company, and the only payments and benefits that you are entitled to receive from the Company in the future are those specified in this Agreement.</w:t>
      </w:r>
    </w:p>
    <w:p>
      <w:pPr>
        <w:spacing w:after="0" w:line="159" w:lineRule="exact"/>
        <w:rPr>
          <w:rFonts w:ascii="Times New Roman" w:cs="Times New Roman" w:eastAsia="Times New Roman" w:hAnsi="Times New Roman"/>
          <w:sz w:val="19"/>
          <w:szCs w:val="19"/>
          <w:color w:val="auto"/>
        </w:rPr>
      </w:pPr>
    </w:p>
    <w:p>
      <w:pPr>
        <w:jc w:val="both"/>
        <w:ind w:firstLine="4"/>
        <w:spacing w:after="0" w:line="225" w:lineRule="auto"/>
        <w:tabs>
          <w:tab w:leader="none" w:pos="62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Consideration for Execution of this Agreement and Provision of Services</w:t>
      </w:r>
      <w:r>
        <w:rPr>
          <w:rFonts w:ascii="Times New Roman" w:cs="Times New Roman" w:eastAsia="Times New Roman" w:hAnsi="Times New Roman"/>
          <w:sz w:val="19"/>
          <w:szCs w:val="19"/>
          <w:color w:val="auto"/>
        </w:rPr>
        <w:t>. Although you are not otherwise entitled to receive any severance from the Company, subject to, and in consideration for, your execution of this Agreement and re-execution on or after the Separation Date and on or before the Deadline (as defined below), without revocation, and provided you comply with all of the terms and conditions of this Agreement, the Covenants Agreement (as defined below) and all applicable Company policies, the Company will provide you with the following:</w:t>
      </w:r>
    </w:p>
    <w:p>
      <w:pPr>
        <w:spacing w:after="0" w:line="154" w:lineRule="exact"/>
        <w:rPr>
          <w:rFonts w:ascii="Times New Roman" w:cs="Times New Roman" w:eastAsia="Times New Roman" w:hAnsi="Times New Roman"/>
          <w:sz w:val="19"/>
          <w:szCs w:val="19"/>
          <w:color w:val="auto"/>
        </w:rPr>
      </w:pPr>
    </w:p>
    <w:p>
      <w:pPr>
        <w:ind w:left="1560" w:hanging="310"/>
        <w:spacing w:after="0" w:line="236" w:lineRule="auto"/>
        <w:tabs>
          <w:tab w:leader="none" w:pos="1549"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The Company will pay your COBRA premiums for medical, dental, and vision benefits for three (3) months following the date that your employment with the Company ends, provided you elect COBRA benefits.</w:t>
      </w:r>
    </w:p>
    <w:p>
      <w:pPr>
        <w:spacing w:after="0" w:line="154" w:lineRule="exact"/>
        <w:rPr>
          <w:rFonts w:ascii="Times New Roman" w:cs="Times New Roman" w:eastAsia="Times New Roman" w:hAnsi="Times New Roman"/>
          <w:sz w:val="19"/>
          <w:szCs w:val="19"/>
          <w:color w:val="auto"/>
        </w:rPr>
      </w:pPr>
    </w:p>
    <w:p>
      <w:pPr>
        <w:jc w:val="both"/>
        <w:ind w:firstLine="4"/>
        <w:spacing w:after="0" w:line="218" w:lineRule="auto"/>
        <w:tabs>
          <w:tab w:leader="none" w:pos="62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Release</w:t>
      </w:r>
      <w:r>
        <w:rPr>
          <w:rFonts w:ascii="Times New Roman" w:cs="Times New Roman" w:eastAsia="Times New Roman" w:hAnsi="Times New Roman"/>
          <w:sz w:val="19"/>
          <w:szCs w:val="19"/>
          <w:color w:val="auto"/>
        </w:rPr>
        <w:t>. In consideration for receiving the benefits and payments described in Section 3 above, and for other good and valuable consideration, the sufficiency of which you hereby acknowledge, you hereby waive and release to the maximum extent permitted by applicable law any and all claims or causes of action, whether known or unknown, whether arising under equity, statute, or federal, state, foreign, or common law, that were, could have been, or in the future can or might be asserted in any court, tribunal, or proceeding against the Company or its predecessors, successors, past or present subsidiaries, affiliated companies, investors, branches, or related entities (collectively, including the Company, the “</w:t>
      </w:r>
      <w:r>
        <w:rPr>
          <w:rFonts w:ascii="Times New Roman" w:cs="Times New Roman" w:eastAsia="Times New Roman" w:hAnsi="Times New Roman"/>
          <w:sz w:val="19"/>
          <w:szCs w:val="19"/>
          <w:u w:val="single" w:color="auto"/>
          <w:color w:val="auto"/>
        </w:rPr>
        <w:t>Entities</w:t>
      </w:r>
      <w:r>
        <w:rPr>
          <w:rFonts w:ascii="Times New Roman" w:cs="Times New Roman" w:eastAsia="Times New Roman" w:hAnsi="Times New Roman"/>
          <w:sz w:val="19"/>
          <w:szCs w:val="19"/>
          <w:color w:val="auto"/>
        </w:rPr>
        <w:t>”) or the Entities’ respective past, present, or future insurers, officers, directors, agents, attorneys, employees, stockholders, assigns, and employee benefit plans (collectively with the Entities, the “</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with respect to any matter, including, without limitation,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related to your employment with the Company or the termination of that employment relationship. This waiver and release includes, without</w:t>
      </w:r>
    </w:p>
    <w:p>
      <w:pPr>
        <w:spacing w:after="0" w:line="206" w:lineRule="auto"/>
        <w:rPr>
          <w:sz w:val="20"/>
          <w:szCs w:val="20"/>
          <w:color w:val="auto"/>
        </w:rPr>
      </w:pPr>
      <w:r>
        <w:rPr>
          <w:rFonts w:ascii="Times New Roman" w:cs="Times New Roman" w:eastAsia="Times New Roman" w:hAnsi="Times New Roman"/>
          <w:sz w:val="19"/>
          <w:szCs w:val="19"/>
          <w:color w:val="auto"/>
        </w:rPr>
        <w:t>limitation, claims to wages, including overtime or minimum wages, bonuses, incentive compensation, equity compensation, vacation pay or any other compensation or benefits; any claims for failure to provide accurate itemized wage statements, failure to timely pay final pay or failure to</w:t>
      </w:r>
    </w:p>
    <w:p>
      <w:pPr>
        <w:spacing w:after="0" w:line="215" w:lineRule="auto"/>
        <w:rPr>
          <w:sz w:val="20"/>
          <w:szCs w:val="20"/>
          <w:color w:val="auto"/>
        </w:rPr>
      </w:pPr>
      <w:r>
        <w:rPr>
          <w:rFonts w:ascii="Times New Roman" w:cs="Times New Roman" w:eastAsia="Times New Roman" w:hAnsi="Times New Roman"/>
          <w:sz w:val="19"/>
          <w:szCs w:val="19"/>
          <w:color w:val="auto"/>
        </w:rPr>
        <w:t>provide meal or rest breaks; claims for any loss, cost, damage, or expense arising out of any dispute over the non-withholding or other tax</w:t>
      </w:r>
    </w:p>
    <w:p>
      <w:pPr>
        <w:jc w:val="both"/>
        <w:spacing w:after="0" w:line="206" w:lineRule="auto"/>
        <w:rPr>
          <w:sz w:val="20"/>
          <w:szCs w:val="20"/>
          <w:color w:val="auto"/>
        </w:rPr>
      </w:pPr>
      <w:r>
        <w:rPr>
          <w:rFonts w:ascii="Times New Roman" w:cs="Times New Roman" w:eastAsia="Times New Roman" w:hAnsi="Times New Roman"/>
          <w:sz w:val="19"/>
          <w:szCs w:val="19"/>
          <w:color w:val="auto"/>
        </w:rPr>
        <w:t>treatment or employment classification, claims under the Employee Retirement Income Security Act (ERISA); claims for attorneys’ fees or costs; claims for penalties; any and all claims for stock, stock options, or other equity securities of the Company; claims of wrongful discharge,</w:t>
      </w:r>
    </w:p>
    <w:p>
      <w:pPr>
        <w:spacing w:after="0" w:line="215" w:lineRule="auto"/>
        <w:rPr>
          <w:sz w:val="20"/>
          <w:szCs w:val="20"/>
          <w:color w:val="auto"/>
        </w:rPr>
      </w:pPr>
      <w:r>
        <w:rPr>
          <w:rFonts w:ascii="Times New Roman" w:cs="Times New Roman" w:eastAsia="Times New Roman" w:hAnsi="Times New Roman"/>
          <w:sz w:val="19"/>
          <w:szCs w:val="19"/>
          <w:color w:val="auto"/>
        </w:rPr>
        <w:t>constructive discharge, emotional distress, defamation, invasion of privacy, fraud, breach of contract, and breach of the covenant of good faith and</w:t>
      </w:r>
    </w:p>
    <w:p>
      <w:pPr>
        <w:jc w:val="both"/>
        <w:spacing w:after="0" w:line="206" w:lineRule="auto"/>
        <w:rPr>
          <w:sz w:val="20"/>
          <w:szCs w:val="20"/>
          <w:color w:val="auto"/>
        </w:rPr>
      </w:pPr>
      <w:r>
        <w:rPr>
          <w:rFonts w:ascii="Times New Roman" w:cs="Times New Roman" w:eastAsia="Times New Roman" w:hAnsi="Times New Roman"/>
          <w:sz w:val="19"/>
          <w:szCs w:val="19"/>
          <w:color w:val="auto"/>
        </w:rPr>
        <w:t>fair dealing; any claims of discrimination, harassment, or retaliation based on sex, age, race, national origin, disability, or on any other protected basis, under Title VII of the Civil Rights Act of 1964, the Age Discrimination in Employment Act of 1967, the Americans with Disabilities Act,</w:t>
      </w:r>
    </w:p>
    <w:p>
      <w:pPr>
        <w:spacing w:after="0" w:line="215" w:lineRule="auto"/>
        <w:rPr>
          <w:sz w:val="20"/>
          <w:szCs w:val="20"/>
          <w:color w:val="auto"/>
        </w:rPr>
      </w:pPr>
      <w:r>
        <w:rPr>
          <w:rFonts w:ascii="Times New Roman" w:cs="Times New Roman" w:eastAsia="Times New Roman" w:hAnsi="Times New Roman"/>
          <w:sz w:val="19"/>
          <w:szCs w:val="19"/>
          <w:color w:val="auto"/>
        </w:rPr>
        <w:t>the New York State Human Rights Law (N.Y. Exec. Law § et seq.), the New York City Human Rights Law (New York City Adm. Code § 8-101,</w:t>
      </w:r>
    </w:p>
    <w:p>
      <w:pPr>
        <w:spacing w:after="0" w:line="224" w:lineRule="auto"/>
        <w:rPr>
          <w:sz w:val="20"/>
          <w:szCs w:val="20"/>
          <w:color w:val="auto"/>
        </w:rPr>
      </w:pPr>
      <w:r>
        <w:rPr>
          <w:rFonts w:ascii="Times New Roman" w:cs="Times New Roman" w:eastAsia="Times New Roman" w:hAnsi="Times New Roman"/>
          <w:sz w:val="19"/>
          <w:szCs w:val="19"/>
          <w:color w:val="auto"/>
        </w:rPr>
        <w:t>et. seq.), or any other federal, state, or local law prohibiting discrimination, harassment or retaliation, and all other federal, state and local laws, ordinances, and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covenant not to sue the Released Parties for any of the claims released above, agree not to participate in any class, collective, representative, or</w:t>
      </w:r>
    </w:p>
    <w:p>
      <w:pPr>
        <w:spacing w:after="0" w:line="206" w:lineRule="auto"/>
        <w:rPr>
          <w:sz w:val="20"/>
          <w:szCs w:val="20"/>
          <w:color w:val="auto"/>
        </w:rPr>
      </w:pPr>
      <w:r>
        <w:rPr>
          <w:rFonts w:ascii="Times New Roman" w:cs="Times New Roman" w:eastAsia="Times New Roman" w:hAnsi="Times New Roman"/>
          <w:sz w:val="19"/>
          <w:szCs w:val="19"/>
          <w:color w:val="auto"/>
        </w:rPr>
        <w:t>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w:t>
      </w:r>
    </w:p>
    <w:p>
      <w:pPr>
        <w:spacing w:after="0" w:line="215" w:lineRule="auto"/>
        <w:rPr>
          <w:sz w:val="20"/>
          <w:szCs w:val="20"/>
          <w:color w:val="auto"/>
        </w:rPr>
      </w:pPr>
      <w:r>
        <w:rPr>
          <w:rFonts w:ascii="Times New Roman" w:cs="Times New Roman" w:eastAsia="Times New Roman" w:hAnsi="Times New Roman"/>
          <w:sz w:val="19"/>
          <w:szCs w:val="19"/>
          <w:color w:val="auto"/>
        </w:rPr>
        <w:t>Released Parties, except as required by law. Nothing in this Agreement precludes you from participating in any investigation or proceeding before</w:t>
      </w:r>
    </w:p>
    <w:p>
      <w:pPr>
        <w:spacing w:after="0" w:line="206" w:lineRule="auto"/>
        <w:rPr>
          <w:sz w:val="20"/>
          <w:szCs w:val="20"/>
          <w:color w:val="auto"/>
        </w:rPr>
      </w:pPr>
      <w:r>
        <w:rPr>
          <w:rFonts w:ascii="Times New Roman" w:cs="Times New Roman" w:eastAsia="Times New Roman" w:hAnsi="Times New Roman"/>
          <w:sz w:val="19"/>
          <w:szCs w:val="19"/>
          <w:color w:val="auto"/>
        </w:rPr>
        <w:t>any government agency or body. However, while you may file a charge and participate in any such proceeding, by signing this Agreement, you waive any right to bring a lawsuit against the Released Parties and waive any right to any individual monetary recovery in any such proceeding or</w:t>
      </w:r>
    </w:p>
    <w:p>
      <w:pPr>
        <w:spacing w:after="0" w:line="1"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9"/>
          <w:szCs w:val="19"/>
          <w:color w:val="auto"/>
        </w:rPr>
        <w:t>lawsuit. Nothing in this Agreement is intended to impede your ability to report possible securities law violations to the government, or to receive a monetary award from a government administered whistleblower-award program. You do not need the prior authorization of the Company to make</w:t>
      </w:r>
    </w:p>
    <w:p>
      <w:pPr>
        <w:spacing w:after="0" w:line="215" w:lineRule="auto"/>
        <w:rPr>
          <w:sz w:val="20"/>
          <w:szCs w:val="20"/>
          <w:color w:val="auto"/>
        </w:rPr>
      </w:pPr>
      <w:r>
        <w:rPr>
          <w:rFonts w:ascii="Times New Roman" w:cs="Times New Roman" w:eastAsia="Times New Roman" w:hAnsi="Times New Roman"/>
          <w:sz w:val="19"/>
          <w:szCs w:val="19"/>
          <w:color w:val="auto"/>
        </w:rPr>
        <w:t>any such reports or disclosures or to participate or cooperate in any governmental investigation, action, or proceeding, and you are not required to</w:t>
      </w:r>
    </w:p>
    <w:p>
      <w:pPr>
        <w:spacing w:after="0" w:line="206" w:lineRule="auto"/>
        <w:rPr>
          <w:sz w:val="20"/>
          <w:szCs w:val="20"/>
          <w:color w:val="auto"/>
        </w:rPr>
      </w:pPr>
      <w:r>
        <w:rPr>
          <w:rFonts w:ascii="Times New Roman" w:cs="Times New Roman" w:eastAsia="Times New Roman" w:hAnsi="Times New Roman"/>
          <w:sz w:val="19"/>
          <w:szCs w:val="19"/>
          <w:color w:val="auto"/>
        </w:rPr>
        <w:t>notify the Company that you have made such reports and disclosures, or have participated or cooperated in any governmental investigation, action, or proceeding. Nothing in this Agreement waives your right to testify or prohibits you from testifying in an administrative, legislative, or judicial</w:t>
      </w:r>
    </w:p>
    <w:p>
      <w:pPr>
        <w:spacing w:after="0" w:line="215" w:lineRule="auto"/>
        <w:rPr>
          <w:sz w:val="20"/>
          <w:szCs w:val="20"/>
          <w:color w:val="auto"/>
        </w:rPr>
      </w:pPr>
      <w:r>
        <w:rPr>
          <w:rFonts w:ascii="Times New Roman" w:cs="Times New Roman" w:eastAsia="Times New Roman" w:hAnsi="Times New Roman"/>
          <w:sz w:val="19"/>
          <w:szCs w:val="19"/>
          <w:color w:val="auto"/>
        </w:rPr>
        <w:t>proceeding concerning alleged criminal conduct or alleged sexual harassment when you have been required or requested to attend the proceeding</w:t>
      </w:r>
    </w:p>
    <w:p>
      <w:pPr>
        <w:spacing w:after="0" w:line="206" w:lineRule="auto"/>
        <w:rPr>
          <w:sz w:val="20"/>
          <w:szCs w:val="20"/>
          <w:color w:val="auto"/>
        </w:rPr>
      </w:pPr>
      <w:r>
        <w:rPr>
          <w:rFonts w:ascii="Times New Roman" w:cs="Times New Roman" w:eastAsia="Times New Roman" w:hAnsi="Times New Roman"/>
          <w:sz w:val="19"/>
          <w:szCs w:val="19"/>
          <w:color w:val="auto"/>
        </w:rPr>
        <w:t>pursuant to a court order, subpoena or written request from an administrative agency or an applicable state legislature. You expressly acknowledge and represent that no one has interfered with your ability to report possible violations of any law and it is Released Parties’ policy to encourage</w:t>
      </w:r>
    </w:p>
    <w:p>
      <w:pPr>
        <w:spacing w:after="0" w:line="215" w:lineRule="auto"/>
        <w:rPr>
          <w:sz w:val="20"/>
          <w:szCs w:val="20"/>
          <w:color w:val="auto"/>
        </w:rPr>
      </w:pPr>
      <w:r>
        <w:rPr>
          <w:rFonts w:ascii="Times New Roman" w:cs="Times New Roman" w:eastAsia="Times New Roman" w:hAnsi="Times New Roman"/>
          <w:sz w:val="19"/>
          <w:szCs w:val="19"/>
          <w:color w:val="auto"/>
        </w:rPr>
        <w:t>such reporting. You further acknowledge and represent that you have not suffered any on-the-job injury for which you have not already filed a</w:t>
      </w:r>
    </w:p>
    <w:p>
      <w:pPr>
        <w:spacing w:after="0" w:line="206" w:lineRule="auto"/>
        <w:rPr>
          <w:sz w:val="20"/>
          <w:szCs w:val="20"/>
          <w:color w:val="auto"/>
        </w:rPr>
      </w:pPr>
      <w:r>
        <w:rPr>
          <w:rFonts w:ascii="Times New Roman" w:cs="Times New Roman" w:eastAsia="Times New Roman" w:hAnsi="Times New Roman"/>
          <w:sz w:val="19"/>
          <w:szCs w:val="19"/>
          <w:color w:val="auto"/>
        </w:rPr>
        <w:t>claim, and the end of your employment is not related to any such injury. You acknowledge and agree that you have not, with respect to any transaction or state of facts existing prior to the date hereof, filed any complaints, charges, or lawsuits against any Released Party with any</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9"/>
          <w:szCs w:val="19"/>
          <w:color w:val="auto"/>
        </w:rPr>
        <w:t>governmental agency, court, or tribunal. You acknowledge that the benefits that you are receiving in connection with this Agreement are in addition to anything of value to which you are entitled from the Company.</w:t>
      </w:r>
    </w:p>
    <w:p>
      <w:pPr>
        <w:spacing w:after="0" w:line="14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This waiver and release covers only those claims that arose or could have arisen prior to your execution of this Agreement. The waiver and release contained in this Agreement does not apply to (i) rights arising under, or preserved by, this Agreement (including the right to receive the benefits</w:t>
      </w:r>
    </w:p>
    <w:p>
      <w:pPr>
        <w:spacing w:after="0" w:line="2"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9"/>
          <w:szCs w:val="19"/>
          <w:color w:val="auto"/>
        </w:rPr>
        <w:t>described in Section 3), (ii) for vested rights under ERISA-covered employee benefit plans as applicable on the date you sign this Agreement, (iii) your indemnification rights under the Company’s internal governing documents or D&amp;O insurance policies, or (iv) any claim which, as a matter of</w:t>
      </w:r>
    </w:p>
    <w:p>
      <w:pPr>
        <w:spacing w:after="0" w:line="215" w:lineRule="auto"/>
        <w:rPr>
          <w:sz w:val="20"/>
          <w:szCs w:val="20"/>
          <w:color w:val="auto"/>
        </w:rPr>
      </w:pPr>
      <w:r>
        <w:rPr>
          <w:rFonts w:ascii="Times New Roman" w:cs="Times New Roman" w:eastAsia="Times New Roman" w:hAnsi="Times New Roman"/>
          <w:sz w:val="19"/>
          <w:szCs w:val="19"/>
          <w:color w:val="auto"/>
        </w:rPr>
        <w:t>law, cannot be released by private agreement. If any provision of the waiver and release contained in this Agreement is found to be unenforceable,</w:t>
      </w:r>
    </w:p>
    <w:p>
      <w:pPr>
        <w:spacing w:after="0" w:line="224" w:lineRule="auto"/>
        <w:rPr>
          <w:sz w:val="20"/>
          <w:szCs w:val="20"/>
          <w:color w:val="auto"/>
        </w:rPr>
      </w:pPr>
      <w:r>
        <w:rPr>
          <w:rFonts w:ascii="Times New Roman" w:cs="Times New Roman" w:eastAsia="Times New Roman" w:hAnsi="Times New Roman"/>
          <w:sz w:val="19"/>
          <w:szCs w:val="19"/>
          <w:color w:val="auto"/>
        </w:rPr>
        <w:t>it shall not affect the enforceability of the remaining provisions and a court shall enforce all remaining provisions to the full extent permitted by law.</w:t>
      </w:r>
    </w:p>
    <w:p>
      <w:pPr>
        <w:spacing w:after="0" w:line="154" w:lineRule="exact"/>
        <w:rPr>
          <w:sz w:val="20"/>
          <w:szCs w:val="20"/>
          <w:color w:val="auto"/>
        </w:rPr>
      </w:pPr>
    </w:p>
    <w:p>
      <w:pPr>
        <w:jc w:val="both"/>
        <w:ind w:firstLine="4"/>
        <w:spacing w:after="0" w:line="229" w:lineRule="auto"/>
        <w:tabs>
          <w:tab w:leader="none" w:pos="623"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ADEA Waiver</w:t>
      </w:r>
      <w:r>
        <w:rPr>
          <w:rFonts w:ascii="Times New Roman" w:cs="Times New Roman" w:eastAsia="Times New Roman" w:hAnsi="Times New Roman"/>
          <w:sz w:val="19"/>
          <w:szCs w:val="19"/>
          <w:color w:val="auto"/>
        </w:rPr>
        <w:t>. You acknowledge that you are knowingly and voluntarily waiving and releasing any rights you may have under the Federal Age Discrimination in Employment Act (“</w:t>
      </w:r>
      <w:r>
        <w:rPr>
          <w:rFonts w:ascii="Times New Roman" w:cs="Times New Roman" w:eastAsia="Times New Roman" w:hAnsi="Times New Roman"/>
          <w:sz w:val="19"/>
          <w:szCs w:val="19"/>
          <w:u w:val="single" w:color="auto"/>
          <w:color w:val="auto"/>
        </w:rPr>
        <w:t>ADEA Waiver</w:t>
      </w:r>
      <w:r>
        <w:rPr>
          <w:rFonts w:ascii="Times New Roman" w:cs="Times New Roman" w:eastAsia="Times New Roman" w:hAnsi="Times New Roman"/>
          <w:sz w:val="19"/>
          <w:szCs w:val="19"/>
          <w:color w:val="auto"/>
        </w:rPr>
        <w:t>”) and that the consideration given for the ADEA Waiver is in addition to anything of value to which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are already entitled. You further acknowledge that (a) your ADEA Waiver does not apply to any claims that may arise after you sign this</w:t>
      </w:r>
    </w:p>
    <w:p>
      <w:pPr>
        <w:spacing w:after="0" w:line="206" w:lineRule="auto"/>
        <w:rPr>
          <w:sz w:val="20"/>
          <w:szCs w:val="20"/>
          <w:color w:val="auto"/>
        </w:rPr>
      </w:pPr>
      <w:r>
        <w:rPr>
          <w:rFonts w:ascii="Times New Roman" w:cs="Times New Roman" w:eastAsia="Times New Roman" w:hAnsi="Times New Roman"/>
          <w:sz w:val="19"/>
          <w:szCs w:val="19"/>
          <w:color w:val="auto"/>
        </w:rPr>
        <w:t>Agreement; (b) you should consult with an attorney prior to executing this Agreement; (c) you have at least 21 calendar days within which to consider this Agreement (although you may choose to execute the Agreement earlier); (d) you have seven (7) calendar days following the</w:t>
      </w:r>
    </w:p>
    <w:p>
      <w:pPr>
        <w:spacing w:after="0" w:line="215" w:lineRule="auto"/>
        <w:rPr>
          <w:sz w:val="20"/>
          <w:szCs w:val="20"/>
          <w:color w:val="auto"/>
        </w:rPr>
      </w:pPr>
      <w:r>
        <w:rPr>
          <w:rFonts w:ascii="Times New Roman" w:cs="Times New Roman" w:eastAsia="Times New Roman" w:hAnsi="Times New Roman"/>
          <w:sz w:val="19"/>
          <w:szCs w:val="19"/>
          <w:color w:val="auto"/>
        </w:rPr>
        <w:t>execution of the Agreement to revoke this Agreement; and (e) the Agreement will not be effective until the eighth day after you sign this</w:t>
      </w:r>
    </w:p>
    <w:p>
      <w:pPr>
        <w:spacing w:after="0" w:line="206" w:lineRule="auto"/>
        <w:rPr>
          <w:sz w:val="20"/>
          <w:szCs w:val="20"/>
          <w:color w:val="auto"/>
        </w:rPr>
      </w:pPr>
      <w:r>
        <w:rPr>
          <w:rFonts w:ascii="Times New Roman" w:cs="Times New Roman" w:eastAsia="Times New Roman" w:hAnsi="Times New Roman"/>
          <w:sz w:val="19"/>
          <w:szCs w:val="19"/>
          <w:color w:val="auto"/>
        </w:rPr>
        <w:t>Agreement provided that you have not revoked it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You agree that any modifications, material or otherwise, made to this Agreement do not restart or affect in any manner the original consideration period provided in this section. To revoke the Agreement, you must</w:t>
      </w:r>
    </w:p>
    <w:p>
      <w:pPr>
        <w:spacing w:after="0" w:line="215" w:lineRule="auto"/>
        <w:rPr>
          <w:sz w:val="20"/>
          <w:szCs w:val="20"/>
          <w:color w:val="auto"/>
        </w:rPr>
      </w:pPr>
      <w:r>
        <w:rPr>
          <w:rFonts w:ascii="Times New Roman" w:cs="Times New Roman" w:eastAsia="Times New Roman" w:hAnsi="Times New Roman"/>
          <w:sz w:val="19"/>
          <w:szCs w:val="19"/>
          <w:color w:val="auto"/>
        </w:rPr>
        <w:t>email Company’s Chief People Officer, Rachel Fish, at email address rachel.fish@cloverhealth.com, prior to the end of the 7-day period. You</w:t>
      </w:r>
    </w:p>
    <w:p>
      <w:pPr>
        <w:spacing w:after="0" w:line="224" w:lineRule="auto"/>
        <w:rPr>
          <w:sz w:val="20"/>
          <w:szCs w:val="20"/>
          <w:color w:val="auto"/>
        </w:rPr>
      </w:pPr>
      <w:r>
        <w:rPr>
          <w:rFonts w:ascii="Times New Roman" w:cs="Times New Roman" w:eastAsia="Times New Roman" w:hAnsi="Times New Roman"/>
          <w:sz w:val="19"/>
          <w:szCs w:val="19"/>
          <w:color w:val="auto"/>
        </w:rPr>
        <w:t>acknowledge that your consent to this Agreement is knowing and voluntary. The offer described in this Agreement will be automatically withdrawn if you do not sign the Agreement by the Deadline.</w:t>
      </w:r>
    </w:p>
    <w:p>
      <w:pPr>
        <w:spacing w:after="0" w:line="154" w:lineRule="exact"/>
        <w:rPr>
          <w:sz w:val="20"/>
          <w:szCs w:val="20"/>
          <w:color w:val="auto"/>
        </w:rPr>
      </w:pPr>
    </w:p>
    <w:p>
      <w:pPr>
        <w:jc w:val="both"/>
        <w:ind w:firstLine="4"/>
        <w:spacing w:after="0" w:line="214" w:lineRule="auto"/>
        <w:tabs>
          <w:tab w:leader="none" w:pos="62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Unknown Claims Waiver</w:t>
      </w:r>
      <w:r>
        <w:rPr>
          <w:rFonts w:ascii="Times New Roman" w:cs="Times New Roman" w:eastAsia="Times New Roman" w:hAnsi="Times New Roman"/>
          <w:sz w:val="19"/>
          <w:szCs w:val="19"/>
          <w:color w:val="auto"/>
        </w:rPr>
        <w:t xml:space="preserve">. You understand and acknowledge that you are releasing potentially unknown claims, and that you may have limited knowledge with respect to some of the claims being released.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 In addition, you expressly waive and release any and all rights and benefits under the provisions of any applicable law (including Section 1542 of the </w:t>
      </w:r>
      <w:r>
        <w:rPr>
          <w:rFonts w:ascii="Times New Roman" w:cs="Times New Roman" w:eastAsia="Times New Roman" w:hAnsi="Times New Roman"/>
          <w:sz w:val="19"/>
          <w:szCs w:val="19"/>
          <w:i w:val="1"/>
          <w:iCs w:val="1"/>
          <w:color w:val="auto"/>
        </w:rPr>
        <w:t>Civil Code of the State of California</w:t>
      </w:r>
      <w:r>
        <w:rPr>
          <w:rFonts w:ascii="Times New Roman" w:cs="Times New Roman" w:eastAsia="Times New Roman" w:hAnsi="Times New Roman"/>
          <w:sz w:val="19"/>
          <w:szCs w:val="19"/>
          <w:color w:val="auto"/>
        </w:rPr>
        <w:t>), which reads substantially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You understand and agree that claims or facts in addition to or different from those which are now known or believed by you to exist may hereafter be discovered, but it is your intention to release all claims that you have or may have against the Released Parties, whether known or unknown, suspected or unsuspected.</w:t>
      </w:r>
    </w:p>
    <w:p>
      <w:pPr>
        <w:spacing w:after="0" w:line="180" w:lineRule="exact"/>
        <w:rPr>
          <w:rFonts w:ascii="Times New Roman" w:cs="Times New Roman" w:eastAsia="Times New Roman" w:hAnsi="Times New Roman"/>
          <w:sz w:val="19"/>
          <w:szCs w:val="19"/>
          <w:color w:val="auto"/>
        </w:rPr>
      </w:pPr>
    </w:p>
    <w:p>
      <w:pPr>
        <w:ind w:firstLine="4"/>
        <w:spacing w:after="0" w:line="248" w:lineRule="auto"/>
        <w:tabs>
          <w:tab w:leader="none" w:pos="62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If you breach any of your obligations under this Agreement or as otherwise imposed by law, the Company will be entitled to recover all consideration paid or provided under this Agreement and to obtain all other relief provided by law or equity.</w:t>
      </w:r>
    </w:p>
    <w:p>
      <w:pPr>
        <w:spacing w:after="0" w:line="158" w:lineRule="exact"/>
        <w:rPr>
          <w:rFonts w:ascii="Times New Roman" w:cs="Times New Roman" w:eastAsia="Times New Roman" w:hAnsi="Times New Roman"/>
          <w:sz w:val="19"/>
          <w:szCs w:val="19"/>
          <w:color w:val="auto"/>
        </w:rPr>
      </w:pPr>
    </w:p>
    <w:p>
      <w:pPr>
        <w:ind w:firstLine="4"/>
        <w:spacing w:after="0" w:line="247" w:lineRule="auto"/>
        <w:tabs>
          <w:tab w:leader="none" w:pos="62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w:t>
      </w:r>
      <w:r>
        <w:rPr>
          <w:rFonts w:ascii="Times New Roman" w:cs="Times New Roman" w:eastAsia="Times New Roman" w:hAnsi="Times New Roman"/>
          <w:sz w:val="19"/>
          <w:szCs w:val="19"/>
          <w:color w:val="auto"/>
        </w:rPr>
        <w:t>. Nothing contained in this Agreement shall constitute or be treated as an admission by the Company of any liability, wrongdoing, or violation of law.</w:t>
      </w:r>
    </w:p>
    <w:p>
      <w:pPr>
        <w:spacing w:after="0" w:line="173" w:lineRule="exact"/>
        <w:rPr>
          <w:rFonts w:ascii="Times New Roman" w:cs="Times New Roman" w:eastAsia="Times New Roman" w:hAnsi="Times New Roman"/>
          <w:sz w:val="19"/>
          <w:szCs w:val="19"/>
          <w:color w:val="auto"/>
        </w:rPr>
      </w:pPr>
    </w:p>
    <w:p>
      <w:pPr>
        <w:jc w:val="both"/>
        <w:ind w:firstLine="4"/>
        <w:spacing w:after="0" w:line="229" w:lineRule="auto"/>
        <w:tabs>
          <w:tab w:leader="none" w:pos="62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Obligations</w:t>
      </w:r>
      <w:r>
        <w:rPr>
          <w:rFonts w:ascii="Times New Roman" w:cs="Times New Roman" w:eastAsia="Times New Roman" w:hAnsi="Times New Roman"/>
          <w:sz w:val="19"/>
          <w:szCs w:val="19"/>
          <w:color w:val="auto"/>
        </w:rPr>
        <w:t>. At all times in the future, you will remain bound by the Covenants Agreement between you and the Company, dated June 15, 2021 (the “</w:t>
      </w:r>
      <w:r>
        <w:rPr>
          <w:rFonts w:ascii="Times New Roman" w:cs="Times New Roman" w:eastAsia="Times New Roman" w:hAnsi="Times New Roman"/>
          <w:sz w:val="19"/>
          <w:szCs w:val="19"/>
          <w:u w:val="single" w:color="auto"/>
          <w:color w:val="auto"/>
        </w:rPr>
        <w:t>Covenants Agreement</w:t>
      </w:r>
      <w:r>
        <w:rPr>
          <w:rFonts w:ascii="Times New Roman" w:cs="Times New Roman" w:eastAsia="Times New Roman" w:hAnsi="Times New Roman"/>
          <w:sz w:val="19"/>
          <w:szCs w:val="19"/>
          <w:color w:val="auto"/>
        </w:rPr>
        <w:t>”), which shall remain in full force and effect in accordance with, and only to the extent permitted by, its terms.</w:t>
      </w:r>
    </w:p>
    <w:p>
      <w:pPr>
        <w:spacing w:after="0" w:line="153" w:lineRule="exact"/>
        <w:rPr>
          <w:rFonts w:ascii="Times New Roman" w:cs="Times New Roman" w:eastAsia="Times New Roman" w:hAnsi="Times New Roman"/>
          <w:sz w:val="19"/>
          <w:szCs w:val="19"/>
          <w:color w:val="auto"/>
        </w:rPr>
      </w:pPr>
    </w:p>
    <w:p>
      <w:pPr>
        <w:jc w:val="both"/>
        <w:ind w:firstLine="4"/>
        <w:spacing w:after="0" w:line="219" w:lineRule="auto"/>
        <w:tabs>
          <w:tab w:leader="none" w:pos="61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w:t>
      </w:r>
      <w:r>
        <w:rPr>
          <w:rFonts w:ascii="Times New Roman" w:cs="Times New Roman" w:eastAsia="Times New Roman" w:hAnsi="Times New Roman"/>
          <w:sz w:val="19"/>
          <w:szCs w:val="19"/>
          <w:color w:val="auto"/>
        </w:rPr>
        <w:t>. For purposes of clarity, this paragraph shall only be considered part of the Agreement when the Agreement is re-executed on or after your Separation Date. By re-executing this Agreement on or after your Separation Date, you agree that, as of the Separation Date, you have returned to the Company any and all Company property in your possession or control, including, without limitation, equipment, documents (in paper and electronic form), credit cards, and phone cards and you have returned or destroyed all Company property that you stored in electronic form or media (including, but not limited to, any Company property stored in your personal computer, USB drives, or in a cloud environment).</w:t>
      </w:r>
    </w:p>
    <w:p>
      <w:pPr>
        <w:spacing w:after="0" w:line="153" w:lineRule="exact"/>
        <w:rPr>
          <w:rFonts w:ascii="Times New Roman" w:cs="Times New Roman" w:eastAsia="Times New Roman" w:hAnsi="Times New Roman"/>
          <w:sz w:val="19"/>
          <w:szCs w:val="19"/>
          <w:color w:val="auto"/>
        </w:rPr>
      </w:pPr>
    </w:p>
    <w:p>
      <w:pPr>
        <w:jc w:val="both"/>
        <w:ind w:firstLine="4"/>
        <w:spacing w:after="0" w:line="218" w:lineRule="auto"/>
        <w:tabs>
          <w:tab w:leader="none" w:pos="60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Post-Termination Consulting Services</w:t>
      </w:r>
      <w:r>
        <w:rPr>
          <w:rFonts w:ascii="Times New Roman" w:cs="Times New Roman" w:eastAsia="Times New Roman" w:hAnsi="Times New Roman"/>
          <w:sz w:val="19"/>
          <w:szCs w:val="19"/>
          <w:color w:val="auto"/>
        </w:rPr>
        <w:t xml:space="preserve">. You agree to perform services for the Company as an independent contractor, with the term of your consulting relationship beginning on the Separation Date and continuing for three (3) months following your Separation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you may end your consulting relationship under this Agreement at any time, for any reason, and (b) the Company may terminate your consulting relationship under this Agreement at any time, for any reason, in either case, without prior notice (the period during which you are providing consulting services under this Agreement is referred to herein as, the “</w:t>
      </w:r>
      <w:r>
        <w:rPr>
          <w:rFonts w:ascii="Times New Roman" w:cs="Times New Roman" w:eastAsia="Times New Roman" w:hAnsi="Times New Roman"/>
          <w:sz w:val="19"/>
          <w:szCs w:val="19"/>
          <w:u w:val="single" w:color="auto"/>
          <w:color w:val="auto"/>
        </w:rPr>
        <w:t>Consulting Period</w:t>
      </w:r>
      <w:r>
        <w:rPr>
          <w:rFonts w:ascii="Times New Roman" w:cs="Times New Roman" w:eastAsia="Times New Roman" w:hAnsi="Times New Roman"/>
          <w:sz w:val="19"/>
          <w:szCs w:val="19"/>
          <w:color w:val="auto"/>
        </w:rPr>
        <w:t>”). During the Consulting Period, you will be expected to provide advice and assistance to the Company as requested by the Company from time to time, which may include without limitation, being available for questions and matters that arise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transition of the Company’s growth and sales department following your separation as Chief Growth Officer; and your historical recollections and</w:t>
      </w:r>
    </w:p>
    <w:p>
      <w:pPr>
        <w:spacing w:after="0" w:line="206" w:lineRule="auto"/>
        <w:rPr>
          <w:sz w:val="20"/>
          <w:szCs w:val="20"/>
          <w:color w:val="auto"/>
        </w:rPr>
      </w:pPr>
      <w:r>
        <w:rPr>
          <w:rFonts w:ascii="Times New Roman" w:cs="Times New Roman" w:eastAsia="Times New Roman" w:hAnsi="Times New Roman"/>
          <w:sz w:val="19"/>
          <w:szCs w:val="19"/>
          <w:color w:val="auto"/>
        </w:rPr>
        <w:t>work as the Company’s former Chief Growth Officer (the “</w:t>
      </w:r>
      <w:r>
        <w:rPr>
          <w:rFonts w:ascii="Times New Roman" w:cs="Times New Roman" w:eastAsia="Times New Roman" w:hAnsi="Times New Roman"/>
          <w:sz w:val="19"/>
          <w:szCs w:val="19"/>
          <w:u w:val="single" w:color="auto"/>
          <w:color w:val="auto"/>
        </w:rPr>
        <w:t>Services</w:t>
      </w:r>
      <w:r>
        <w:rPr>
          <w:rFonts w:ascii="Times New Roman" w:cs="Times New Roman" w:eastAsia="Times New Roman" w:hAnsi="Times New Roman"/>
          <w:sz w:val="19"/>
          <w:szCs w:val="19"/>
          <w:color w:val="auto"/>
        </w:rPr>
        <w:t>”). You agree to perform the Services in good faith and to the best of your ability. You will be paid for the Services at the rate of fifteen thousand dollars ($15,000) per month. You will provide the Company with an invoice</w:t>
      </w:r>
    </w:p>
    <w:p>
      <w:pPr>
        <w:spacing w:after="0" w:line="215" w:lineRule="auto"/>
        <w:rPr>
          <w:sz w:val="20"/>
          <w:szCs w:val="20"/>
          <w:color w:val="auto"/>
        </w:rPr>
      </w:pPr>
      <w:r>
        <w:rPr>
          <w:rFonts w:ascii="Times New Roman" w:cs="Times New Roman" w:eastAsia="Times New Roman" w:hAnsi="Times New Roman"/>
          <w:sz w:val="19"/>
          <w:szCs w:val="19"/>
          <w:color w:val="auto"/>
        </w:rPr>
        <w:t>on a monthly basis, following which the Company will remit payment within fifteen (15) days. All compensation or other payments paid or made</w:t>
      </w:r>
    </w:p>
    <w:p>
      <w:pPr>
        <w:spacing w:after="0" w:line="206" w:lineRule="auto"/>
        <w:rPr>
          <w:sz w:val="20"/>
          <w:szCs w:val="20"/>
          <w:color w:val="auto"/>
        </w:rPr>
      </w:pPr>
      <w:r>
        <w:rPr>
          <w:rFonts w:ascii="Times New Roman" w:cs="Times New Roman" w:eastAsia="Times New Roman" w:hAnsi="Times New Roman"/>
          <w:sz w:val="19"/>
          <w:szCs w:val="19"/>
          <w:color w:val="auto"/>
        </w:rPr>
        <w:t>to you during the Consulting Period in respect of your Services shall be paid or made without withholding or deduction of any kind, and you shall assume sole responsibility for discharging all tax and other obligations associated therewith. You further acknowledge and agree that during the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9"/>
          <w:szCs w:val="19"/>
          <w:color w:val="auto"/>
        </w:rPr>
        <w:t>Consulting Period, except with respect to benefits accrued, vested, or earned prior to the Separation Date, you have no right to participate, and shall not participate, in any employee benefit plans, programs, or policies of the Company.</w:t>
      </w:r>
    </w:p>
    <w:p>
      <w:pPr>
        <w:spacing w:after="0" w:line="142" w:lineRule="exact"/>
        <w:rPr>
          <w:sz w:val="20"/>
          <w:szCs w:val="20"/>
          <w:color w:val="auto"/>
        </w:rPr>
      </w:pPr>
    </w:p>
    <w:p>
      <w:pPr>
        <w:jc w:val="both"/>
        <w:ind w:firstLine="4"/>
        <w:spacing w:after="0" w:line="217" w:lineRule="auto"/>
        <w:tabs>
          <w:tab w:leader="none" w:pos="61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 with the Company</w:t>
      </w:r>
      <w:r>
        <w:rPr>
          <w:rFonts w:ascii="Times New Roman" w:cs="Times New Roman" w:eastAsia="Times New Roman" w:hAnsi="Times New Roman"/>
          <w:sz w:val="19"/>
          <w:szCs w:val="19"/>
          <w:color w:val="auto"/>
        </w:rPr>
        <w:t>. In addition, you shall cooperate with and assist the Company in the investigation of, preparation for or defense of any actual or threatened third party claim, investigation, or proceeding involving the Company or its predecessors or affiliates and arising from or relating to, in whole or in part, your employment or services with the Company or its predecessors or affiliates for which the Company requests your assistance, which cooperation and assistance shall include, but not be limited to, providing truthful testimony and assisting in information and document gathering efforts. In connection herewith, it is agreed that the Company will use its reasonable best efforts to assure that any request for such cooperation will not unduly interfere with your other material business and personal obligations and commitments. In addition, you agree to cooperate fully in matters relating to the transition of your employment and responsibilities, and other matters reasonably requested by the Company, whether before or after your Separation Date.</w:t>
      </w:r>
    </w:p>
    <w:p>
      <w:pPr>
        <w:spacing w:after="0" w:line="158" w:lineRule="exact"/>
        <w:rPr>
          <w:rFonts w:ascii="Times New Roman" w:cs="Times New Roman" w:eastAsia="Times New Roman" w:hAnsi="Times New Roman"/>
          <w:sz w:val="19"/>
          <w:szCs w:val="19"/>
          <w:color w:val="auto"/>
        </w:rPr>
      </w:pPr>
    </w:p>
    <w:p>
      <w:pPr>
        <w:jc w:val="both"/>
        <w:ind w:firstLine="4"/>
        <w:spacing w:after="0" w:line="216" w:lineRule="auto"/>
        <w:tabs>
          <w:tab w:leader="none" w:pos="61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You and the Company mutually agree that neither party will knowingly make any negative or disparaging statements (orally or in writing or in any medium, including via blogging or otherwise via the internet) about the other party, except as required by law. For purposes of this section, the Company shall be defined to encompass its subsidiaries, successors, stockholders, directors, officers, employees, service providers, agents, advisors, partners, affiliates, products, services, formulae, corporate structure or organization, marketing methods, and business practices or performance. A disparaging statement is any communication that, if publicized (whether or not it was intended to become public), would cause or reasonably be expected to cause the recipient of the communication to question the business condition, reputation integrity, competence, good character, or product quality of the person or entity to whom the communication relates.</w:t>
      </w:r>
    </w:p>
    <w:p>
      <w:pPr>
        <w:spacing w:after="0" w:line="155" w:lineRule="exact"/>
        <w:rPr>
          <w:rFonts w:ascii="Times New Roman" w:cs="Times New Roman" w:eastAsia="Times New Roman" w:hAnsi="Times New Roman"/>
          <w:sz w:val="19"/>
          <w:szCs w:val="19"/>
          <w:color w:val="auto"/>
        </w:rPr>
      </w:pPr>
    </w:p>
    <w:p>
      <w:pPr>
        <w:ind w:firstLine="4"/>
        <w:spacing w:after="0" w:line="247" w:lineRule="auto"/>
        <w:tabs>
          <w:tab w:leader="none" w:pos="61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Workers’ Compensation</w:t>
      </w:r>
      <w:r>
        <w:rPr>
          <w:rFonts w:ascii="Times New Roman" w:cs="Times New Roman" w:eastAsia="Times New Roman" w:hAnsi="Times New Roman"/>
          <w:sz w:val="19"/>
          <w:szCs w:val="19"/>
          <w:color w:val="auto"/>
        </w:rPr>
        <w:t>. You agree that you did not suffer an injury covered by workers’ compensation in the course and scope of your employment with the Company.</w:t>
      </w:r>
    </w:p>
    <w:p>
      <w:pPr>
        <w:spacing w:after="0" w:line="134" w:lineRule="exact"/>
        <w:rPr>
          <w:rFonts w:ascii="Times New Roman" w:cs="Times New Roman" w:eastAsia="Times New Roman" w:hAnsi="Times New Roman"/>
          <w:sz w:val="19"/>
          <w:szCs w:val="19"/>
          <w:color w:val="auto"/>
        </w:rPr>
      </w:pPr>
    </w:p>
    <w:p>
      <w:pPr>
        <w:jc w:val="both"/>
        <w:ind w:firstLine="4"/>
        <w:spacing w:after="0" w:line="214" w:lineRule="auto"/>
        <w:tabs>
          <w:tab w:leader="none" w:pos="61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xml:space="preserve">. To ensure rapid and economical resolution of any disputes relating to this Agreement, you and the Company agree that any and all claims, disputes, or controversies of any nature whatsoever arising out of, or relating to, this Agreement, or its interpretation, enforcement, breach, performance, or execution, shall be resolved by final, binding, and confidential arbitration before a single arbitrator in New York, NY (or another mutually agreeable location) conducted under the Judicial Arbitration and Mediation Services (JAMS) Streamlined Arbitration Rules &amp; Procedures, which can be reviewed at </w:t>
      </w:r>
      <w:r>
        <w:rPr>
          <w:rFonts w:ascii="Times New Roman" w:cs="Times New Roman" w:eastAsia="Times New Roman" w:hAnsi="Times New Roman"/>
          <w:sz w:val="19"/>
          <w:szCs w:val="19"/>
          <w:u w:val="single" w:color="auto"/>
          <w:color w:val="auto"/>
        </w:rPr>
        <w:t>http://www.jamsadr.com/rules-streamlined-arbitration/</w:t>
      </w:r>
      <w:r>
        <w:rPr>
          <w:rFonts w:ascii="Times New Roman" w:cs="Times New Roman" w:eastAsia="Times New Roman" w:hAnsi="Times New Roman"/>
          <w:sz w:val="19"/>
          <w:szCs w:val="19"/>
          <w:color w:val="auto"/>
        </w:rPr>
        <w:t>.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whether the provisions of this paragraph apply to a dispute, controversy, or claim except as provided herein. The arbitrator may in his or her discretion award attorneys’ fees to the prevailing party. All claims, disputes, or controversies subject to arbitration as set forth in this paragraph must be submitted to arbitration on an individual basis and not as a representative, class, or collective action proceeding on behalf of other individuals. Any issue concerning the validity of this representative, class or collective action waiver must be decided by a court and if for any reason it is found to be unenforceable, the representative, class or collective action claim may only be heard in court and may not be arbitrated. Claims will be governed by applicable statutes of limitations. This arbitration agreement does not cover any action seeking only emergency, temporary, or preliminary injunctive relief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a temporary restraining order) in a court of competent jurisdiction in accordance with applicable law. This arbitration agreement shall be construed and interpreted in accordance with the Federal Arbitration Act.</w:t>
      </w:r>
    </w:p>
    <w:p>
      <w:pPr>
        <w:spacing w:after="0" w:line="134" w:lineRule="exact"/>
        <w:rPr>
          <w:sz w:val="20"/>
          <w:szCs w:val="20"/>
          <w:color w:val="auto"/>
        </w:rPr>
      </w:pPr>
    </w:p>
    <w:p>
      <w:pPr>
        <w:jc w:val="both"/>
        <w:ind w:firstLine="4"/>
        <w:spacing w:after="0" w:line="221"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You agree that except for the Covenants Agreement, and except as otherwise expressly provided in this Agreement, this Agreement renders null and void any and all prior or contemporaneous agreements between you and the Company or any affiliate of the Company, including, but not limited to, the offer letter entered into by and between you and the Company, dated June 15, 2021. You and the Company agree that this Agreement constitutes the entire agreement between you and the Company and any affiliate of the Company regarding the subject matter of this Agreement, and that this Agreement may be modified only in a written document signed by you and a duly authorized officer of the Company.</w:t>
      </w:r>
    </w:p>
    <w:p>
      <w:pPr>
        <w:spacing w:after="0" w:line="142" w:lineRule="exact"/>
        <w:rPr>
          <w:rFonts w:ascii="Times New Roman" w:cs="Times New Roman" w:eastAsia="Times New Roman" w:hAnsi="Times New Roman"/>
          <w:sz w:val="19"/>
          <w:szCs w:val="19"/>
          <w:color w:val="auto"/>
        </w:rPr>
      </w:pPr>
    </w:p>
    <w:p>
      <w:pPr>
        <w:ind w:firstLine="4"/>
        <w:spacing w:after="0" w:line="247"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Except as to the Dispute Resolution section above, this Agreement shall be construed and interpreted in accordance with the laws of the State of Delaware.</w:t>
      </w:r>
    </w:p>
    <w:p>
      <w:pPr>
        <w:spacing w:after="0" w:line="147" w:lineRule="exact"/>
        <w:rPr>
          <w:rFonts w:ascii="Times New Roman" w:cs="Times New Roman" w:eastAsia="Times New Roman" w:hAnsi="Times New Roman"/>
          <w:sz w:val="19"/>
          <w:szCs w:val="19"/>
          <w:color w:val="auto"/>
        </w:rPr>
      </w:pPr>
    </w:p>
    <w:p>
      <w:pPr>
        <w:jc w:val="both"/>
        <w:ind w:firstLine="4"/>
        <w:spacing w:after="0" w:line="220"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xml:space="preserve">.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53" w:lineRule="exact"/>
        <w:rPr>
          <w:rFonts w:ascii="Times New Roman" w:cs="Times New Roman" w:eastAsia="Times New Roman" w:hAnsi="Times New Roman"/>
          <w:sz w:val="19"/>
          <w:szCs w:val="19"/>
          <w:color w:val="auto"/>
        </w:rPr>
      </w:pPr>
    </w:p>
    <w:p>
      <w:pPr>
        <w:jc w:val="both"/>
        <w:ind w:firstLine="4"/>
        <w:spacing w:after="0" w:line="247"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Amendments/No Oral Modification</w:t>
      </w:r>
      <w:r>
        <w:rPr>
          <w:rFonts w:ascii="Times New Roman" w:cs="Times New Roman" w:eastAsia="Times New Roman" w:hAnsi="Times New Roman"/>
          <w:sz w:val="19"/>
          <w:szCs w:val="19"/>
          <w:color w:val="auto"/>
        </w:rPr>
        <w:t>. This Agreement and any amendments hereto may not be amended, changed, waived, discharged, or terminated, in whole or in part, except by an instrument in writing signed by both you and the Company (or their respective successors-in-interest).</w:t>
      </w:r>
    </w:p>
    <w:p>
      <w:pPr>
        <w:spacing w:after="0" w:line="134" w:lineRule="exact"/>
        <w:rPr>
          <w:rFonts w:ascii="Times New Roman" w:cs="Times New Roman" w:eastAsia="Times New Roman" w:hAnsi="Times New Roman"/>
          <w:sz w:val="19"/>
          <w:szCs w:val="19"/>
          <w:color w:val="auto"/>
        </w:rPr>
      </w:pPr>
    </w:p>
    <w:p>
      <w:pPr>
        <w:ind w:firstLine="4"/>
        <w:spacing w:after="0" w:line="248"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This Agreement was mutually prepared by you and the Company and will not be construed against either of them by reason of authorship. Section or paragraph titles have been inserted for convenience only and will not be used in interpreting the terms of this Agreement.</w:t>
      </w:r>
    </w:p>
    <w:p>
      <w:pPr>
        <w:spacing w:after="0" w:line="132" w:lineRule="exact"/>
        <w:rPr>
          <w:rFonts w:ascii="Times New Roman" w:cs="Times New Roman" w:eastAsia="Times New Roman" w:hAnsi="Times New Roman"/>
          <w:sz w:val="19"/>
          <w:szCs w:val="19"/>
          <w:color w:val="auto"/>
        </w:rPr>
      </w:pPr>
    </w:p>
    <w:p>
      <w:pPr>
        <w:jc w:val="both"/>
        <w:ind w:firstLine="4"/>
        <w:spacing w:after="0" w:line="225"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You agree that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154" w:lineRule="exact"/>
        <w:rPr>
          <w:rFonts w:ascii="Times New Roman" w:cs="Times New Roman" w:eastAsia="Times New Roman" w:hAnsi="Times New Roman"/>
          <w:sz w:val="19"/>
          <w:szCs w:val="19"/>
          <w:color w:val="auto"/>
        </w:rPr>
      </w:pPr>
    </w:p>
    <w:p>
      <w:pPr>
        <w:jc w:val="both"/>
        <w:ind w:firstLine="4"/>
        <w:spacing w:after="0" w:line="215" w:lineRule="auto"/>
        <w:tabs>
          <w:tab w:leader="none" w:pos="61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It is the intent that any compensation, benefits, and other amounts payable or provided under this Agreement be paid or provided in a manner that is either exempt from, or in compliance with, Section 409A of the Code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Any ambiguity in this Agreement shall be interpreted consistent with the foregoing. In that connection, it is the intention of the Company and you that the time you spend providing the Services described herein will constitute no more than 20% of the average time you spent providing services to the Company as an employee during the 36 months immediately prior to the commencement of the Consulting Period, calculated in accordance with Section 409A. Each payment payable hereunder shall be a separate payment in a series of separate payments for purposes of Section 409A. In no event whatsoever shall the Company or its affiliates or their respective officers, directors, employees, or agents be liable for any additional tax, interest or penalties that may be imposed on you by Section 409A or damages for failing to comply with or be exempt from Section 409A and no such person makes any guarantee that this Agreement and the provisions hereof are exempt from or comply with Section 409A.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9"/>
          <w:szCs w:val="19"/>
          <w:color w:val="auto"/>
        </w:rPr>
        <w:t>To accept this Agreement, please sign and date this Agreement after the Separation Date and return it to me. You have until 5:00 p.m. ET on the</w:t>
      </w:r>
    </w:p>
    <w:p>
      <w:pPr>
        <w:jc w:val="both"/>
        <w:spacing w:after="0" w:line="206" w:lineRule="auto"/>
        <w:rPr>
          <w:sz w:val="20"/>
          <w:szCs w:val="20"/>
          <w:color w:val="auto"/>
        </w:rPr>
      </w:pPr>
      <w:r>
        <w:rPr>
          <w:rFonts w:ascii="Times New Roman" w:cs="Times New Roman" w:eastAsia="Times New Roman" w:hAnsi="Times New Roman"/>
          <w:sz w:val="19"/>
          <w:szCs w:val="19"/>
          <w:color w:val="auto"/>
        </w:rPr>
        <w:t>date that is the later of (i) twenty-one (21) days following your receipt of this Agreement or (ii) three (3) days following the Separation Date (such date, the “</w:t>
      </w:r>
      <w:r>
        <w:rPr>
          <w:rFonts w:ascii="Times New Roman" w:cs="Times New Roman" w:eastAsia="Times New Roman" w:hAnsi="Times New Roman"/>
          <w:sz w:val="19"/>
          <w:szCs w:val="19"/>
          <w:u w:val="single" w:color="auto"/>
          <w:color w:val="auto"/>
        </w:rPr>
        <w:t>Deadline</w:t>
      </w:r>
      <w:r>
        <w:rPr>
          <w:rFonts w:ascii="Times New Roman" w:cs="Times New Roman" w:eastAsia="Times New Roman" w:hAnsi="Times New Roman"/>
          <w:sz w:val="19"/>
          <w:szCs w:val="19"/>
          <w:color w:val="auto"/>
        </w:rPr>
        <w:t>”) to review and consider this Agreement and to provide me with an executed copy thereof. Please indicate your agreement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above terms by signing below.</w:t>
      </w:r>
    </w:p>
    <w:p>
      <w:pPr>
        <w:spacing w:after="0" w:line="162" w:lineRule="exact"/>
        <w:rPr>
          <w:sz w:val="20"/>
          <w:szCs w:val="20"/>
          <w:color w:val="auto"/>
        </w:rPr>
      </w:pPr>
    </w:p>
    <w:p>
      <w:pPr>
        <w:ind w:left="4360" w:right="640" w:hanging="4360"/>
        <w:spacing w:after="0" w:line="218" w:lineRule="auto"/>
        <w:rPr>
          <w:sz w:val="20"/>
          <w:szCs w:val="20"/>
          <w:color w:val="auto"/>
        </w:rPr>
      </w:pPr>
      <w:r>
        <w:rPr>
          <w:rFonts w:ascii="Times New Roman" w:cs="Times New Roman" w:eastAsia="Times New Roman" w:hAnsi="Times New Roman"/>
          <w:sz w:val="19"/>
          <w:szCs w:val="19"/>
          <w:color w:val="auto"/>
        </w:rPr>
        <w:t>I am pleased that we were able to part ways on these amicable terms. The Company and I wish you every success in your future endeavors. Sincerely,</w:t>
      </w:r>
    </w:p>
    <w:p>
      <w:pPr>
        <w:spacing w:after="0" w:line="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CLOVER HEALTH INVESTMENTS, CORP.</w:t>
      </w:r>
    </w:p>
    <w:p>
      <w:pPr>
        <w:spacing w:after="0" w:line="3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By: /s/ Rachel Fish</w:t>
      </w:r>
    </w:p>
    <w:p>
      <w:pPr>
        <w:ind w:left="436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-137795</wp:posOffset>
            </wp:positionV>
            <wp:extent cx="8686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Name: Rachel Fish</w:t>
      </w:r>
    </w:p>
    <w:p>
      <w:pPr>
        <w:spacing w:after="0" w:line="1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Title: Chief People Officer</w:t>
      </w:r>
    </w:p>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My agreement with the terms and conditions of this Agreement (other than Section 11) is signified by my signature below. I agree to strictly comply with all the terms and conditions of this Agreement. Furthermore, I acknowledge that I have read and understand this Agreement and that I</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9"/>
          <w:szCs w:val="19"/>
          <w:color w:val="auto"/>
        </w:rPr>
        <w:t>sign this release of all claims voluntarily, with full appreciation that at no time in the future may I pursue any of the rights I have waived in this Agreement.</w:t>
      </w:r>
    </w:p>
    <w:p>
      <w:pPr>
        <w:spacing w:after="0" w:line="76"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9"/>
          <w:szCs w:val="19"/>
          <w:color w:val="auto"/>
        </w:rPr>
        <w:t>Signed: /s/ Prabhdeep Singh</w:t>
      </w:r>
      <w:r>
        <w:rPr>
          <w:sz w:val="20"/>
          <w:szCs w:val="20"/>
          <w:color w:val="auto"/>
        </w:rPr>
        <w:tab/>
      </w:r>
      <w:r>
        <w:rPr>
          <w:rFonts w:ascii="Times New Roman" w:cs="Times New Roman" w:eastAsia="Times New Roman" w:hAnsi="Times New Roman"/>
          <w:sz w:val="18"/>
          <w:szCs w:val="18"/>
          <w:color w:val="auto"/>
        </w:rPr>
        <w:t>Dated: 2/23/2023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-8255</wp:posOffset>
            </wp:positionV>
            <wp:extent cx="2110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Prabhdeep Singh</w:t>
      </w:r>
    </w:p>
    <w:p>
      <w:pPr>
        <w:spacing w:after="0" w:line="1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My agreement with the terms and conditions of Section 11 of this Agreement is signified by my signature below. I agree to strictly comply with all the terms and conditions of Section 11 of this Agreement.</w:t>
      </w:r>
    </w:p>
    <w:p>
      <w:pPr>
        <w:spacing w:after="0" w:line="206"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9"/>
          <w:szCs w:val="19"/>
          <w:color w:val="auto"/>
        </w:rPr>
        <w:t>Signed: /s/ Prabhdeep Singh</w:t>
      </w:r>
      <w:r>
        <w:rPr>
          <w:sz w:val="20"/>
          <w:szCs w:val="20"/>
          <w:color w:val="auto"/>
        </w:rPr>
        <w:tab/>
      </w:r>
      <w:r>
        <w:rPr>
          <w:rFonts w:ascii="Times New Roman" w:cs="Times New Roman" w:eastAsia="Times New Roman" w:hAnsi="Times New Roman"/>
          <w:sz w:val="18"/>
          <w:szCs w:val="18"/>
          <w:color w:val="auto"/>
        </w:rPr>
        <w:t>Dated: 2/23/2023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-8255</wp:posOffset>
            </wp:positionV>
            <wp:extent cx="21101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Prabhdeep Singh</w:t>
      </w:r>
    </w:p>
    <w:p>
      <w:pPr>
        <w:spacing w:after="0" w:line="69" w:lineRule="exact"/>
        <w:rPr>
          <w:sz w:val="20"/>
          <w:szCs w:val="20"/>
          <w:color w:val="auto"/>
        </w:rPr>
      </w:pPr>
    </w:p>
    <w:p>
      <w:pPr>
        <w:ind w:right="1440"/>
        <w:spacing w:after="0" w:line="239" w:lineRule="auto"/>
        <w:rPr>
          <w:sz w:val="20"/>
          <w:szCs w:val="20"/>
          <w:color w:val="auto"/>
        </w:rPr>
      </w:pPr>
      <w:r>
        <w:rPr>
          <w:rFonts w:ascii="Times New Roman" w:cs="Times New Roman" w:eastAsia="Times New Roman" w:hAnsi="Times New Roman"/>
          <w:sz w:val="21"/>
          <w:szCs w:val="21"/>
          <w:b w:val="1"/>
          <w:bCs w:val="1"/>
          <w:color w:val="auto"/>
        </w:rPr>
        <w:t>RE-EXECUTION OF AND RATIFICATION OF RELEASE SIGNED ON OR AFTER SEPARATION FROM EMPLOYMENT</w:t>
      </w:r>
    </w:p>
    <w:p>
      <w:pPr>
        <w:spacing w:after="0" w:line="15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I hereby re-execute and reaffirm all waivers, rights, and obligations set forth in this Agreement (other than Section 11) that I signed above, including the time to consider it, and voluntarily agree to all of its terms in exchange for the additional benefits to which I would otherwise not be entitled.</w:t>
      </w:r>
    </w:p>
    <w:p>
      <w:pPr>
        <w:spacing w:after="0" w:line="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color w:val="auto"/>
        </w:rPr>
        <w:t>Signed:</w:t>
        <w:tab/>
        <w:t>Dated: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-22225</wp:posOffset>
            </wp:positionV>
            <wp:extent cx="1206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9"/>
          <w:szCs w:val="19"/>
          <w:color w:val="auto"/>
        </w:rPr>
        <w:t>Prabhdeep Singh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34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7"/>
          <w:szCs w:val="17"/>
          <w:b w:val="1"/>
          <w:bCs w:val="1"/>
          <w:color w:val="auto"/>
        </w:rPr>
        <w:t>SUBSIDIARIES OF CLOVER HEALTH INVESTMENTS, CORP.</w:t>
      </w:r>
    </w:p>
    <w:p>
      <w:pPr>
        <w:sectPr>
          <w:pgSz w:w="11900" w:h="16838" w:orient="portrait"/>
          <w:cols w:equalWidth="0" w:num="1">
            <w:col w:w="10119"/>
          </w:cols>
          <w:pgMar w:left="340" w:top="18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28575</wp:posOffset>
            </wp:positionV>
            <wp:extent cx="36182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Labs,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International, Corp.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Corp.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Holdings, Inc.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Partners,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HMO Corp.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Principium Health,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HK Limited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Healthcare,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HMO,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HMO of New Jersey Inc.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Insurance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Medical Service Professionals of NJ LLC</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Juxly,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34207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Jersey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Missouri</w:t>
      </w:r>
    </w:p>
    <w:p>
      <w:pPr>
        <w:sectPr>
          <w:pgSz w:w="11900" w:h="16838" w:orient="portrait"/>
          <w:cols w:equalWidth="0" w:num="2">
            <w:col w:w="5140" w:space="720"/>
            <w:col w:w="4259"/>
          </w:cols>
          <w:pgMar w:left="340" w:top="180" w:right="1440" w:bottom="1440" w:gutter="0" w:footer="0" w:header="0"/>
          <w:type w:val="continuous"/>
        </w:sectPr>
      </w:pPr>
    </w:p>
    <w:bookmarkStart w:id="154" w:name="page155"/>
    <w:bookmarkEnd w:id="154"/>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00" w:lineRule="exact"/>
        <w:rPr>
          <w:sz w:val="20"/>
          <w:szCs w:val="20"/>
          <w:color w:val="auto"/>
        </w:rPr>
      </w:pPr>
    </w:p>
    <w:p>
      <w:pPr>
        <w:spacing w:after="0" w:line="279" w:lineRule="exact"/>
        <w:rPr>
          <w:sz w:val="20"/>
          <w:szCs w:val="20"/>
          <w:color w:val="auto"/>
        </w:rPr>
      </w:pPr>
    </w:p>
    <w:p>
      <w:pPr>
        <w:ind w:left="980" w:hanging="353"/>
        <w:spacing w:after="0"/>
        <w:tabs>
          <w:tab w:leader="none" w:pos="9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(Registration No. 333-264801) of Clover Health Investments, Corp.;</w:t>
      </w: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jc w:val="both"/>
        <w:ind w:left="980" w:hanging="353"/>
        <w:spacing w:after="0" w:line="457" w:lineRule="auto"/>
        <w:tabs>
          <w:tab w:leader="none" w:pos="97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333-254947) pertaining to the 2020 Equity Incentive Plan of Clover Health Investments, Corp., 2020 Employee Stock Purchase Plan, of Clover Health Investments, Corp. and the Amended and Restated 2014 Equity Incentive Plan of Clover Health Investments, Corp.;</w:t>
      </w:r>
    </w:p>
    <w:p>
      <w:pPr>
        <w:spacing w:after="0" w:line="272" w:lineRule="exact"/>
        <w:rPr>
          <w:rFonts w:ascii="Times New Roman" w:cs="Times New Roman" w:eastAsia="Times New Roman" w:hAnsi="Times New Roman"/>
          <w:sz w:val="17"/>
          <w:szCs w:val="17"/>
          <w:color w:val="auto"/>
        </w:rPr>
      </w:pPr>
    </w:p>
    <w:p>
      <w:pPr>
        <w:jc w:val="both"/>
        <w:ind w:left="980" w:hanging="353"/>
        <w:spacing w:after="0" w:line="465" w:lineRule="auto"/>
        <w:tabs>
          <w:tab w:leader="none" w:pos="97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333-263401) pertaining to the registration of additional shares of Class A common stock under the 2020 Equity Incentive Plan of Clover Health Investments, Corp. and the 2020 Employee Stock Purchase Plan, of Clover Health Investments, Corp. and</w:t>
      </w:r>
    </w:p>
    <w:p>
      <w:pPr>
        <w:spacing w:after="0" w:line="265" w:lineRule="exact"/>
        <w:rPr>
          <w:rFonts w:ascii="Times New Roman" w:cs="Times New Roman" w:eastAsia="Times New Roman" w:hAnsi="Times New Roman"/>
          <w:sz w:val="17"/>
          <w:szCs w:val="17"/>
          <w:color w:val="auto"/>
        </w:rPr>
      </w:pPr>
    </w:p>
    <w:p>
      <w:pPr>
        <w:ind w:left="980" w:hanging="353"/>
        <w:spacing w:after="0" w:line="483" w:lineRule="auto"/>
        <w:tabs>
          <w:tab w:leader="none" w:pos="97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333-263403) pertaining to the 2022 Inducement Award Plan of Clover Health Investments, Corp.</w:t>
      </w:r>
    </w:p>
    <w:p>
      <w:pPr>
        <w:spacing w:after="0" w:line="239" w:lineRule="exact"/>
        <w:rPr>
          <w:sz w:val="20"/>
          <w:szCs w:val="20"/>
          <w:color w:val="auto"/>
        </w:rPr>
      </w:pPr>
    </w:p>
    <w:p>
      <w:pPr>
        <w:jc w:val="both"/>
        <w:spacing w:after="0" w:line="465" w:lineRule="auto"/>
        <w:rPr>
          <w:sz w:val="20"/>
          <w:szCs w:val="20"/>
          <w:color w:val="auto"/>
        </w:rPr>
      </w:pPr>
      <w:r>
        <w:rPr>
          <w:rFonts w:ascii="Times New Roman" w:cs="Times New Roman" w:eastAsia="Times New Roman" w:hAnsi="Times New Roman"/>
          <w:sz w:val="17"/>
          <w:szCs w:val="17"/>
          <w:color w:val="auto"/>
        </w:rPr>
        <w:t>of our reports dated March 1, 2023, with respect to the consolidated financial statements of Clover Health Investments, Corp. and the effectiveness of internal control over financial reporting of Clover Health Investments, Corp. included in this Annual Report on Form 10-K of Clover Health Investments, Corp. for the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2023</w:t>
      </w:r>
    </w:p>
    <w:p>
      <w:pPr>
        <w:sectPr>
          <w:pgSz w:w="11900" w:h="16838" w:orient="portrait"/>
          <w:cols w:equalWidth="0" w:num="1">
            <w:col w:w="11240"/>
          </w:cols>
          <w:pgMar w:left="320" w:top="144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Toy, certify that:</w:t>
      </w:r>
    </w:p>
    <w:p>
      <w:pPr>
        <w:spacing w:after="0" w:line="220" w:lineRule="exact"/>
        <w:rPr>
          <w:sz w:val="20"/>
          <w:szCs w:val="20"/>
          <w:color w:val="auto"/>
        </w:rPr>
      </w:pPr>
    </w:p>
    <w:p>
      <w:pPr>
        <w:ind w:left="420" w:hanging="416"/>
        <w:spacing w:after="0"/>
        <w:tabs>
          <w:tab w:leader="none" w:pos="4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2022, of Clover Health Investments, Corp.;</w:t>
      </w:r>
    </w:p>
    <w:p>
      <w:pPr>
        <w:spacing w:after="0" w:line="219" w:lineRule="exact"/>
        <w:rPr>
          <w:rFonts w:ascii="Times New Roman" w:cs="Times New Roman" w:eastAsia="Times New Roman" w:hAnsi="Times New Roman"/>
          <w:sz w:val="17"/>
          <w:szCs w:val="17"/>
          <w:color w:val="auto"/>
        </w:rPr>
      </w:pPr>
    </w:p>
    <w:p>
      <w:pPr>
        <w:ind w:left="420" w:right="260" w:hanging="416"/>
        <w:spacing w:after="0" w:line="292" w:lineRule="auto"/>
        <w:tabs>
          <w:tab w:leader="none" w:pos="4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420" w:right="80" w:hanging="416"/>
        <w:spacing w:after="0" w:line="292" w:lineRule="auto"/>
        <w:tabs>
          <w:tab w:leader="none" w:pos="4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420" w:right="60" w:hanging="416"/>
        <w:spacing w:after="0" w:line="273" w:lineRule="auto"/>
        <w:tabs>
          <w:tab w:leader="none" w:pos="4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4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5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860" w:right="140" w:hanging="432"/>
        <w:spacing w:after="0" w:line="292" w:lineRule="auto"/>
        <w:tabs>
          <w:tab w:leader="none" w:pos="84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860" w:hanging="432"/>
        <w:spacing w:after="0" w:line="273" w:lineRule="auto"/>
        <w:tabs>
          <w:tab w:leader="none" w:pos="85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420" w:right="480" w:hanging="416"/>
        <w:spacing w:after="0" w:line="292" w:lineRule="auto"/>
        <w:tabs>
          <w:tab w:leader="none" w:pos="41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860" w:right="60" w:hanging="432"/>
        <w:spacing w:after="0" w:line="292" w:lineRule="auto"/>
        <w:tabs>
          <w:tab w:leader="none" w:pos="84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860" w:right="100" w:hanging="432"/>
        <w:spacing w:after="0" w:line="292" w:lineRule="auto"/>
        <w:tabs>
          <w:tab w:leader="none" w:pos="85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4900" w:val="left"/>
          <w:tab w:leader="none" w:pos="7280" w:val="left"/>
        </w:tabs>
        <w:rPr>
          <w:sz w:val="20"/>
          <w:szCs w:val="20"/>
          <w:color w:val="auto"/>
        </w:rPr>
      </w:pPr>
      <w:r>
        <w:rPr>
          <w:rFonts w:ascii="Times New Roman" w:cs="Times New Roman" w:eastAsia="Times New Roman" w:hAnsi="Times New Roman"/>
          <w:sz w:val="17"/>
          <w:szCs w:val="17"/>
          <w:color w:val="auto"/>
        </w:rPr>
        <w:t>Date: March 1,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74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J. Leffler, certify that:</w:t>
      </w:r>
    </w:p>
    <w:p>
      <w:pPr>
        <w:spacing w:after="0" w:line="220" w:lineRule="exact"/>
        <w:rPr>
          <w:sz w:val="20"/>
          <w:szCs w:val="20"/>
          <w:color w:val="auto"/>
        </w:rPr>
      </w:pPr>
    </w:p>
    <w:p>
      <w:pPr>
        <w:ind w:left="420" w:hanging="416"/>
        <w:spacing w:after="0"/>
        <w:tabs>
          <w:tab w:leader="none" w:pos="4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2022, of Clover Health Investments, Corp.;</w:t>
      </w:r>
    </w:p>
    <w:p>
      <w:pPr>
        <w:spacing w:after="0" w:line="219" w:lineRule="exact"/>
        <w:rPr>
          <w:rFonts w:ascii="Times New Roman" w:cs="Times New Roman" w:eastAsia="Times New Roman" w:hAnsi="Times New Roman"/>
          <w:sz w:val="17"/>
          <w:szCs w:val="17"/>
          <w:color w:val="auto"/>
        </w:rPr>
      </w:pPr>
    </w:p>
    <w:p>
      <w:pPr>
        <w:ind w:left="420" w:right="260" w:hanging="416"/>
        <w:spacing w:after="0" w:line="292" w:lineRule="auto"/>
        <w:tabs>
          <w:tab w:leader="none" w:pos="41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420" w:right="80" w:hanging="416"/>
        <w:spacing w:after="0" w:line="292" w:lineRule="auto"/>
        <w:tabs>
          <w:tab w:leader="none" w:pos="41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420" w:right="60" w:hanging="416"/>
        <w:spacing w:after="0" w:line="273" w:lineRule="auto"/>
        <w:tabs>
          <w:tab w:leader="none" w:pos="41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4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5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860" w:right="140" w:hanging="432"/>
        <w:spacing w:after="0" w:line="292" w:lineRule="auto"/>
        <w:tabs>
          <w:tab w:leader="none" w:pos="84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860" w:hanging="432"/>
        <w:spacing w:after="0" w:line="273" w:lineRule="auto"/>
        <w:tabs>
          <w:tab w:leader="none" w:pos="85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420" w:right="480" w:hanging="416"/>
        <w:spacing w:after="0" w:line="292" w:lineRule="auto"/>
        <w:tabs>
          <w:tab w:leader="none" w:pos="41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860" w:right="60" w:hanging="432"/>
        <w:spacing w:after="0" w:line="292" w:lineRule="auto"/>
        <w:tabs>
          <w:tab w:leader="none" w:pos="84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860" w:right="100" w:hanging="432"/>
        <w:spacing w:after="0" w:line="292" w:lineRule="auto"/>
        <w:tabs>
          <w:tab w:leader="none" w:pos="85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4900" w:val="left"/>
          <w:tab w:leader="none" w:pos="7180" w:val="left"/>
        </w:tabs>
        <w:rPr>
          <w:sz w:val="20"/>
          <w:szCs w:val="20"/>
          <w:color w:val="auto"/>
        </w:rPr>
      </w:pPr>
      <w:r>
        <w:rPr>
          <w:rFonts w:ascii="Times New Roman" w:cs="Times New Roman" w:eastAsia="Times New Roman" w:hAnsi="Times New Roman"/>
          <w:sz w:val="17"/>
          <w:szCs w:val="17"/>
          <w:color w:val="auto"/>
        </w:rPr>
        <w:t>Date: March 1,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Scott J. Leffler</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b w:val="1"/>
          <w:bCs w:val="1"/>
          <w:color w:val="auto"/>
        </w:rPr>
        <w:t>Chief Financial Officer (Principal Financial Officer and Principal</w:t>
      </w:r>
    </w:p>
    <w:p>
      <w:pPr>
        <w:ind w:left="7080"/>
        <w:spacing w:after="0"/>
        <w:rPr>
          <w:sz w:val="20"/>
          <w:szCs w:val="20"/>
          <w:color w:val="auto"/>
        </w:rPr>
      </w:pPr>
      <w:r>
        <w:rPr>
          <w:rFonts w:ascii="Times New Roman" w:cs="Times New Roman" w:eastAsia="Times New Roman" w:hAnsi="Times New Roman"/>
          <w:sz w:val="17"/>
          <w:szCs w:val="17"/>
          <w:b w:val="1"/>
          <w:bCs w:val="1"/>
          <w:color w:val="auto"/>
        </w:rPr>
        <w:t>Accounting Officer)</w:t>
      </w:r>
    </w:p>
    <w:p>
      <w:pPr>
        <w:sectPr>
          <w:pgSz w:w="11900" w:h="16838" w:orient="portrait"/>
          <w:cols w:equalWidth="0" w:num="1">
            <w:col w:w="11240"/>
          </w:cols>
          <w:pgMar w:left="320" w:top="742"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80" w:firstLine="424"/>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Clover Health Investments, Corp. (the “Company”) for the period ended December 31,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860" w:hanging="432"/>
        <w:spacing w:after="0"/>
        <w:tabs>
          <w:tab w:leader="none" w:pos="8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7"/>
          <w:szCs w:val="17"/>
          <w:color w:val="auto"/>
        </w:rPr>
      </w:pPr>
    </w:p>
    <w:p>
      <w:pPr>
        <w:ind w:left="860" w:hanging="432"/>
        <w:spacing w:after="0"/>
        <w:tabs>
          <w:tab w:leader="none" w:pos="8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9" w:lineRule="exact"/>
        <w:rPr>
          <w:sz w:val="20"/>
          <w:szCs w:val="20"/>
          <w:color w:val="auto"/>
        </w:rPr>
      </w:pPr>
    </w:p>
    <w:p>
      <w:pPr>
        <w:ind w:left="20"/>
        <w:spacing w:after="0"/>
        <w:tabs>
          <w:tab w:leader="none" w:pos="4900" w:val="left"/>
          <w:tab w:leader="none" w:pos="7280" w:val="left"/>
        </w:tabs>
        <w:rPr>
          <w:sz w:val="20"/>
          <w:szCs w:val="20"/>
          <w:color w:val="auto"/>
        </w:rPr>
      </w:pPr>
      <w:r>
        <w:rPr>
          <w:rFonts w:ascii="Times New Roman" w:cs="Times New Roman" w:eastAsia="Times New Roman" w:hAnsi="Times New Roman"/>
          <w:sz w:val="17"/>
          <w:szCs w:val="17"/>
          <w:color w:val="auto"/>
        </w:rPr>
        <w:t>Dated: March 1,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742"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80" w:firstLine="424"/>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Clover Health Investments, Corp. (the “Company”) for the period ended December 31, 2022,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860" w:hanging="432"/>
        <w:spacing w:after="0"/>
        <w:tabs>
          <w:tab w:leader="none" w:pos="8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7"/>
          <w:szCs w:val="17"/>
          <w:color w:val="auto"/>
        </w:rPr>
      </w:pPr>
    </w:p>
    <w:p>
      <w:pPr>
        <w:ind w:left="860" w:hanging="432"/>
        <w:spacing w:after="0"/>
        <w:tabs>
          <w:tab w:leader="none" w:pos="8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9" w:lineRule="exact"/>
        <w:rPr>
          <w:sz w:val="20"/>
          <w:szCs w:val="20"/>
          <w:color w:val="auto"/>
        </w:rPr>
      </w:pPr>
    </w:p>
    <w:p>
      <w:pPr>
        <w:ind w:left="20"/>
        <w:spacing w:after="0"/>
        <w:tabs>
          <w:tab w:leader="none" w:pos="4900" w:val="left"/>
          <w:tab w:leader="none" w:pos="7180" w:val="left"/>
        </w:tabs>
        <w:rPr>
          <w:sz w:val="20"/>
          <w:szCs w:val="20"/>
          <w:color w:val="auto"/>
        </w:rPr>
      </w:pPr>
      <w:r>
        <w:rPr>
          <w:rFonts w:ascii="Times New Roman" w:cs="Times New Roman" w:eastAsia="Times New Roman" w:hAnsi="Times New Roman"/>
          <w:sz w:val="17"/>
          <w:szCs w:val="17"/>
          <w:color w:val="auto"/>
        </w:rPr>
        <w:t>Dated: March 1,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Scott J. Leffler</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b w:val="1"/>
          <w:bCs w:val="1"/>
          <w:color w:val="auto"/>
        </w:rPr>
        <w:t>Chief Financial Officer (Principal Financial Officer and Principal</w:t>
      </w:r>
    </w:p>
    <w:p>
      <w:pPr>
        <w:ind w:left="7080"/>
        <w:spacing w:after="0"/>
        <w:rPr>
          <w:sz w:val="20"/>
          <w:szCs w:val="20"/>
          <w:color w:val="auto"/>
        </w:rPr>
      </w:pPr>
      <w:r>
        <w:rPr>
          <w:rFonts w:ascii="Times New Roman" w:cs="Times New Roman" w:eastAsia="Times New Roman" w:hAnsi="Times New Roman"/>
          <w:sz w:val="17"/>
          <w:szCs w:val="17"/>
          <w:b w:val="1"/>
          <w:bCs w:val="1"/>
          <w:color w:val="auto"/>
        </w:rPr>
        <w:t>Accounting Officer)</w:t>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lowerLetter"/>
      <w:start w:val="1"/>
    </w:lvl>
    <w:lvl w:ilvl="1">
      <w:lvlJc w:val="left"/>
      <w:lvlText w:val="(%2)"/>
      <w:numFmt w:val="decimal"/>
      <w:start w:val="1"/>
    </w:lvl>
  </w:abstractNum>
  <w:abstractNum w:abstractNumId="43">
    <w:nsid w:val="2F305DEF"/>
    <w:multiLevelType w:val="hybridMultilevel"/>
    <w:lvl w:ilvl="0">
      <w:lvlJc w:val="left"/>
      <w:lvlText w:val="%1"/>
      <w:numFmt w:val="decimal"/>
      <w:start w:val="104"/>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lvl w:ilvl="1">
      <w:lvlJc w:val="left"/>
      <w:lvlText w:val="%2."/>
      <w:numFmt w:val="lowerLetter"/>
      <w:start w:val="1"/>
    </w:lvl>
  </w:abstractNum>
  <w:abstractNum w:abstractNumId="46">
    <w:nsid w:val="4AD084E9"/>
    <w:multiLevelType w:val="hybridMultilevel"/>
    <w:lvl w:ilvl="0">
      <w:lvlJc w:val="left"/>
      <w:lvlText w:val="%1"/>
      <w:numFmt w:val="decimal"/>
      <w:start w:val="1"/>
    </w:lvl>
    <w:lvl w:ilvl="1">
      <w:lvlJc w:val="left"/>
      <w:lvlText w:val="%2."/>
      <w:numFmt w:val="lowerLetter"/>
      <w:start w:val="3"/>
    </w:lvl>
  </w:abstractNum>
  <w:abstractNum w:abstractNumId="47">
    <w:nsid w:val="1F48EAA1"/>
    <w:multiLevelType w:val="hybridMultilevel"/>
    <w:lvl w:ilvl="0">
      <w:lvlJc w:val="left"/>
      <w:lvlText w:val="%1."/>
      <w:numFmt w:val="decimal"/>
      <w:start w:val="2"/>
    </w:lvl>
    <w:lvl w:ilvl="1">
      <w:lvlJc w:val="left"/>
      <w:lvlText w:val="%2."/>
      <w:numFmt w:val="lowerLetter"/>
      <w:start w:val="1"/>
    </w:lvl>
  </w:abstractNum>
  <w:abstractNum w:abstractNumId="48">
    <w:nsid w:val="1381823A"/>
    <w:multiLevelType w:val="hybridMultilevel"/>
    <w:lvl w:ilvl="0">
      <w:lvlJc w:val="left"/>
      <w:lvlText w:val="%1"/>
      <w:numFmt w:val="decimal"/>
      <w:start w:val="1"/>
    </w:lvl>
    <w:lvl w:ilvl="1">
      <w:lvlJc w:val="left"/>
      <w:lvlText w:val="%2."/>
      <w:numFmt w:val="lowerLetter"/>
      <w:start w:val="3"/>
    </w:lvl>
  </w:abstractNum>
  <w:abstractNum w:abstractNumId="49">
    <w:nsid w:val="5DB70AE5"/>
    <w:multiLevelType w:val="hybridMultilevel"/>
    <w:lvl w:ilvl="0">
      <w:lvlJc w:val="left"/>
      <w:lvlText w:val="%1."/>
      <w:numFmt w:val="decimal"/>
      <w:start w:val="3"/>
    </w:lvl>
    <w:lvl w:ilvl="1">
      <w:lvlJc w:val="left"/>
      <w:lvlText w:val="%2"/>
      <w:numFmt w:val="lowerLetter"/>
      <w:start w:val="1"/>
    </w:lvl>
  </w:abstractNum>
  <w:abstractNum w:abstractNumId="50">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1">
    <w:nsid w:val="6590700B"/>
    <w:multiLevelType w:val="hybridMultilevel"/>
    <w:lvl w:ilvl="0">
      <w:lvlJc w:val="left"/>
      <w:lvlText w:val="%1"/>
      <w:numFmt w:val="lowerLetter"/>
      <w:start w:val="1"/>
    </w:lvl>
    <w:lvl w:ilvl="1">
      <w:lvlJc w:val="left"/>
      <w:lvlText w:val="%2."/>
      <w:numFmt w:val="lowerLetter"/>
      <w:start w:val="61"/>
    </w:lvl>
  </w:abstractNum>
  <w:abstractNum w:abstractNumId="52">
    <w:nsid w:val="15014ACB"/>
    <w:multiLevelType w:val="hybridMultilevel"/>
    <w:lvl w:ilvl="0">
      <w:lvlJc w:val="left"/>
      <w:lvlText w:val="%1."/>
      <w:numFmt w:val="lowerLetter"/>
      <w:start w:val="2"/>
    </w:lvl>
    <w:lvl w:ilvl="1">
      <w:lvlJc w:val="left"/>
      <w:lvlText w:val="%2"/>
      <w:numFmt w:val="lowerLetter"/>
      <w:start w:val="1"/>
    </w:lvl>
  </w:abstractNum>
  <w:abstractNum w:abstractNumId="53">
    <w:nsid w:val="5F5E7FD0"/>
    <w:multiLevelType w:val="hybridMultilevel"/>
    <w:lvl w:ilvl="0">
      <w:lvlJc w:val="left"/>
      <w:lvlText w:val="%1."/>
      <w:numFmt w:val="lowerRoman"/>
      <w:start w:val="1"/>
    </w:lvl>
    <w:lvl w:ilvl="1">
      <w:lvlJc w:val="left"/>
      <w:lvlText w:val="(%2)"/>
      <w:numFmt w:val="upperLetter"/>
      <w:start w:val="2"/>
    </w:lvl>
  </w:abstractNum>
  <w:abstractNum w:abstractNumId="54">
    <w:nsid w:val="98A3148"/>
    <w:multiLevelType w:val="hybridMultilevel"/>
    <w:lvl w:ilvl="0">
      <w:lvlJc w:val="left"/>
      <w:lvlText w:val="%1"/>
      <w:numFmt w:val="lowerLetter"/>
      <w:start w:val="1"/>
    </w:lvl>
    <w:lvl w:ilvl="1">
      <w:lvlJc w:val="left"/>
      <w:lvlText w:val="%2."/>
      <w:numFmt w:val="lowerRoman"/>
      <w:start w:val="4"/>
    </w:lvl>
  </w:abstractNum>
  <w:abstractNum w:abstractNumId="55">
    <w:nsid w:val="799D0247"/>
    <w:multiLevelType w:val="hybridMultilevel"/>
    <w:lvl w:ilvl="0">
      <w:lvlJc w:val="left"/>
      <w:lvlText w:val="%1."/>
      <w:numFmt w:val="lowerLetter"/>
      <w:start w:val="3"/>
    </w:lvl>
    <w:lvl w:ilvl="1">
      <w:lvlJc w:val="left"/>
      <w:lvlText w:val="%2"/>
      <w:numFmt w:val="lowerRoman"/>
      <w:start w:val="1"/>
    </w:lvl>
  </w:abstractNum>
  <w:abstractNum w:abstractNumId="56">
    <w:nsid w:val="6B94764"/>
    <w:multiLevelType w:val="hybridMultilevel"/>
    <w:lvl w:ilvl="0">
      <w:lvlJc w:val="left"/>
      <w:lvlText w:val="%1"/>
      <w:numFmt w:val="lowerLetter"/>
      <w:start w:val="1"/>
    </w:lvl>
    <w:lvl w:ilvl="1">
      <w:lvlJc w:val="left"/>
      <w:lvlText w:val="(%2)"/>
      <w:numFmt w:val="lowerRoman"/>
      <w:start w:val="2"/>
    </w:lvl>
  </w:abstractNum>
  <w:abstractNum w:abstractNumId="57">
    <w:nsid w:val="42C296BD"/>
    <w:multiLevelType w:val="hybridMultilevel"/>
    <w:lvl w:ilvl="0">
      <w:lvlJc w:val="left"/>
      <w:lvlText w:val="%1."/>
      <w:numFmt w:val="lowerLetter"/>
      <w:start w:val="4"/>
    </w:lvl>
    <w:lvl w:ilvl="1">
      <w:lvlJc w:val="left"/>
      <w:lvlText w:val="%2"/>
      <w:numFmt w:val="lowerRoman"/>
      <w:start w:val="1"/>
    </w:lvl>
  </w:abstractNum>
  <w:abstractNum w:abstractNumId="58">
    <w:nsid w:val="168E121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9">
    <w:nsid w:val="1EBA5D23"/>
    <w:multiLevelType w:val="hybridMultilevel"/>
    <w:lvl w:ilvl="0">
      <w:lvlJc w:val="left"/>
      <w:lvlText w:val="%1."/>
      <w:numFmt w:val="lowerRoman"/>
      <w:start w:val="2"/>
    </w:lvl>
  </w:abstractNum>
  <w:abstractNum w:abstractNumId="60">
    <w:nsid w:val="661E3F1E"/>
    <w:multiLevelType w:val="hybridMultilevel"/>
    <w:lvl w:ilvl="0">
      <w:lvlJc w:val="left"/>
      <w:lvlText w:val="%1."/>
      <w:numFmt w:val="lowerRoman"/>
      <w:start w:val="3"/>
    </w:lvl>
  </w:abstractNum>
  <w:abstractNum w:abstractNumId="61">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2">
    <w:nsid w:val="540A47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3">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4">
    <w:nsid w:val="51D9C564"/>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65">
    <w:nsid w:val="613EFDC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66">
    <w:nsid w:val="BF72B14"/>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67">
    <w:nsid w:val="11447B73"/>
    <w:multiLevelType w:val="hybridMultilevel"/>
    <w:lvl w:ilvl="0">
      <w:lvlJc w:val="left"/>
      <w:lvlText w:val="%1."/>
      <w:numFmt w:val="lowerLetter"/>
      <w:start w:val="7"/>
    </w:lvl>
  </w:abstractNum>
  <w:abstractNum w:abstractNumId="68">
    <w:nsid w:val="42963E5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9">
    <w:nsid w:val="A0382C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0">
    <w:nsid w:val="8F2B15E"/>
    <w:multiLevelType w:val="hybridMultilevel"/>
    <w:lvl w:ilvl="0">
      <w:lvlJc w:val="left"/>
      <w:lvlText w:val="%1"/>
      <w:numFmt w:val="decimal"/>
      <w:start w:val="1"/>
    </w:lvl>
    <w:lvl w:ilvl="1">
      <w:lvlJc w:val="left"/>
      <w:lvlText w:val="%2."/>
      <w:numFmt w:val="lowerLetter"/>
      <w:start w:val="2"/>
    </w:lvl>
  </w:abstractNum>
  <w:abstractNum w:abstractNumId="71">
    <w:nsid w:val="1A32234B"/>
    <w:multiLevelType w:val="hybridMultilevel"/>
    <w:lvl w:ilvl="0">
      <w:lvlJc w:val="left"/>
      <w:lvlText w:val="%1."/>
      <w:numFmt w:val="decimal"/>
      <w:start w:val="10"/>
    </w:lvl>
    <w:lvl w:ilvl="1">
      <w:lvlJc w:val="left"/>
      <w:lvlText w:val="%2"/>
      <w:numFmt w:val="lowerLetter"/>
      <w:start w:val="1"/>
    </w:lvl>
  </w:abstractNum>
  <w:abstractNum w:abstractNumId="72">
    <w:nsid w:val="3B0FD379"/>
    <w:multiLevelType w:val="hybridMultilevel"/>
    <w:lvl w:ilvl="0">
      <w:lvlJc w:val="left"/>
      <w:lvlText w:val="%1."/>
      <w:numFmt w:val="decimal"/>
      <w:start w:val="11"/>
    </w:lvl>
    <w:lvl w:ilvl="1">
      <w:lvlJc w:val="left"/>
      <w:lvlText w:val="%2."/>
      <w:numFmt w:val="lowerLetter"/>
      <w:start w:val="1"/>
    </w:lvl>
  </w:abstractNum>
  <w:abstractNum w:abstractNumId="73">
    <w:nsid w:val="68EB2F6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4">
    <w:nsid w:val="4962813B"/>
    <w:multiLevelType w:val="hybridMultilevel"/>
    <w:lvl w:ilvl="0">
      <w:lvlJc w:val="left"/>
      <w:lvlText w:val="%1."/>
      <w:numFmt w:val="lowerLetter"/>
      <w:start w:val="4"/>
    </w:lvl>
  </w:abstractNum>
  <w:abstractNum w:abstractNumId="75">
    <w:nsid w:val="60B6DF70"/>
    <w:multiLevelType w:val="hybridMultilevel"/>
    <w:lvl w:ilvl="0">
      <w:lvlJc w:val="left"/>
      <w:lvlText w:val="%1."/>
      <w:numFmt w:val="lowerLetter"/>
      <w:start w:val="9"/>
    </w:lvl>
  </w:abstractNum>
  <w:abstractNum w:abstractNumId="76">
    <w:nsid w:val="6A5EE64"/>
    <w:multiLevelType w:val="hybridMultilevel"/>
    <w:lvl w:ilvl="0">
      <w:lvlJc w:val="left"/>
      <w:lvlText w:val="%1."/>
      <w:numFmt w:val="decimal"/>
      <w:start w:val="1"/>
    </w:lvl>
    <w:lvl w:ilvl="1">
      <w:lvlJc w:val="left"/>
      <w:lvlText w:val="%2."/>
      <w:numFmt w:val="lowerLetter"/>
      <w:start w:val="1"/>
    </w:lvl>
  </w:abstractNum>
  <w:abstractNum w:abstractNumId="77">
    <w:nsid w:val="14330624"/>
    <w:multiLevelType w:val="hybridMultilevel"/>
    <w:lvl w:ilvl="0">
      <w:lvlJc w:val="left"/>
      <w:lvlText w:val="%1."/>
      <w:numFmt w:val="decimal"/>
      <w:start w:val="5"/>
    </w:lvl>
  </w:abstractNum>
  <w:abstractNum w:abstractNumId="78">
    <w:nsid w:val="7FFFCA11"/>
    <w:multiLevelType w:val="hybridMultilevel"/>
    <w:lvl w:ilvl="0">
      <w:lvlJc w:val="left"/>
      <w:lvlText w:val="%1."/>
      <w:numFmt w:val="decimal"/>
      <w:start w:val="6"/>
    </w:lvl>
  </w:abstractNum>
  <w:abstractNum w:abstractNumId="79">
    <w:nsid w:val="1A27709E"/>
    <w:multiLevelType w:val="hybridMultilevel"/>
    <w:lvl w:ilvl="0">
      <w:lvlJc w:val="left"/>
      <w:lvlText w:val="%1."/>
      <w:numFmt w:val="decimal"/>
      <w:start w:val="12"/>
    </w:lvl>
  </w:abstractNum>
  <w:abstractNum w:abstractNumId="80">
    <w:nsid w:val="71EA1109"/>
    <w:multiLevelType w:val="hybridMultilevel"/>
    <w:lvl w:ilvl="0">
      <w:lvlJc w:val="left"/>
      <w:lvlText w:val="%1."/>
      <w:numFmt w:val="decimal"/>
      <w:start w:val="16"/>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jpe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183" Type="http://schemas.openxmlformats.org/officeDocument/2006/relationships/hyperlink" Target="https://www.sec.gov/Archives/edgar/data/1801170/000110465920112403/tm2032431d1_ex2-1.htm" TargetMode="External"/><Relationship Id="rId184" Type="http://schemas.openxmlformats.org/officeDocument/2006/relationships/hyperlink" Target="https://www.sec.gov/Archives/edgar/data/1801170/000119312520314423/d14732dex21.htm" TargetMode="External"/><Relationship Id="rId185" Type="http://schemas.openxmlformats.org/officeDocument/2006/relationships/hyperlink" Target="https://www.sec.gov/Archives/edgar/data/1801170/000119312521007348/d63659dex31.htm" TargetMode="External"/><Relationship Id="rId186" Type="http://schemas.openxmlformats.org/officeDocument/2006/relationships/hyperlink" Target="https://www.sec.gov/Archives/edgar/data/1801170/000119312521007348/d63659dex32.htm" TargetMode="External"/><Relationship Id="rId187" Type="http://schemas.openxmlformats.org/officeDocument/2006/relationships/hyperlink" Target="https://www.sec.gov/Archives/edgar/data/1801170/000119312520298445/d69158dex45.htm" TargetMode="External"/><Relationship Id="rId188" Type="http://schemas.openxmlformats.org/officeDocument/2006/relationships/hyperlink" Target="https://www.sec.gov/Archives/edgar/data/1801170/000119312520298445/d69158dex46.htm" TargetMode="External"/><Relationship Id="rId189" Type="http://schemas.openxmlformats.org/officeDocument/2006/relationships/hyperlink" Target="https://www.sec.gov/Archives/edgar/data/1801170/000180117022000015/descriptionofsecurities.htm" TargetMode="External"/><Relationship Id="rId190" Type="http://schemas.openxmlformats.org/officeDocument/2006/relationships/hyperlink" Target="https://www.sec.gov/Archives/edgar/data/1801170/000119312521007348/d63659dex102.htm" TargetMode="External"/><Relationship Id="rId191" Type="http://schemas.openxmlformats.org/officeDocument/2006/relationships/hyperlink" Target="https://www.sec.gov/Archives/edgar/data/1801170/000119312520272347/d69158dex1015.htm" TargetMode="External"/><Relationship Id="rId192" Type="http://schemas.openxmlformats.org/officeDocument/2006/relationships/hyperlink" Target="https://www.sec.gov/Archives/edgar/data/1801170/000119312521007348/d63659dex104.htm" TargetMode="External"/><Relationship Id="rId193" Type="http://schemas.openxmlformats.org/officeDocument/2006/relationships/hyperlink" Target="https://www.sec.gov/Archives/edgar/data/1801170/000119312521007348/d63659dex105.htm" TargetMode="External"/><Relationship Id="rId194" Type="http://schemas.openxmlformats.org/officeDocument/2006/relationships/hyperlink" Target="https://www.sec.gov/Archives/edgar/data/1801170/000119312521007348/d63659dex106.htm" TargetMode="External"/><Relationship Id="rId195" Type="http://schemas.openxmlformats.org/officeDocument/2006/relationships/hyperlink" Target="https://www.sec.gov/Archives/edgar/data/1801170/000119312521007348/d63659dex107.htm" TargetMode="External"/><Relationship Id="rId196" Type="http://schemas.openxmlformats.org/officeDocument/2006/relationships/hyperlink" Target="https://www.sec.gov/Archives/edgar/data/1801170/000119312521007348/d63659dex109.htm" TargetMode="External"/><Relationship Id="rId197" Type="http://schemas.openxmlformats.org/officeDocument/2006/relationships/hyperlink" Target="https://www.sec.gov/Archives/edgar/data/1801170/000180117021000036/agreementfortheprovisionof.htm" TargetMode="External"/><Relationship Id="rId198" Type="http://schemas.openxmlformats.org/officeDocument/2006/relationships/hyperlink" Target="https://www.sec.gov/Archives/edgar/data/1801170/000180117022000015/exhibit1012.htm" TargetMode="External"/><Relationship Id="rId199" Type="http://schemas.openxmlformats.org/officeDocument/2006/relationships/hyperlink" Target="https://www.sec.gov/Archives/edgar/data/1801170/000180117022000015/exhibit1013.htm" TargetMode="External"/><Relationship Id="rId200" Type="http://schemas.openxmlformats.org/officeDocument/2006/relationships/hyperlink" Target="https://www.sec.gov/Archives/edgar/data/1801170/000180117022000027/a03312022-exx101.htm" TargetMode="External"/><Relationship Id="rId201" Type="http://schemas.openxmlformats.org/officeDocument/2006/relationships/hyperlink" Target="https://www.sec.gov/Archives/edgar/data/1801170/000180117022000053/a06302022-exx101.htm" TargetMode="External"/><Relationship Id="rId202" Type="http://schemas.openxmlformats.org/officeDocument/2006/relationships/hyperlink" Target="https://www.sec.gov/Archives/edgar/data/1801170/000180117022000053/a06302022-exx102.htm" TargetMode="External"/><Relationship Id="rId203" Type="http://schemas.openxmlformats.org/officeDocument/2006/relationships/hyperlink" Target="https://www.sec.gov/Archives/edgar/data/1801170/000180117022000083/a09302022-exx101.htm" TargetMode="External"/><Relationship Id="rId204" Type="http://schemas.openxmlformats.org/officeDocument/2006/relationships/hyperlink" Target="https://www.sec.gov/Archives/edgar/data/1801170/000180117022000083/a09302022-ex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2023-03-01T08:03:27Z</dcterms:created>
  <dcterms:modified xsi:type="dcterms:W3CDTF">2023-03-01T08:03:27Z</dcterms:modified>
</cp:coreProperties>
</file>