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1323.xml.htm"/>
      <w:bookmarkStart w:id="1" w:name="kswkform4_17924413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Wai Conrad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Counterpart Health</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23,627</w:t>
            </w:r>
            <w:r>
              <w:rPr>
                <w:rFonts w:ascii="Times;serif" w:hAnsi="Times;serif"/>
                <w:color w:val="008000"/>
                <w:position w:val="7"/>
                <w:sz w:val="16"/>
                <w:sz w:val="20"/>
                <w:shd w:fill="FFFFFF" w:val="clear"/>
              </w:rPr>
              <w:t>(1)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w:t>
            </w:r>
            <w:r>
              <w:rPr>
                <w:rFonts w:ascii="Times;serif" w:hAnsi="Times;serif"/>
                <w:color w:val="008000"/>
                <w:position w:val="7"/>
                <w:sz w:val="16"/>
                <w:sz w:val="20"/>
                <w:shd w:fill="FFFFFF" w:val="clear"/>
              </w:rPr>
              <w:t>(2)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1,042,072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1,170,056</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vesting of 6.25% of restricted stock units ("RSUs") originally granted to the Reporting Person on October 15, 2024. The remaining RSUs vest quarterly in equal installments of 6.25%, with the final vesting date occurring on October 15, 2028,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$4.67 to $4.68,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in trust for the benefit of the Reporting Person's family, of which the Reporting Person is a co-trustee.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/s/Karen Soares as attorney-in-fact for Conrad Wai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1702"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803</Words>
  <Characters>4305</Characters>
  <CharactersWithSpaces>5033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