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Pursuant to Section 13 or 15(d) of the Securities Exchange Act of 1934</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Date of Report (Date of earliest event reported): August 5,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43"/>
        </w:rPr>
      </w:pPr>
      <w:r>
        <w:rPr>
          <w:rFonts w:ascii="Times New Roman;serif" w:hAnsi="Times New Roman;serif"/>
          <w:b/>
          <w:color w:val="000000"/>
          <w:sz w:val="43"/>
        </w:rPr>
        <w:t>CLOVER HEALTH INVESTMENTS, CORP.</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3"/>
        </w:rPr>
      </w:pPr>
      <w:r>
        <w:rPr>
          <w:rFonts w:ascii="Times New Roman;serif" w:hAnsi="Times New Roman;serif"/>
          <w:b/>
          <w:color w:val="000000"/>
          <w:sz w:val="13"/>
        </w:rPr>
        <w:t>(Exact name of Registrant as Specified in Its Charter)</w:t>
      </w:r>
    </w:p>
    <w:p>
      <w:pPr>
        <w:pStyle w:val="TextBody"/>
        <w:bidi w:val="0"/>
        <w:spacing w:before="0" w:after="0"/>
        <w:jc w:val="left"/>
        <w:rPr/>
      </w:pPr>
      <w:r>
        <w:rPr/>
      </w:r>
    </w:p>
    <w:tbl>
      <w:tblPr>
        <w:tblW w:w="4558" w:type="dxa"/>
        <w:jc w:val="center"/>
        <w:tblInd w:w="0" w:type="dxa"/>
        <w:tblLayout w:type="fixed"/>
        <w:tblCellMar>
          <w:top w:w="28" w:type="dxa"/>
          <w:left w:w="28" w:type="dxa"/>
          <w:bottom w:w="28" w:type="dxa"/>
          <w:right w:w="28" w:type="dxa"/>
        </w:tblCellMar>
      </w:tblPr>
      <w:tblGrid>
        <w:gridCol w:w="607"/>
        <w:gridCol w:w="535"/>
        <w:gridCol w:w="537"/>
        <w:gridCol w:w="552"/>
        <w:gridCol w:w="552"/>
        <w:gridCol w:w="560"/>
        <w:gridCol w:w="355"/>
        <w:gridCol w:w="355"/>
        <w:gridCol w:w="505"/>
      </w:tblGrid>
      <w:tr>
        <w:trPr/>
        <w:tc>
          <w:tcPr>
            <w:tcW w:w="60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Delaware</w:t>
            </w:r>
          </w:p>
        </w:tc>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001-39252</w:t>
            </w:r>
          </w:p>
        </w:tc>
        <w:tc>
          <w:tcPr>
            <w:tcW w:w="12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98-1515192</w:t>
            </w:r>
          </w:p>
        </w:tc>
      </w:tr>
      <w:tr>
        <w:trPr/>
        <w:tc>
          <w:tcPr>
            <w:tcW w:w="1679" w:type="dxa"/>
            <w:gridSpan w:val="3"/>
            <w:tcBorders/>
            <w:tcMar>
              <w:top w:w="0" w:type="dxa"/>
              <w:left w:w="0" w:type="dxa"/>
              <w:bottom w:w="0" w:type="dxa"/>
              <w:right w:w="0" w:type="dxa"/>
            </w:tcMar>
            <w:vAlign w:val="center"/>
          </w:tcPr>
          <w:p>
            <w:pPr>
              <w:pStyle w:val="TableContents"/>
              <w:bidi w:val="0"/>
              <w:spacing w:lineRule="auto" w:line="249" w:before="0" w:after="0"/>
              <w:jc w:val="center"/>
              <w:rPr>
                <w:rFonts w:ascii="Times New Roman;serif" w:hAnsi="Times New Roman;serif"/>
                <w:b w:val="false"/>
                <w:color w:val="000000"/>
                <w:sz w:val="13"/>
              </w:rPr>
            </w:pPr>
            <w:r>
              <w:rPr>
                <w:rFonts w:ascii="Times New Roman;serif" w:hAnsi="Times New Roman;serif"/>
                <w:b w:val="false"/>
                <w:color w:val="000000"/>
                <w:sz w:val="13"/>
              </w:rPr>
              <w:t>(State or Other Jurisdiction</w:t>
            </w:r>
          </w:p>
        </w:tc>
        <w:tc>
          <w:tcPr>
            <w:tcW w:w="16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3"/>
              </w:rPr>
            </w:pPr>
            <w:r>
              <w:rPr>
                <w:rFonts w:ascii="Times New Roman;serif" w:hAnsi="Times New Roman;serif"/>
                <w:b w:val="false"/>
                <w:color w:val="000000"/>
                <w:sz w:val="13"/>
              </w:rPr>
              <w:t>(Commission File Number)</w:t>
            </w:r>
          </w:p>
        </w:tc>
        <w:tc>
          <w:tcPr>
            <w:tcW w:w="1215" w:type="dxa"/>
            <w:gridSpan w:val="3"/>
            <w:tcBorders/>
            <w:tcMar>
              <w:top w:w="0" w:type="dxa"/>
              <w:left w:w="0" w:type="dxa"/>
              <w:bottom w:w="0" w:type="dxa"/>
              <w:right w:w="0" w:type="dxa"/>
            </w:tcMar>
            <w:vAlign w:val="center"/>
          </w:tcPr>
          <w:p>
            <w:pPr>
              <w:pStyle w:val="TableContents"/>
              <w:bidi w:val="0"/>
              <w:spacing w:lineRule="auto" w:line="249" w:before="0" w:after="0"/>
              <w:jc w:val="center"/>
              <w:rPr>
                <w:rFonts w:ascii="Times New Roman;serif" w:hAnsi="Times New Roman;serif"/>
                <w:b w:val="false"/>
                <w:color w:val="000000"/>
                <w:sz w:val="13"/>
              </w:rPr>
            </w:pPr>
            <w:r>
              <w:rPr>
                <w:rFonts w:ascii="Times New Roman;serif" w:hAnsi="Times New Roman;serif"/>
                <w:b w:val="false"/>
                <w:color w:val="000000"/>
                <w:sz w:val="13"/>
              </w:rPr>
              <w:t>(IRS Employer</w:t>
            </w:r>
          </w:p>
        </w:tc>
      </w:tr>
      <w:tr>
        <w:trPr/>
        <w:tc>
          <w:tcPr>
            <w:tcW w:w="16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3"/>
              </w:rPr>
            </w:pPr>
            <w:r>
              <w:rPr>
                <w:rFonts w:ascii="Times New Roman;serif" w:hAnsi="Times New Roman;serif"/>
                <w:b w:val="false"/>
                <w:color w:val="000000"/>
                <w:sz w:val="13"/>
              </w:rPr>
              <w:t>of Incorporation)</w:t>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3"/>
              </w:rPr>
            </w:pPr>
            <w:r>
              <w:rPr>
                <w:rFonts w:ascii="Times New Roman;serif" w:hAnsi="Times New Roman;serif"/>
                <w:b w:val="false"/>
                <w:color w:val="000000"/>
                <w:sz w:val="13"/>
              </w:rPr>
              <w:t>Identification No.)</w:t>
            </w:r>
          </w:p>
        </w:tc>
      </w:tr>
    </w:tbl>
    <w:tbl>
      <w:tblPr>
        <w:tblW w:w="3929" w:type="dxa"/>
        <w:jc w:val="center"/>
        <w:tblInd w:w="0" w:type="dxa"/>
        <w:tblLayout w:type="fixed"/>
        <w:tblCellMar>
          <w:top w:w="28" w:type="dxa"/>
          <w:left w:w="28" w:type="dxa"/>
          <w:bottom w:w="28" w:type="dxa"/>
          <w:right w:w="28" w:type="dxa"/>
        </w:tblCellMar>
      </w:tblPr>
      <w:tblGrid>
        <w:gridCol w:w="874"/>
        <w:gridCol w:w="768"/>
        <w:gridCol w:w="773"/>
        <w:gridCol w:w="443"/>
        <w:gridCol w:w="443"/>
        <w:gridCol w:w="628"/>
      </w:tblGrid>
      <w:tr>
        <w:trPr/>
        <w:tc>
          <w:tcPr>
            <w:tcW w:w="874"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Not Applicable</w:t>
            </w:r>
            <w:r>
              <w:rPr>
                <w:rFonts w:ascii="Times New Roman;serif" w:hAnsi="Times New Roman;serif"/>
                <w:b w:val="false"/>
                <w:color w:val="000000"/>
                <w:sz w:val="12"/>
              </w:rPr>
              <w:t>(1)</w:t>
            </w:r>
          </w:p>
        </w:tc>
        <w:tc>
          <w:tcPr>
            <w:tcW w:w="151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color w:val="000000"/>
              </w:rPr>
              <w:t> </w:t>
            </w:r>
            <w:r>
              <w:rPr>
                <w:rFonts w:ascii="Times New Roman;serif" w:hAnsi="Times New Roman;serif"/>
                <w:b/>
                <w:color w:val="000000"/>
                <w:sz w:val="18"/>
              </w:rPr>
              <w:t>Not Applicable</w:t>
            </w:r>
            <w:r>
              <w:rPr>
                <w:rFonts w:ascii="Times New Roman;serif" w:hAnsi="Times New Roman;serif"/>
                <w:b w:val="false"/>
                <w:color w:val="000000"/>
                <w:sz w:val="12"/>
              </w:rPr>
              <w:t>(1)</w:t>
            </w:r>
          </w:p>
        </w:tc>
      </w:tr>
      <w:tr>
        <w:trPr/>
        <w:tc>
          <w:tcPr>
            <w:tcW w:w="24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(Address of Principal Executive Offices)</w:t>
            </w:r>
          </w:p>
        </w:tc>
        <w:tc>
          <w:tcPr>
            <w:tcW w:w="15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(Zip Code)</w:t>
            </w:r>
          </w:p>
        </w:tc>
      </w:tr>
    </w:tbl>
    <w:p>
      <w:pPr>
        <w:pStyle w:val="TextBody"/>
        <w:bidi w:val="0"/>
        <w:spacing w:lineRule="auto" w:line="228" w:before="0" w:after="120"/>
        <w:jc w:val="center"/>
        <w:rPr/>
      </w:pPr>
      <w:r>
        <w:rPr>
          <w:rFonts w:ascii="Times New Roman;serif" w:hAnsi="Times New Roman;serif"/>
          <w:b/>
          <w:color w:val="000000"/>
          <w:sz w:val="18"/>
        </w:rPr>
        <w:t>Not Applicable</w:t>
      </w:r>
      <w:r>
        <w:rPr>
          <w:rFonts w:ascii="Times New Roman;serif" w:hAnsi="Times New Roman;serif"/>
          <w:b w:val="false"/>
          <w:color w:val="000000"/>
          <w:sz w:val="12"/>
        </w:rPr>
        <w:t>(1)</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 Applicable</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321" w:before="0" w:after="0"/>
        <w:jc w:val="left"/>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18"/>
        </w:rPr>
        <w:t>Written communications pursuant to Rule 425 under the Securities Act (17 CFR 230.425)</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18"/>
        </w:rPr>
        <w:t>Soliciting material pursuant to Rule 14a-12 under the Exchange Act (17 CFR 240.14a-12)</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18"/>
        </w:rPr>
        <w:t>Pre-commencement communications pursuant to Rule 14d-2(b) under the Exchange Act (17 CFR 240.14d-2(b))</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18"/>
        </w:rPr>
        <w:t>Pre-commencement communications pursuant to Rule 13e-4(c) under the Exchange Act (17 CFR 240.13e-4(c))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p>
      <w:pPr>
        <w:pStyle w:val="TextBody"/>
        <w:bidi w:val="0"/>
        <w:spacing w:before="0" w:after="0"/>
        <w:jc w:val="left"/>
        <w:rPr/>
      </w:pPr>
      <w:r>
        <w:rPr/>
      </w:r>
    </w:p>
    <w:tbl>
      <w:tblPr>
        <w:tblW w:w="9186" w:type="dxa"/>
        <w:jc w:val="center"/>
        <w:tblInd w:w="0" w:type="dxa"/>
        <w:tblLayout w:type="fixed"/>
        <w:tblCellMar>
          <w:top w:w="28" w:type="dxa"/>
          <w:left w:w="28" w:type="dxa"/>
          <w:bottom w:w="28" w:type="dxa"/>
          <w:right w:w="28" w:type="dxa"/>
        </w:tblCellMar>
      </w:tblPr>
      <w:tblGrid>
        <w:gridCol w:w="1507"/>
        <w:gridCol w:w="1327"/>
        <w:gridCol w:w="1335"/>
        <w:gridCol w:w="109"/>
        <w:gridCol w:w="109"/>
        <w:gridCol w:w="109"/>
        <w:gridCol w:w="293"/>
        <w:gridCol w:w="293"/>
        <w:gridCol w:w="298"/>
        <w:gridCol w:w="109"/>
        <w:gridCol w:w="109"/>
        <w:gridCol w:w="109"/>
        <w:gridCol w:w="1019"/>
        <w:gridCol w:w="1019"/>
        <w:gridCol w:w="1441"/>
      </w:tblGrid>
      <w:tr>
        <w:trPr/>
        <w:tc>
          <w:tcPr>
            <w:tcW w:w="1507"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Trading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4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Class A 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CLOV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The NASDAQ Stock Market LLC</w:t>
            </w:r>
          </w:p>
        </w:tc>
      </w:tr>
    </w:tbl>
    <w:p>
      <w:pPr>
        <w:pStyle w:val="TextBody"/>
        <w:bidi w:val="0"/>
        <w:spacing w:lineRule="auto" w:line="288" w:before="0" w:after="12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288" w:before="0" w:after="120"/>
        <w:jc w:val="left"/>
        <w:rPr>
          <w:rFonts w:ascii="Times New Roman;serif" w:hAnsi="Times New Roman;serif"/>
          <w:b w:val="false"/>
          <w:color w:val="000000"/>
          <w:sz w:val="18"/>
        </w:rPr>
      </w:pPr>
      <w:r>
        <w:rPr>
          <w:rFonts w:ascii="Times New Roman;serif" w:hAnsi="Times New Roman;serif"/>
          <w:b w:val="false"/>
          <w:color w:val="000000"/>
          <w:sz w:val="18"/>
        </w:rPr>
        <w:t>Emerging growth company ☐</w:t>
      </w:r>
    </w:p>
    <w:p>
      <w:pPr>
        <w:pStyle w:val="TextBody"/>
        <w:bidi w:val="0"/>
        <w:spacing w:lineRule="auto" w:line="288" w:before="0" w:after="120"/>
        <w:jc w:val="left"/>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0"/>
        </w:rPr>
        <w:t xml:space="preserve">(1) </w:t>
      </w:r>
      <w:r>
        <w:rPr>
          <w:rFonts w:ascii="Times New Roman;serif" w:hAnsi="Times New Roman;serif"/>
          <w:b w:val="false"/>
          <w:color w:val="000000"/>
          <w:sz w:val="16"/>
        </w:rPr>
        <w:t>We are a remote-first company. Accordingly, we do not maintain a headquarters. For purposes of compliance with applicable requirements of the Securities Act of 1933, as amended, and the Securities Exchange Act of 1934, as amended, stockholder communications required to be sent to our principal executive offices may be directed to the email address: secretary@cloverhealth.com, or to our agent for service of process at The Corporation Trust Company, 1209 Orange Street, Wilmington, Delaware 19801.</w:t>
      </w:r>
    </w:p>
    <w:p>
      <w:pPr>
        <w:pStyle w:val="TextBody"/>
        <w:bidi w:val="0"/>
        <w:spacing w:before="0" w:after="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18"/>
        </w:rPr>
      </w:pPr>
      <w:r>
        <w:rPr>
          <w:rFonts w:ascii="Times New Roman;serif" w:hAnsi="Times New Roman;serif"/>
          <w:b/>
          <w:color w:val="000000"/>
          <w:sz w:val="18"/>
        </w:rPr>
        <w:t>Item 2.02 Results of Operations and Financial Condition.</w:t>
      </w:r>
    </w:p>
    <w:p>
      <w:pPr>
        <w:pStyle w:val="TextBody"/>
        <w:bidi w:val="0"/>
        <w:spacing w:lineRule="auto" w:line="288" w:before="180" w:after="180"/>
        <w:jc w:val="both"/>
        <w:rPr>
          <w:rFonts w:ascii="Times New Roman;serif" w:hAnsi="Times New Roman;serif"/>
          <w:b w:val="false"/>
          <w:color w:val="000000"/>
          <w:sz w:val="18"/>
        </w:rPr>
      </w:pPr>
      <w:r>
        <w:rPr>
          <w:rFonts w:ascii="Times New Roman;serif" w:hAnsi="Times New Roman;serif"/>
          <w:b w:val="false"/>
          <w:color w:val="000000"/>
          <w:sz w:val="18"/>
        </w:rPr>
        <w:t xml:space="preserve">On August 5, 2026, Clover Health Investments, Corp. (the "Company") issued a press release announcing its financial results for the second quarter ended June 30, 2026. The full text of the press release issued in connection with the announcement is furnished as Exhibit 99.1 to this Current Report on Form 8-K and is incorporated herein by reference. </w:t>
      </w:r>
    </w:p>
    <w:p>
      <w:pPr>
        <w:pStyle w:val="TextBody"/>
        <w:bidi w:val="0"/>
        <w:spacing w:lineRule="auto" w:line="288" w:before="180" w:after="180"/>
        <w:jc w:val="both"/>
        <w:rPr>
          <w:rFonts w:ascii="Times New Roman;serif" w:hAnsi="Times New Roman;serif"/>
          <w:b w:val="false"/>
          <w:color w:val="000000"/>
          <w:sz w:val="18"/>
        </w:rPr>
      </w:pPr>
      <w:r>
        <w:rPr>
          <w:rFonts w:ascii="Times New Roman;serif" w:hAnsi="Times New Roman;serif"/>
          <w:b w:val="false"/>
          <w:color w:val="000000"/>
          <w:sz w:val="18"/>
        </w:rPr>
        <w:t>The information set forth in this Item 2.02 (including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18"/>
        </w:rPr>
      </w:pPr>
      <w:r>
        <w:rPr>
          <w:rFonts w:ascii="Times New Roman;serif" w:hAnsi="Times New Roman;serif"/>
          <w:b/>
          <w:color w:val="000000"/>
          <w:sz w:val="18"/>
        </w:rPr>
        <w:t>Item 9.01. Financial Statements and Exhibits.</w:t>
      </w:r>
    </w:p>
    <w:p>
      <w:pPr>
        <w:pStyle w:val="TextBody"/>
        <w:bidi w:val="0"/>
        <w:spacing w:before="0" w:after="0"/>
        <w:jc w:val="left"/>
        <w:rPr/>
      </w:pPr>
      <w:r>
        <w:rPr/>
      </w:r>
    </w:p>
    <w:p>
      <w:pPr>
        <w:pStyle w:val="TextBody"/>
        <w:bidi w:val="0"/>
        <w:spacing w:lineRule="auto" w:line="271" w:before="0" w:after="0"/>
        <w:jc w:val="left"/>
        <w:rPr>
          <w:rFonts w:ascii="Times New Roman;serif" w:hAnsi="Times New Roman;serif"/>
          <w:b w:val="false"/>
          <w:color w:val="000000"/>
          <w:sz w:val="18"/>
        </w:rPr>
      </w:pPr>
      <w:r>
        <w:rPr>
          <w:rFonts w:ascii="Times New Roman;serif" w:hAnsi="Times New Roman;serif"/>
          <w:b w:val="false"/>
          <w:color w:val="000000"/>
          <w:sz w:val="18"/>
        </w:rPr>
        <w:t>(d) List of Exhibits</w:t>
      </w:r>
    </w:p>
    <w:p>
      <w:pPr>
        <w:pStyle w:val="TextBody"/>
        <w:bidi w:val="0"/>
        <w:spacing w:before="0" w:after="0"/>
        <w:jc w:val="left"/>
        <w:rPr/>
      </w:pPr>
      <w:r>
        <w:rPr/>
      </w:r>
    </w:p>
    <w:tbl>
      <w:tblPr>
        <w:tblW w:w="6794" w:type="dxa"/>
        <w:jc w:val="left"/>
        <w:tblInd w:w="0" w:type="dxa"/>
        <w:tblLayout w:type="fixed"/>
        <w:tblCellMar>
          <w:top w:w="28" w:type="dxa"/>
          <w:left w:w="28" w:type="dxa"/>
          <w:bottom w:w="28" w:type="dxa"/>
          <w:right w:w="28" w:type="dxa"/>
        </w:tblCellMar>
      </w:tblPr>
      <w:tblGrid>
        <w:gridCol w:w="363"/>
        <w:gridCol w:w="320"/>
        <w:gridCol w:w="321"/>
        <w:gridCol w:w="1693"/>
        <w:gridCol w:w="1693"/>
        <w:gridCol w:w="2404"/>
      </w:tblGrid>
      <w:tr>
        <w:trPr/>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2404" w:type="dxa"/>
            <w:tcBorders/>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Exhibit No.</w:t>
            </w:r>
          </w:p>
        </w:tc>
        <w:tc>
          <w:tcPr>
            <w:tcW w:w="57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Description</w:t>
            </w:r>
          </w:p>
        </w:tc>
      </w:tr>
      <w:tr>
        <w:trPr/>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99.1</w:t>
            </w:r>
          </w:p>
        </w:tc>
        <w:tc>
          <w:tcPr>
            <w:tcW w:w="579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2q26exx991xearningsrelease.htm">
              <w:r>
                <w:rPr>
                  <w:rStyle w:val="InternetLink"/>
                  <w:rFonts w:ascii="Times New Roman;serif" w:hAnsi="Times New Roman;serif"/>
                  <w:b w:val="false"/>
                  <w:color w:val="0000FF"/>
                  <w:sz w:val="18"/>
                  <w:u w:val="single"/>
                </w:rPr>
                <w:t>Press release dated August 5, 2026</w:t>
              </w:r>
            </w:hyperlink>
          </w:p>
        </w:tc>
      </w:tr>
      <w:tr>
        <w:trPr/>
        <w:tc>
          <w:tcPr>
            <w:tcW w:w="10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57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Cover Page Interactive Data File (embedded within the Inline XBRL document)</w:t>
            </w:r>
          </w:p>
        </w:tc>
      </w:tr>
      <w:tr>
        <w:trPr/>
        <w:tc>
          <w:tcPr>
            <w:tcW w:w="1004" w:type="dxa"/>
            <w:gridSpan w:val="3"/>
            <w:tcBorders>
              <w:bottom w:val="single" w:sz="8" w:space="0" w:color="B6B6B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90" w:type="dxa"/>
            <w:gridSpan w:val="3"/>
            <w:tcBorders>
              <w:bottom w:val="single" w:sz="8" w:space="0" w:color="B6B6B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SIGNATURE</w:t>
      </w:r>
    </w:p>
    <w:p>
      <w:pPr>
        <w:pStyle w:val="TextBody"/>
        <w:bidi w:val="0"/>
        <w:spacing w:before="0" w:after="0"/>
        <w:jc w:val="left"/>
        <w:rPr/>
      </w:pPr>
      <w:r>
        <w:rPr/>
      </w:r>
    </w:p>
    <w:p>
      <w:pPr>
        <w:pStyle w:val="TextBody"/>
        <w:bidi w:val="0"/>
        <w:spacing w:lineRule="auto" w:line="321" w:before="0" w:after="0"/>
        <w:jc w:val="left"/>
        <w:rPr>
          <w:rFonts w:ascii="Times New Roman;serif" w:hAnsi="Times New Roman;serif"/>
          <w:b w:val="false"/>
          <w:color w:val="000000"/>
          <w:sz w:val="18"/>
        </w:rPr>
      </w:pPr>
      <w:r>
        <w:rPr>
          <w:rFonts w:ascii="Times New Roman;serif" w:hAnsi="Times New Roman;serif"/>
          <w:b w:val="false"/>
          <w:color w:val="000000"/>
          <w:sz w:val="18"/>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p>
      <w:pPr>
        <w:pStyle w:val="TextBody"/>
        <w:bidi w:val="0"/>
        <w:spacing w:before="0" w:after="0"/>
        <w:jc w:val="left"/>
        <w:rPr/>
      </w:pPr>
      <w:r>
        <w:rPr/>
      </w:r>
    </w:p>
    <w:tbl>
      <w:tblPr>
        <w:tblW w:w="7691" w:type="dxa"/>
        <w:jc w:val="left"/>
        <w:tblInd w:w="0" w:type="dxa"/>
        <w:tblLayout w:type="fixed"/>
        <w:tblCellMar>
          <w:top w:w="28" w:type="dxa"/>
          <w:left w:w="28" w:type="dxa"/>
          <w:bottom w:w="28" w:type="dxa"/>
          <w:right w:w="28" w:type="dxa"/>
        </w:tblCellMar>
      </w:tblPr>
      <w:tblGrid>
        <w:gridCol w:w="179"/>
        <w:gridCol w:w="157"/>
        <w:gridCol w:w="159"/>
        <w:gridCol w:w="404"/>
        <w:gridCol w:w="404"/>
        <w:gridCol w:w="406"/>
        <w:gridCol w:w="109"/>
        <w:gridCol w:w="109"/>
        <w:gridCol w:w="109"/>
        <w:gridCol w:w="425"/>
        <w:gridCol w:w="425"/>
        <w:gridCol w:w="425"/>
        <w:gridCol w:w="1270"/>
        <w:gridCol w:w="1270"/>
        <w:gridCol w:w="1840"/>
      </w:tblGrid>
      <w:tr>
        <w:trPr/>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840" w:type="dxa"/>
            <w:tcBorders/>
            <w:vAlign w:val="center"/>
          </w:tcPr>
          <w:p>
            <w:pPr>
              <w:pStyle w:val="TableContents"/>
              <w:bidi w:val="0"/>
              <w:spacing w:before="0" w:after="283"/>
              <w:jc w:val="left"/>
              <w:rPr>
                <w:sz w:val="4"/>
                <w:szCs w:val="4"/>
              </w:rPr>
            </w:pPr>
            <w:r>
              <w:rPr>
                <w:sz w:val="4"/>
                <w:szCs w:val="4"/>
              </w:rPr>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5"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Clover Health Investments, Corp.</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Date:</w:t>
            </w:r>
          </w:p>
        </w:tc>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August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43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/s/ Clay Thornton</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Name:</w:t>
            </w:r>
          </w:p>
        </w:tc>
        <w:tc>
          <w:tcPr>
            <w:tcW w:w="43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Clay Thornton</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Title:</w:t>
            </w:r>
          </w:p>
        </w:tc>
        <w:tc>
          <w:tcPr>
            <w:tcW w:w="43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Interim Chief Financial Officer (Principal Financial Officer)</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19"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Clover Health Reports Second Quarter 2026 Results</w:t>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Business Highlights: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Delivered strong second quarter 2026 GAAP Net Income alongside continued market-leading Medicare Advantage membership growth</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Improved Full Year 2026 guidance across all metrics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Increasing confidence for 2027 outlook, supported by strong cohort development, continued clinical engagement, and the added flexibility of a 4.5 Star payment year</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Financial Results: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Second quarter 2026 GAAP Net Income of $28 million, an improvement of $39 million year-over-year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Second quarter 2026 Medicare Advantage membership of 157,309, up 48% year-over-year, and Total revenues of $743 million, up 56% year-over-year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Second quarter 2026 Consolidated Gross Profit of $153 million, up 54% year-over-year, and Adjusted EBITDA of $41 million, up 139% year-over-year</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Improved Full Year 2026 Guidance: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Average Medicare Advantage membership of 156,000 - 158,000, representing 47% growth year-over-year at the midpoint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Total revenues between $2.92 billion and $3.00 billion, representing 54% growth year-over-year at the midpoint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Consolidated Gross Profit between $525 million and $555 million, representing 52% growth year-over-year at the midpoint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Adjusted EBITDA profitability between $70 million and $85 million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GAAP Net Income between $20 million and $35 million</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WILMINGTON, Del. – August 5, 2026 – Clover Health Investments, Corp. (Nasdaq: CLOV) (“Clover,” “Clover Health” or the “Company”), today reported financial results for the second quarter 2026. Management will host a conference call today at 5:00 p.m. ET to discuss its operating results and other business highlights.</w:t>
      </w:r>
    </w:p>
    <w:p>
      <w:pPr>
        <w:pStyle w:val="TextBody"/>
        <w:bidi w:val="0"/>
        <w:spacing w:lineRule="auto" w:line="288" w:before="180" w:after="180"/>
        <w:jc w:val="both"/>
        <w:rPr/>
      </w:pPr>
      <w:r>
        <w:rPr>
          <w:color w:val="000000"/>
        </w:rPr>
        <w:t>“</w:t>
      </w:r>
      <w:r>
        <w:rPr>
          <w:rFonts w:ascii="Times New Roman;serif" w:hAnsi="Times New Roman;serif"/>
          <w:b w:val="false"/>
          <w:color w:val="000000"/>
          <w:sz w:val="20"/>
        </w:rPr>
        <w:t xml:space="preserve">Our results demonstrate that a wide-network, full-risk Medicare Advantage model can deliver better health outcomes, meaningful growth, and increasing profitability at the same time,” </w:t>
      </w:r>
      <w:r>
        <w:rPr>
          <w:rFonts w:ascii="Times New Roman;serif" w:hAnsi="Times New Roman;serif"/>
          <w:b/>
          <w:color w:val="000000"/>
          <w:sz w:val="20"/>
        </w:rPr>
        <w:t>said Clover Health CEO Andrew Toy</w:t>
      </w:r>
      <w:r>
        <w:rPr>
          <w:rFonts w:ascii="Times New Roman;serif" w:hAnsi="Times New Roman;serif"/>
          <w:b w:val="false"/>
          <w:color w:val="000000"/>
          <w:sz w:val="20"/>
        </w:rPr>
        <w:t>. “We are continuing to bring our AI-powered Clover Assistant platform to more physicians and more members, empowering earlier intervention, more personalized care, and better health outcomes. We believe this differentiated approach is the foundation for our long-term earnings potential.”</w:t>
      </w:r>
    </w:p>
    <w:p>
      <w:pPr>
        <w:pStyle w:val="TextBody"/>
        <w:bidi w:val="0"/>
        <w:spacing w:lineRule="auto" w:line="288" w:before="180" w:after="180"/>
        <w:jc w:val="both"/>
        <w:rPr/>
      </w:pPr>
      <w:r>
        <w:rPr>
          <w:rFonts w:ascii="Times New Roman;serif" w:hAnsi="Times New Roman;serif"/>
          <w:b w:val="false"/>
          <w:color w:val="000000"/>
          <w:sz w:val="20"/>
        </w:rPr>
        <w:t xml:space="preserve">"The underlying performance of our Medicare Advantage business continued to strengthen through the first half of the year, with cohort economics improving year-over-year as expected, giving us the confidence to raise our full-year 2026 outlook,” </w:t>
      </w:r>
      <w:r>
        <w:rPr>
          <w:rFonts w:ascii="Times New Roman;serif" w:hAnsi="Times New Roman;serif"/>
          <w:b/>
          <w:color w:val="000000"/>
          <w:sz w:val="20"/>
        </w:rPr>
        <w:t>said Clover Health Interim CFO Clay Thornton</w:t>
      </w:r>
      <w:r>
        <w:rPr>
          <w:rFonts w:ascii="Times New Roman;serif" w:hAnsi="Times New Roman;serif"/>
          <w:b w:val="false"/>
          <w:color w:val="000000"/>
          <w:sz w:val="20"/>
        </w:rPr>
        <w:t>. “As more members mature under our technology-powered care model, we expect improving clinical outcomes to translate into stronger economics over time. Because we operate at full risk, we retain those economics, which we believe allows us to enter 2027 from a position of strength.”</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Key Company highlights are as follows:</w:t>
      </w:r>
    </w:p>
    <w:tbl>
      <w:tblPr>
        <w:tblW w:w="10205" w:type="dxa"/>
        <w:jc w:val="left"/>
        <w:tblInd w:w="0" w:type="dxa"/>
        <w:tblLayout w:type="fixed"/>
        <w:tblCellMar>
          <w:top w:w="28" w:type="dxa"/>
          <w:left w:w="28" w:type="dxa"/>
          <w:bottom w:w="28" w:type="dxa"/>
          <w:right w:w="28" w:type="dxa"/>
        </w:tblCellMar>
      </w:tblPr>
      <w:tblGrid>
        <w:gridCol w:w="809"/>
        <w:gridCol w:w="461"/>
        <w:gridCol w:w="390"/>
        <w:gridCol w:w="109"/>
        <w:gridCol w:w="109"/>
        <w:gridCol w:w="109"/>
        <w:gridCol w:w="211"/>
        <w:gridCol w:w="616"/>
        <w:gridCol w:w="271"/>
        <w:gridCol w:w="109"/>
        <w:gridCol w:w="109"/>
        <w:gridCol w:w="109"/>
        <w:gridCol w:w="211"/>
        <w:gridCol w:w="616"/>
        <w:gridCol w:w="271"/>
        <w:gridCol w:w="109"/>
        <w:gridCol w:w="109"/>
        <w:gridCol w:w="109"/>
        <w:gridCol w:w="307"/>
        <w:gridCol w:w="309"/>
        <w:gridCol w:w="428"/>
        <w:gridCol w:w="109"/>
        <w:gridCol w:w="109"/>
        <w:gridCol w:w="109"/>
        <w:gridCol w:w="211"/>
        <w:gridCol w:w="766"/>
        <w:gridCol w:w="271"/>
        <w:gridCol w:w="109"/>
        <w:gridCol w:w="109"/>
        <w:gridCol w:w="109"/>
        <w:gridCol w:w="211"/>
        <w:gridCol w:w="616"/>
        <w:gridCol w:w="271"/>
        <w:gridCol w:w="109"/>
        <w:gridCol w:w="109"/>
        <w:gridCol w:w="109"/>
        <w:gridCol w:w="255"/>
        <w:gridCol w:w="256"/>
        <w:gridCol w:w="486"/>
      </w:tblGrid>
      <w:tr>
        <w:trPr/>
        <w:tc>
          <w:tcPr>
            <w:tcW w:w="8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1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1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 (%)</w:t>
            </w:r>
          </w:p>
        </w:tc>
      </w:tr>
      <w:tr>
        <w:trPr/>
        <w:tc>
          <w:tcPr>
            <w:tcW w:w="16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58.8 </w:t>
            </w:r>
          </w:p>
        </w:tc>
        <w:tc>
          <w:tcPr>
            <w:tcW w:w="4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Consolidated Gross profit</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49.9 </w:t>
            </w:r>
          </w:p>
        </w:tc>
        <w:tc>
          <w:tcPr>
            <w:tcW w:w="4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benefits plus General and administrative expenses ("SG&amp;A")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4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Salaries and benefits plus General and administrative expenses ("Adjusted SG&amp;A")</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4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SG&amp;A as a % of 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bps)</w:t>
            </w:r>
          </w:p>
        </w:tc>
      </w:tr>
      <w:tr>
        <w:trPr/>
        <w:tc>
          <w:tcPr>
            <w:tcW w:w="1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1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EBITDA</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89.3 </w:t>
            </w:r>
          </w:p>
        </w:tc>
        <w:tc>
          <w:tcPr>
            <w:tcW w:w="4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Net income</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141.9 </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90.7 </w:t>
            </w:r>
          </w:p>
        </w:tc>
        <w:tc>
          <w:tcPr>
            <w:tcW w:w="4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4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Average Medicare Advantage membership</w:t>
            </w:r>
            <w:r>
              <w:rPr>
                <w:rFonts w:ascii="Times New Roman;serif" w:hAnsi="Times New Roman;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156,840 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105,494 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4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59.9 </w:t>
            </w:r>
          </w:p>
        </w:tc>
        <w:tc>
          <w:tcPr>
            <w:tcW w:w="4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net medical claims incurred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60.8 </w:t>
            </w:r>
          </w:p>
        </w:tc>
        <w:tc>
          <w:tcPr>
            <w:tcW w:w="4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Insurance BER</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bps)</w:t>
            </w:r>
          </w:p>
        </w:tc>
      </w:tr>
      <w:tr>
        <w:trPr/>
        <w:tc>
          <w:tcPr>
            <w:tcW w:w="1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1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Times New Roman;serif" w:hAnsi="Times New Roman;serif"/>
          <w:b w:val="false"/>
          <w:color w:val="FFFFFF"/>
          <w:sz w:val="3"/>
        </w:rPr>
      </w:pPr>
      <w:r>
        <w:rPr>
          <w:rFonts w:ascii="Times New Roman;serif" w:hAnsi="Times New Roman;serif"/>
          <w:b w:val="false"/>
          <w:color w:val="FFFFFF"/>
          <w:sz w:val="3"/>
        </w:rPr>
        <w:t>1,2,3,4,5</w:t>
      </w:r>
    </w:p>
    <w:p>
      <w:pPr>
        <w:pStyle w:val="TextBody"/>
        <w:bidi w:val="0"/>
        <w:spacing w:lineRule="auto" w:line="288" w:before="120" w:after="120"/>
        <w:jc w:val="both"/>
        <w:rPr>
          <w:rFonts w:ascii="Times New Roman;serif" w:hAnsi="Times New Roman;serif"/>
          <w:b/>
          <w:color w:val="000000"/>
          <w:sz w:val="20"/>
          <w:u w:val="single"/>
        </w:rPr>
      </w:pPr>
      <w:r>
        <w:rPr>
          <w:rFonts w:ascii="Times New Roman;serif" w:hAnsi="Times New Roman;serif"/>
          <w:b/>
          <w:color w:val="000000"/>
          <w:sz w:val="20"/>
          <w:u w:val="single"/>
        </w:rPr>
        <w:t>2026 Financial Guidance</w:t>
      </w:r>
    </w:p>
    <w:tbl>
      <w:tblPr>
        <w:tblW w:w="9036" w:type="dxa"/>
        <w:jc w:val="center"/>
        <w:tblInd w:w="0" w:type="dxa"/>
        <w:tblLayout w:type="fixed"/>
        <w:tblCellMar>
          <w:top w:w="28" w:type="dxa"/>
          <w:left w:w="28" w:type="dxa"/>
          <w:bottom w:w="28" w:type="dxa"/>
          <w:right w:w="28" w:type="dxa"/>
        </w:tblCellMar>
      </w:tblPr>
      <w:tblGrid>
        <w:gridCol w:w="1291"/>
        <w:gridCol w:w="1136"/>
        <w:gridCol w:w="1142"/>
        <w:gridCol w:w="109"/>
        <w:gridCol w:w="109"/>
        <w:gridCol w:w="109"/>
        <w:gridCol w:w="794"/>
        <w:gridCol w:w="794"/>
        <w:gridCol w:w="796"/>
        <w:gridCol w:w="109"/>
        <w:gridCol w:w="109"/>
        <w:gridCol w:w="109"/>
        <w:gridCol w:w="710"/>
        <w:gridCol w:w="710"/>
        <w:gridCol w:w="1009"/>
      </w:tblGrid>
      <w:tr>
        <w:trPr/>
        <w:tc>
          <w:tcPr>
            <w:tcW w:w="1291"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Current 2026 Guidance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Previous 2026 Guidance</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20"/>
              </w:rPr>
            </w:pPr>
            <w:r>
              <w:rPr>
                <w:rFonts w:ascii="Times New Roman;serif" w:hAnsi="Times New Roman;serif"/>
                <w:b w:val="false"/>
                <w:color w:val="000000"/>
                <w:sz w:val="20"/>
              </w:rPr>
              <w:t>$2.92 billion - $3.00 billion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20"/>
              </w:rPr>
            </w:pPr>
            <w:r>
              <w:rPr>
                <w:rFonts w:ascii="Times New Roman;serif" w:hAnsi="Times New Roman;serif"/>
                <w:b w:val="false"/>
                <w:color w:val="000000"/>
                <w:sz w:val="20"/>
              </w:rPr>
              <w:t>$2.81 billion - $2.92 billion</w:t>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Consolidated Gross profit</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20"/>
              </w:rPr>
            </w:pPr>
            <w:r>
              <w:rPr>
                <w:rFonts w:ascii="Times New Roman;serif" w:hAnsi="Times New Roman;serif"/>
                <w:b w:val="false"/>
                <w:color w:val="000000"/>
                <w:sz w:val="20"/>
              </w:rPr>
              <w:t>$525 million - $555 million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20"/>
              </w:rPr>
            </w:pPr>
            <w:r>
              <w:rPr>
                <w:rFonts w:ascii="Times New Roman;serif" w:hAnsi="Times New Roman;serif"/>
                <w:b w:val="false"/>
                <w:color w:val="000000"/>
                <w:sz w:val="20"/>
              </w:rPr>
              <w:t>$470 million - $510 million</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EBITDA</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20"/>
              </w:rPr>
            </w:pPr>
            <w:r>
              <w:rPr>
                <w:rFonts w:ascii="Times New Roman;serif" w:hAnsi="Times New Roman;serif"/>
                <w:b w:val="false"/>
                <w:color w:val="000000"/>
                <w:sz w:val="20"/>
              </w:rPr>
              <w:t>$70 million - $85 million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20"/>
              </w:rPr>
            </w:pPr>
            <w:r>
              <w:rPr>
                <w:rFonts w:ascii="Times New Roman;serif" w:hAnsi="Times New Roman;serif"/>
                <w:b w:val="false"/>
                <w:color w:val="000000"/>
                <w:sz w:val="20"/>
              </w:rPr>
              <w:t>$50 million - $70 million</w:t>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20"/>
              </w:rPr>
            </w:pPr>
            <w:r>
              <w:rPr>
                <w:rFonts w:ascii="Times New Roman;serif" w:hAnsi="Times New Roman;serif"/>
                <w:b w:val="false"/>
                <w:color w:val="000000"/>
                <w:sz w:val="20"/>
              </w:rPr>
              <w:t>$20 million - $35 million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20"/>
              </w:rPr>
            </w:pPr>
            <w:r>
              <w:rPr>
                <w:rFonts w:ascii="Times New Roman;serif" w:hAnsi="Times New Roman;serif"/>
                <w:b w:val="false"/>
                <w:color w:val="000000"/>
                <w:sz w:val="20"/>
              </w:rPr>
              <w:t>$0 million - $20 million</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Medicare Advantage membership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20"/>
              </w:rPr>
            </w:pPr>
            <w:r>
              <w:rPr>
                <w:rFonts w:ascii="Times New Roman;serif" w:hAnsi="Times New Roman;serif"/>
                <w:b w:val="false"/>
                <w:color w:val="000000"/>
                <w:sz w:val="20"/>
              </w:rPr>
              <w:t>156,000 - 158,000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20"/>
              </w:rPr>
            </w:pPr>
            <w:r>
              <w:rPr>
                <w:rFonts w:ascii="Times New Roman;serif" w:hAnsi="Times New Roman;serif"/>
                <w:b w:val="false"/>
                <w:color w:val="000000"/>
                <w:sz w:val="20"/>
              </w:rPr>
              <w:t>154,000 - 158,000</w:t>
            </w:r>
          </w:p>
        </w:tc>
      </w:tr>
    </w:tbl>
    <w:p>
      <w:pPr>
        <w:pStyle w:val="TextBody"/>
        <w:bidi w:val="0"/>
        <w:spacing w:lineRule="auto" w:line="288" w:before="180" w:after="283"/>
        <w:jc w:val="both"/>
        <w:rPr>
          <w:rFonts w:ascii="Times New Roman;serif" w:hAnsi="Times New Roman;serif"/>
          <w:b/>
          <w:color w:val="000000"/>
          <w:sz w:val="20"/>
          <w:u w:val="single"/>
        </w:rPr>
      </w:pPr>
      <w:r>
        <w:rPr>
          <w:rFonts w:ascii="Times New Roman;serif" w:hAnsi="Times New Roman;serif"/>
          <w:b/>
          <w:color w:val="000000"/>
          <w:sz w:val="20"/>
          <w:u w:val="single"/>
        </w:rPr>
        <w:t>Lives under Clover Management</w:t>
      </w:r>
    </w:p>
    <w:tbl>
      <w:tblPr>
        <w:tblW w:w="4642" w:type="dxa"/>
        <w:jc w:val="left"/>
        <w:tblInd w:w="0" w:type="dxa"/>
        <w:tblLayout w:type="fixed"/>
        <w:tblCellMar>
          <w:top w:w="28" w:type="dxa"/>
          <w:left w:w="28" w:type="dxa"/>
          <w:bottom w:w="28" w:type="dxa"/>
          <w:right w:w="28" w:type="dxa"/>
        </w:tblCellMar>
      </w:tblPr>
      <w:tblGrid>
        <w:gridCol w:w="602"/>
        <w:gridCol w:w="530"/>
        <w:gridCol w:w="532"/>
        <w:gridCol w:w="424"/>
        <w:gridCol w:w="424"/>
        <w:gridCol w:w="426"/>
        <w:gridCol w:w="109"/>
        <w:gridCol w:w="109"/>
        <w:gridCol w:w="109"/>
        <w:gridCol w:w="413"/>
        <w:gridCol w:w="413"/>
        <w:gridCol w:w="551"/>
      </w:tblGrid>
      <w:tr>
        <w:trPr/>
        <w:tc>
          <w:tcPr>
            <w:tcW w:w="60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members</w:t>
            </w:r>
          </w:p>
        </w:tc>
        <w:tc>
          <w:tcPr>
            <w:tcW w:w="8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157,309 </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106,323 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9"/>
        </w:rPr>
        <w:t>*</w:t>
      </w:r>
      <w:r>
        <w:rPr>
          <w:rFonts w:ascii="Times New Roman;serif" w:hAnsi="Times New Roman;serif"/>
          <w:b w:val="false"/>
          <w:color w:val="000000"/>
          <w:sz w:val="14"/>
        </w:rPr>
        <w:t>Not presented as a % change because the current or prior period amount is zero or the amount for the line item changed from a gain to a loss (or vice versa) and thus yields a result that is not meaningful.</w:t>
      </w:r>
    </w:p>
    <w:p>
      <w:pPr>
        <w:pStyle w:val="TextBody"/>
        <w:bidi w:val="0"/>
        <w:spacing w:lineRule="auto" w:line="288" w:before="0" w:after="0"/>
        <w:jc w:val="both"/>
        <w:rPr/>
      </w:pPr>
      <w:r>
        <w:rPr>
          <w:rFonts w:ascii="Times New Roman;serif" w:hAnsi="Times New Roman;serif"/>
          <w:b w:val="false"/>
          <w:color w:val="000000"/>
          <w:sz w:val="9"/>
        </w:rPr>
        <w:t>1</w:t>
      </w:r>
      <w:r>
        <w:rPr>
          <w:color w:val="000000"/>
        </w:rPr>
        <w:t xml:space="preserve"> </w:t>
      </w:r>
      <w:r>
        <w:rPr>
          <w:rFonts w:ascii="Times New Roman;serif" w:hAnsi="Times New Roman;serif"/>
          <w:b w:val="false"/>
          <w:color w:val="000000"/>
          <w:sz w:val="14"/>
        </w:rPr>
        <w:t>Consolidated Gross profit (Non-GAAP) is a non-GAAP financial measure and is calculated by taking net income (loss) before salaries and benefits, general and administrative expenses, depreciation and amortization, premium deficiency reserve expense, restructuring costs, impairment of goodwill and other intangible assets, interest expense, change in fair value of warrants, and loss on investment. A reconciliation of Consolidated Gross profit (Non-GAAP) to Net income, the most directly comparable GAAP measure is provided in the table immediately following the consolidated financial statements below. A reconciliation of projected Consolidated Gross profit is not provided because certain items that are inherently uncertain and difficult to predict, including the reconciliation items included above, which are excluded from Consolidated Gross profit (Non-GAAP), cannot be reasonably calculated or predicted at this time without unreasonable efforts. Additional information about the Company's Non-GAAP financial measures can be found under the caption "About Non-GAAP Financial Measures" below and in Appendix A.</w:t>
      </w:r>
    </w:p>
    <w:p>
      <w:pPr>
        <w:pStyle w:val="TextBody"/>
        <w:bidi w:val="0"/>
        <w:spacing w:lineRule="auto" w:line="288" w:before="0" w:after="0"/>
        <w:jc w:val="both"/>
        <w:rPr/>
      </w:pPr>
      <w:r>
        <w:rPr>
          <w:rFonts w:ascii="Times New Roman;serif" w:hAnsi="Times New Roman;serif"/>
          <w:b w:val="false"/>
          <w:color w:val="000000"/>
          <w:sz w:val="9"/>
        </w:rPr>
        <w:t>2</w:t>
      </w:r>
      <w:r>
        <w:rPr>
          <w:color w:val="000000"/>
        </w:rPr>
        <w:t xml:space="preserve"> </w:t>
      </w:r>
      <w:r>
        <w:rPr>
          <w:rFonts w:ascii="Times New Roman;serif" w:hAnsi="Times New Roman;serif"/>
          <w:b w:val="false"/>
          <w:color w:val="000000"/>
          <w:sz w:val="14"/>
        </w:rPr>
        <w:t>Adjusted SG&amp;A (Non-GAAP), Adjusted EBITDA (Non-GAAP), and Adjusted Net income (Non-GAAP) are Non-GAAP financial measures. Reconciliations of Adjusted SG&amp;A (Non-GAAP) to SG&amp;A, Adjusted EBITDA (Non-GAAP) to Net income, and Adjusted Net income (Non-GAAP) to Net income, respectively, the most directly comparable GAAP measures, are provided in the tables immediately following the consolidated financial statements below. Additional information about the Company's Non-GAAP financial measures can be found under the caption "About Non-GAAP Financial Measures" below and in Appendix A.</w:t>
      </w:r>
    </w:p>
    <w:p>
      <w:pPr>
        <w:pStyle w:val="TextBody"/>
        <w:bidi w:val="0"/>
        <w:spacing w:lineRule="auto" w:line="288" w:before="0" w:after="0"/>
        <w:jc w:val="both"/>
        <w:rPr/>
      </w:pPr>
      <w:r>
        <w:rPr>
          <w:rFonts w:ascii="Times New Roman;serif" w:hAnsi="Times New Roman;serif"/>
          <w:b w:val="false"/>
          <w:color w:val="000000"/>
          <w:sz w:val="9"/>
        </w:rPr>
        <w:t>3</w:t>
      </w:r>
      <w:r>
        <w:rPr>
          <w:color w:val="000000"/>
        </w:rPr>
        <w:t xml:space="preserve"> </w:t>
      </w:r>
      <w:r>
        <w:rPr>
          <w:rFonts w:ascii="Times New Roman;serif" w:hAnsi="Times New Roman;serif"/>
          <w:b w:val="false"/>
          <w:color w:val="000000"/>
          <w:sz w:val="14"/>
        </w:rPr>
        <w:t>Insurance Benefits Expense Ratio (“BER”) is a Non-GAAP financial measure. A reconciliation of Insurance BER to Insurance Net medical claims incurred, net, the most directly comparable GAAP measure, is provided in a table immediately following the consolidated financial statements below. Additional information about the Company's Non-GAAP financial measures can be found under the caption "About Non-GAAP Financial Measures" below and in Appendix A. The Company has discontinued disclosure of Normalized Insurance Benefits Expense Ratio beginning in the first quarter of 2026, as management no longer uses this metric to evaluate operating performance or allocate resources. The Company will continue to present Insurance Benefits Expense Ratio.</w:t>
      </w:r>
    </w:p>
    <w:p>
      <w:pPr>
        <w:pStyle w:val="TextBody"/>
        <w:bidi w:val="0"/>
        <w:spacing w:lineRule="auto" w:line="288" w:before="0" w:after="0"/>
        <w:jc w:val="both"/>
        <w:rPr/>
      </w:pPr>
      <w:r>
        <w:rPr>
          <w:rFonts w:ascii="Times New Roman;serif" w:hAnsi="Times New Roman;serif"/>
          <w:b w:val="false"/>
          <w:color w:val="000000"/>
          <w:sz w:val="9"/>
        </w:rPr>
        <w:t>4</w:t>
      </w:r>
      <w:r>
        <w:rPr>
          <w:color w:val="000000"/>
        </w:rPr>
        <w:t xml:space="preserve"> </w:t>
      </w:r>
      <w:r>
        <w:rPr>
          <w:rFonts w:ascii="Times New Roman;serif" w:hAnsi="Times New Roman;serif"/>
          <w:b w:val="false"/>
          <w:color w:val="000000"/>
          <w:sz w:val="14"/>
        </w:rPr>
        <w:t>A reconciliation of projected Adjusted EBITDA (Non-GAAP) to Net income (loss), the most directly comparable GAAP measure, is not provided because Stock-based compensation, which is excluded from Adjusted EBITDA (Non-GAAP), cannot be reasonably calculated or predicted at this time without unreasonable efforts. Additional information about the Company's Non-GAAP financial measures can be found under the caption “About Non-GAAP Financial Measures” below and in Appendix A.</w:t>
      </w:r>
    </w:p>
    <w:p>
      <w:pPr>
        <w:pStyle w:val="TextBody"/>
        <w:bidi w:val="0"/>
        <w:spacing w:lineRule="auto" w:line="288"/>
        <w:jc w:val="both"/>
        <w:rPr/>
      </w:pPr>
      <w:r>
        <w:rPr>
          <w:rFonts w:ascii="Times New Roman;serif" w:hAnsi="Times New Roman;serif"/>
          <w:b w:val="false"/>
          <w:color w:val="000000"/>
          <w:sz w:val="9"/>
        </w:rPr>
        <w:t>5</w:t>
      </w:r>
      <w:r>
        <w:rPr>
          <w:color w:val="000000"/>
        </w:rPr>
        <w:t xml:space="preserve"> </w:t>
      </w:r>
      <w:r>
        <w:rPr>
          <w:rFonts w:ascii="Times New Roman;serif" w:hAnsi="Times New Roman;serif"/>
          <w:b w:val="false"/>
          <w:color w:val="000000"/>
          <w:sz w:val="14"/>
        </w:rPr>
        <w:t>Average Medicare Advantage membership represents the average membership during the three months included in the second quarter of 2026, and the six months included in the year-to-date 2026 period, respectively.</w:t>
      </w: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Earnings Conference Call Details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Clover Health’s management will host a conference call to discuss its financial results on Wednesday, August 5, 2026, at 5:00 PM Eastern Time. A live audio webcast will also be available online and you may register at: https://clover-health-2q-2026-earnings.open-exchange.net/ and related presentation materials will be available at Clover Health’s Investor Relations website at investors.cloverhealth.com. A replay of the call will be available via webcast for on-demand listening shortly after the completion of the call, at the same web link and at Clover Health’s Investor Relations website at investors.cloverhealth.com, and will remain available for approximately 12 months.</w:t>
      </w:r>
    </w:p>
    <w:p>
      <w:pPr>
        <w:pStyle w:val="TextBody"/>
        <w:bidi w:val="0"/>
        <w:spacing w:lineRule="auto" w:line="288" w:before="180" w:after="18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Upcoming Investor Events &amp; Conferences</w:t>
      </w:r>
    </w:p>
    <w:p>
      <w:pPr>
        <w:pStyle w:val="TextBody"/>
        <w:bidi w:val="0"/>
        <w:spacing w:lineRule="auto" w:line="319" w:before="0" w:after="0"/>
        <w:ind w:left="0" w:right="0" w:hanging="360"/>
        <w:jc w:val="left"/>
        <w:rPr/>
      </w:pPr>
      <w:r>
        <w:rPr>
          <w:color w:val="000000"/>
        </w:rPr>
        <w:t>•</w:t>
      </w:r>
      <w:r>
        <w:rPr>
          <w:rFonts w:ascii="Times New Roman;serif" w:hAnsi="Times New Roman;serif"/>
          <w:b w:val="false"/>
          <w:color w:val="000000"/>
          <w:sz w:val="20"/>
        </w:rPr>
        <w:t>2026 Canaccord Genuity 46th Annual Growth Conference at 8:30 a.m. Eastern Time, Tuesday, August 11, 2026</w:t>
      </w:r>
    </w:p>
    <w:p>
      <w:pPr>
        <w:pStyle w:val="TextBody"/>
        <w:bidi w:val="0"/>
        <w:spacing w:lineRule="auto" w:line="319"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Any live and archived webcasts and presentations associated with the conference listed above may be accessed on Clover Health’s Investor Relations website at: investors.cloverhealth.com/news-and-events/investor-events-presentations </w:t>
      </w:r>
    </w:p>
    <w:p>
      <w:pPr>
        <w:pStyle w:val="TextBody"/>
        <w:bidi w:val="0"/>
        <w:spacing w:lineRule="auto" w:line="288" w:before="180" w:after="18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Forward-Looking Statements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This press release contains forward-looking statements within the meaning of Section 27A of the Securities Act of 1933, as amended, and Section 21E of the Securities Exchange Act of 1934, as amended. Forward-looking statements include statements regarding future events and Clover Health's future results of operations, financial condition, market size and opportunity, business strategy and plans, and the factors affecting our performance and our objectives for future operations. Forward-looking statements are not guarantees of future performance and you are cautioned not to place undue reliance on such statements. In some cases, you can identify forward looking statements because they contain words such as "may," "will," "should," "expects," "plans," "anticipates," "going to," "can," "could," "should," "would," "intends," "target," "projects," "contemplates," "believes," "estimates," "predicts," "potential," "outlook," "forecast," "guidance," "objective," "plan," "opportunity," "seek," "aim," "grow," "if," "continue" or the negative of these words or other similar terms or expressions that concern Clover Health's expectations, strategy, priorities, plans or intentions. Forward-looking statements in this press release include, but are not limited to, the following: statements under "2026 Financial Guidance" and statements regarding expectations relating to potential improvements in revenues, Consolidated Gross profit, Adjusted SG&amp;A, and the number of Clover Health's Insurance members, as well as the statements contained in the quotations of our executive officers, and other expectations as to future performance, operations and results (including our improved guidance for full year 2026 and expectations for 2027). Statements regarding our GAAP Net Income, Consolidated Gross profit, and Adjusted EBITDA profitability are also forward-looking, and are based on our current targets which are preliminary and are derived from our 2026 financial guidance. These statements are subject to known and unknown risks, uncertainties and other factors that may cause our actual results, levels of activity, performance or achievements to differ materially from results expressed or implied by forward-looking statements in this press release. Forward-looking statements involve a number of judgments, risks and uncertainties, including, without limitation, risks related to: our expectations regarding results of operations, financial condition, and cash flows; our expectations regarding the development and management of our business; any current, pending, or future legislation, regulations or policies that could have a negative effect on our revenue, profit margins, cash flows and business, including rules, regulations and policies relating to healthcare, Medicare generally and medical loss ratios; our ability to successfully enter new service markets and manage our operations; anticipated trends and challenges in our business and in the markets in which we operate; our ability to effectively manage our beneficiary base and provider network; our ability to maintain and increase adoption and use of Clover Assistant, including the expansion of Clover Assistant for external payors and providers under the brand name Counterpart Assistant; the anticipated benefits associated with the use of Clover Assistant, including our ability to utilize the platform to manage our medical expenses; our ability to maintain or improve our Star Ratings or otherwise continue to improve the financial performance of our business; our ability to develop new features and functionality that meet market needs and achieve market acceptance; our ability to protect our sites, networks, and systems against security breaches, or otherwise to protect our confidential or health information or the confidential or health information of our members, providers, or other third parties; our ability to retain and hire necessary employees and staff our operations appropriately; the timing and amount of certain investments in growth; the outcome of any known and unknown litigation and regulatory proceedings; our ability to maintain, protect, and enhance our intellectual property; general economic conditions and uncertainty; persistent high inflation and fluctuating interest rates; and geopolitical uncertainty and instability. Additional information concerning these and other risk factors is contained under Item 1A. “Risk Factors” in our most recent Annual Report on Form 10-K filed with the Securities and Exchange Commission (the "SEC") on February 27, 2026, as such risks may be updated in our subsequent filings with the SEC. The forward-looking statements included in this press release are made as of the date hereof. Except as required by law, Clover Health undertakes no obligation to update any of these forward-looking statements after the date of this press release or to conform these statements to actual results or revised expectations.</w:t>
      </w: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180" w:after="18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About Non-GAAP Financial Measures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We use Non-GAAP measures in this release, including Consolidated Gross profit, Adjusted SG&amp;A, Adjusted SG&amp;A as a percentage of Total revenues, Adjusted EBITDA, Adjusted Net income, and Insurance BER. These Non-GAAP financial measures are provided to enhance the reader's understanding of Clover Health's past financial performance and our prospects for the future. Clover Health's management team uses these Non-GAAP financial measures in assessing Clover Health's performance, as well as in planning and forecasting future periods. These Non-GAAP financial measures are not computed according to GAAP, and the methods we use to compute them may differ from the methods used by other companies. Non-GAAP financial measures are supplemental to and should not be considered a substitute for financial information presented in accordance with generally accepted accounting principles in the United States (“GAAP”) and should be read only in conjunction with our consolidated financial statements prepared in accordance with GAAP. Readers are encouraged to review the reconciliations of these Non-GAAP financial measures to the comparable GAAP measures, which are attached to this release, together with other important financial information, including our filings with the SEC, on the Investor Relations page of our website at investors.cloverhealth.com.</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For a description of these Non-GAAP financial measures, including the reasons management uses each measure, please see Appendix A: "Explanation of Non-GAAP Financial Measures."</w:t>
      </w:r>
    </w:p>
    <w:p>
      <w:pPr>
        <w:pStyle w:val="TextBody"/>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The statements contained in this document are solely those of the authors and do not necessarily reflect the views or policies of CMS. The authors assume responsibility for the accuracy and completeness of the information contained in this document.</w:t>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About Clover Health:</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Clover Health (Nasdaq: CLOV) is a physician enablement technology company committed to bringing access to great healthcare to everyone on Medicare. This includes a focus on seniors who have historically lacked access to affordable, high-quality healthcare. Our strategy is powered by our software platform, Clover Assistant, which is designed to aggregate patient data from across the healthcare ecosystem to support clinical decision-making and improve health outcomes through the early identification and management of chronic disease. For our members, we provide PPO and HMO Medicare Advantage plans in several states, with a differentiated focus on our flagship wide-network, high-choice PPO plans. For healthcare providers outside Clover Health's Medicare Advantage plan, we extend the benefits of our data-driven technology platform to a wider audience via our subsidiary, Counterpart Health, and aim to enable enhanced patient outcomes and reduced healthcare costs on a nationwide scale. Clover Health has published data demonstrating the technology’s impact on Medication Adherence, Congestive Heart Failure, Chronic Obstructive Pulmonary Disease, and in Underserved Populations as well as the earlier identification and management of Diabetes and Chronic Kidney Disease.</w:t>
      </w:r>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Visit: www.cloverhealth.com</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Investor Relations Contact:</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Ryan Schmidt</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investors@cloverhealth.com</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Press Inquiries:</w:t>
      </w:r>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press@cloverhealth.com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2732"/>
        <w:gridCol w:w="2205"/>
        <w:gridCol w:w="2150"/>
        <w:gridCol w:w="246"/>
        <w:gridCol w:w="966"/>
        <w:gridCol w:w="127"/>
        <w:gridCol w:w="127"/>
        <w:gridCol w:w="127"/>
        <w:gridCol w:w="127"/>
        <w:gridCol w:w="246"/>
        <w:gridCol w:w="966"/>
        <w:gridCol w:w="186"/>
      </w:tblGrid>
      <w:tr>
        <w:trPr/>
        <w:tc>
          <w:tcPr>
            <w:tcW w:w="2732" w:type="dxa"/>
            <w:tcBorders/>
            <w:vAlign w:val="center"/>
          </w:tcPr>
          <w:p>
            <w:pPr>
              <w:pStyle w:val="TableContents"/>
              <w:bidi w:val="0"/>
              <w:spacing w:before="0" w:after="283"/>
              <w:jc w:val="left"/>
              <w:rPr>
                <w:sz w:val="4"/>
                <w:szCs w:val="4"/>
              </w:rPr>
            </w:pPr>
            <w:r>
              <w:rPr>
                <w:sz w:val="4"/>
                <w:szCs w:val="4"/>
              </w:rPr>
            </w:r>
          </w:p>
        </w:tc>
        <w:tc>
          <w:tcPr>
            <w:tcW w:w="2205" w:type="dxa"/>
            <w:tcBorders/>
            <w:vAlign w:val="center"/>
          </w:tcPr>
          <w:p>
            <w:pPr>
              <w:pStyle w:val="TableContents"/>
              <w:bidi w:val="0"/>
              <w:spacing w:before="0" w:after="283"/>
              <w:jc w:val="left"/>
              <w:rPr>
                <w:sz w:val="4"/>
                <w:szCs w:val="4"/>
              </w:rPr>
            </w:pPr>
            <w:r>
              <w:rPr>
                <w:sz w:val="4"/>
                <w:szCs w:val="4"/>
              </w:rPr>
            </w:r>
          </w:p>
        </w:tc>
        <w:tc>
          <w:tcPr>
            <w:tcW w:w="215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CLOVER HEALTH INVESTMENTS, CORP.</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CONDENSED CONSOLIDATED BALANCE SHEETS</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(Dollars in thousands, except share amounts)</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r>
      <w:tr>
        <w:trPr/>
        <w:tc>
          <w:tcPr>
            <w:tcW w:w="7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7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1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198,837 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78,301 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17,047 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Investment securities, available-for-sale (Amortized cost: 2026: $39,950; 2025: $23,231)</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39,727 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23,131 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Investment securities, held-to-maturity (Fair value: 2026: $2,021; 2025: $1,779)</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retrospective premiums</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129,614 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63,875 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Healthcare receivables</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73,121 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94,866 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18,209 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current</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20,398 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2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485,446 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307,855 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Investment securities, available-for-sale (Amortized cost: 2026: $190,771; 2025: $186,464)</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189,443 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187,092 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Investment securities, held-to-maturity (Fair value: 2026: $10,295; 2025: $12,495)</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non-current</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24,745 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24,118 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720,326 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541,011 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Unpaid claims</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250,890 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153,250 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35,407 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36,211 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salaries and benefits</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31,156 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16,038 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 current</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2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323,330 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208,823 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 non-current</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20,739 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23,484 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2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344,069 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232,307 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3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Class A Common Stock, $0.0001 par value; 2,500,000,000 shares authorized at June 30, 2026 and December 31, 2025; 433,432,644 and 426,669,369 issued and outstanding at June 30, 2026 and December 31, 2025, respectively</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Class B Common Stock, $0.0001 par value; 500,000,000 shares authorized at June 30, 2026 and December 31, 2025; 95,714,926 and 92,373,157 issued and outstanding at June 30, 2026 and December 31, 2025, respectively</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2,706,640 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2,682,663 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income</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(2,233,017)</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(2,288,352)</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Treasury stock, at cost; 35,782,658 and 33,412,273 shares held at June 30, 2026 and December 31, 2025, respectively</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(95,867)</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(86,187)</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2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376,257 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308,704 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720,326 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541,011 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08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530"/>
        <w:gridCol w:w="1059"/>
        <w:gridCol w:w="1070"/>
        <w:gridCol w:w="318"/>
        <w:gridCol w:w="919"/>
        <w:gridCol w:w="116"/>
        <w:gridCol w:w="116"/>
        <w:gridCol w:w="116"/>
        <w:gridCol w:w="116"/>
        <w:gridCol w:w="318"/>
        <w:gridCol w:w="919"/>
        <w:gridCol w:w="116"/>
        <w:gridCol w:w="116"/>
        <w:gridCol w:w="116"/>
        <w:gridCol w:w="116"/>
        <w:gridCol w:w="225"/>
        <w:gridCol w:w="1043"/>
        <w:gridCol w:w="116"/>
        <w:gridCol w:w="116"/>
        <w:gridCol w:w="116"/>
        <w:gridCol w:w="116"/>
        <w:gridCol w:w="318"/>
        <w:gridCol w:w="919"/>
        <w:gridCol w:w="175"/>
      </w:tblGrid>
      <w:tr>
        <w:trPr/>
        <w:tc>
          <w:tcPr>
            <w:tcW w:w="1530"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CLOVER HEALTH INVESTMENTS, CORP.</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CONDENSED CONSOLIDATED STATEMENTS OF OPERATIONS AND COMPREHENSIVE INCOME (LOSS)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(Dollars in thousands, except per share and share amounts)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(unaudited)</w:t>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3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2"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Premiums earned, net (Net of ceded premiums of $91 and $96 for the three months ended June 30, 2026 and 2025 respectively, and $183 and $192 for the six months ended June 30, 2026 and 2025, respectively)</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737,767 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469,826 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1,481,956 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926,732 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2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743,167 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477,620 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1,492,356 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939,951 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medical claims incurred</w:t>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590,165 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377,992 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1,179,813 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731,434 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benefits</w:t>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54,138 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61,309 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111,201 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120,331 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70,299 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48,484 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144,928 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99,159 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2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715,166 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488,179 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1,437,021 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951,784 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12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28,001 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(10,559)</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55,335 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(11,833)</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warrants</w:t>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(10,578)</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55,335 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(11,852)</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 share data:</w:t>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 average number of class A and class B common shares and common share equivalents outstanding</w:t>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524,186,885 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509,043,210 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523,861,227 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508,893,753 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number of class A and class B common shares and common share equivalents outstanding</w:t>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545,447,735 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509,043,210 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540,272,301 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508,893,753 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(loss) per share</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(loss) per share</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(loss) gain on available-for-sale investments</w:t>
            </w:r>
          </w:p>
        </w:tc>
        <w:tc>
          <w:tcPr>
            <w:tcW w:w="12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(2,079)</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(loss)</w:t>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27,122 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(10,327)</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53,256 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(10,091)</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2223"/>
        <w:gridCol w:w="1769"/>
        <w:gridCol w:w="1775"/>
        <w:gridCol w:w="336"/>
        <w:gridCol w:w="1317"/>
        <w:gridCol w:w="173"/>
        <w:gridCol w:w="173"/>
        <w:gridCol w:w="173"/>
        <w:gridCol w:w="173"/>
        <w:gridCol w:w="336"/>
        <w:gridCol w:w="1317"/>
        <w:gridCol w:w="173"/>
        <w:gridCol w:w="109"/>
        <w:gridCol w:w="158"/>
      </w:tblGrid>
      <w:tr>
        <w:trPr/>
        <w:tc>
          <w:tcPr>
            <w:tcW w:w="2223"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93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CLOVER HEALTH INVESTMENTS, CORP.</w:t>
            </w:r>
          </w:p>
        </w:tc>
        <w:tc>
          <w:tcPr>
            <w:tcW w:w="267" w:type="dxa"/>
            <w:gridSpan w:val="2"/>
            <w:tcBorders/>
          </w:tcPr>
          <w:p>
            <w:pPr>
              <w:pStyle w:val="TableContents"/>
              <w:bidi w:val="0"/>
              <w:spacing w:before="0" w:after="283"/>
              <w:jc w:val="left"/>
              <w:rPr>
                <w:sz w:val="4"/>
                <w:szCs w:val="4"/>
              </w:rPr>
            </w:pPr>
            <w:r>
              <w:rPr>
                <w:sz w:val="4"/>
                <w:szCs w:val="4"/>
              </w:rPr>
            </w:r>
          </w:p>
        </w:tc>
      </w:tr>
      <w:tr>
        <w:trPr/>
        <w:tc>
          <w:tcPr>
            <w:tcW w:w="993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CONDENSED CONSOLIDATED STATEMENTS OF CASH FLOWS</w:t>
            </w:r>
          </w:p>
        </w:tc>
        <w:tc>
          <w:tcPr>
            <w:tcW w:w="267" w:type="dxa"/>
            <w:gridSpan w:val="2"/>
            <w:tcBorders/>
          </w:tcPr>
          <w:p>
            <w:pPr>
              <w:pStyle w:val="TableContents"/>
              <w:bidi w:val="0"/>
              <w:spacing w:before="0" w:after="283"/>
              <w:jc w:val="left"/>
              <w:rPr>
                <w:sz w:val="4"/>
                <w:szCs w:val="4"/>
              </w:rPr>
            </w:pPr>
            <w:r>
              <w:rPr>
                <w:sz w:val="4"/>
                <w:szCs w:val="4"/>
              </w:rPr>
            </w:r>
          </w:p>
        </w:tc>
      </w:tr>
      <w:tr>
        <w:trPr/>
        <w:tc>
          <w:tcPr>
            <w:tcW w:w="993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267" w:type="dxa"/>
            <w:gridSpan w:val="2"/>
            <w:tcBorders/>
          </w:tcPr>
          <w:p>
            <w:pPr>
              <w:pStyle w:val="TableContents"/>
              <w:bidi w:val="0"/>
              <w:spacing w:before="0" w:after="283"/>
              <w:jc w:val="left"/>
              <w:rPr>
                <w:sz w:val="4"/>
                <w:szCs w:val="4"/>
              </w:rPr>
            </w:pPr>
            <w:r>
              <w:rPr>
                <w:sz w:val="4"/>
                <w:szCs w:val="4"/>
              </w:rPr>
            </w:r>
          </w:p>
        </w:tc>
      </w:tr>
      <w:tr>
        <w:trPr/>
        <w:tc>
          <w:tcPr>
            <w:tcW w:w="993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c>
          <w:tcPr>
            <w:tcW w:w="267" w:type="dxa"/>
            <w:gridSpan w:val="2"/>
            <w:tcBorders/>
          </w:tcPr>
          <w:p>
            <w:pPr>
              <w:pStyle w:val="TableContents"/>
              <w:bidi w:val="0"/>
              <w:spacing w:before="0" w:after="283"/>
              <w:jc w:val="left"/>
              <w:rPr>
                <w:sz w:val="4"/>
                <w:szCs w:val="4"/>
              </w:rPr>
            </w:pPr>
            <w:r>
              <w:rPr>
                <w:sz w:val="4"/>
                <w:szCs w:val="4"/>
              </w:rPr>
            </w:r>
          </w:p>
        </w:tc>
      </w:tr>
      <w:tr>
        <w:trPr/>
        <w:tc>
          <w:tcPr>
            <w:tcW w:w="993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gridSpan w:val="2"/>
            <w:tcBorders/>
          </w:tcPr>
          <w:p>
            <w:pPr>
              <w:pStyle w:val="TableContents"/>
              <w:bidi w:val="0"/>
              <w:spacing w:before="0" w:after="283"/>
              <w:jc w:val="left"/>
              <w:rPr>
                <w:sz w:val="4"/>
                <w:szCs w:val="4"/>
              </w:rPr>
            </w:pPr>
            <w:r>
              <w:rPr>
                <w:sz w:val="4"/>
                <w:szCs w:val="4"/>
              </w:rPr>
            </w:r>
          </w:p>
        </w:tc>
      </w:tr>
      <w:tr>
        <w:trPr/>
        <w:tc>
          <w:tcPr>
            <w:tcW w:w="5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267" w:type="dxa"/>
            <w:gridSpan w:val="2"/>
            <w:tcBorders/>
          </w:tcPr>
          <w:p>
            <w:pPr>
              <w:pStyle w:val="TableContents"/>
              <w:bidi w:val="0"/>
              <w:spacing w:before="0" w:after="283"/>
              <w:jc w:val="left"/>
              <w:rPr>
                <w:sz w:val="4"/>
                <w:szCs w:val="4"/>
              </w:rPr>
            </w:pPr>
            <w:r>
              <w:rPr>
                <w:sz w:val="4"/>
                <w:szCs w:val="4"/>
              </w:rPr>
            </w:r>
          </w:p>
        </w:tc>
      </w:tr>
      <w:tr>
        <w:trPr/>
        <w:tc>
          <w:tcPr>
            <w:tcW w:w="5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1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55,335 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(11,852)</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(loss) to net cash provided by (used in) operating activities:</w:t>
            </w:r>
          </w:p>
        </w:tc>
        <w:tc>
          <w:tcPr>
            <w:tcW w:w="1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1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21,355 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52,632 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warrants and amortization of warrants</w:t>
            </w:r>
          </w:p>
        </w:tc>
        <w:tc>
          <w:tcPr>
            <w:tcW w:w="1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net of amortization</w:t>
            </w:r>
          </w:p>
        </w:tc>
        <w:tc>
          <w:tcPr>
            <w:tcW w:w="1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accrued interest earned</w:t>
            </w:r>
          </w:p>
        </w:tc>
        <w:tc>
          <w:tcPr>
            <w:tcW w:w="1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gains on investment securities</w:t>
            </w:r>
          </w:p>
        </w:tc>
        <w:tc>
          <w:tcPr>
            <w:tcW w:w="1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67" w:type="dxa"/>
            <w:gridSpan w:val="3"/>
            <w:tcBorders/>
            <w:vAlign w:val="center"/>
          </w:tcPr>
          <w:p>
            <w:pPr>
              <w:pStyle w:val="TableContents"/>
              <w:bidi w:val="0"/>
              <w:spacing w:before="0" w:after="283"/>
              <w:jc w:val="left"/>
              <w:rPr>
                <w:sz w:val="4"/>
                <w:szCs w:val="4"/>
              </w:rPr>
            </w:pPr>
            <w:r>
              <w:rPr>
                <w:sz w:val="4"/>
                <w:szCs w:val="4"/>
              </w:rPr>
            </w:r>
          </w:p>
        </w:tc>
        <w:tc>
          <w:tcPr>
            <w:tcW w:w="1826"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8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67" w:type="dxa"/>
            <w:gridSpan w:val="3"/>
            <w:tcBorders/>
            <w:vAlign w:val="center"/>
          </w:tcPr>
          <w:p>
            <w:pPr>
              <w:pStyle w:val="TableContents"/>
              <w:bidi w:val="0"/>
              <w:spacing w:before="0" w:after="283"/>
              <w:jc w:val="left"/>
              <w:rPr>
                <w:sz w:val="4"/>
                <w:szCs w:val="4"/>
              </w:rPr>
            </w:pPr>
            <w:r>
              <w:rPr>
                <w:sz w:val="4"/>
                <w:szCs w:val="4"/>
              </w:rPr>
            </w:r>
          </w:p>
        </w:tc>
        <w:tc>
          <w:tcPr>
            <w:tcW w:w="1826"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8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67" w:type="dxa"/>
            <w:gridSpan w:val="3"/>
            <w:tcBorders/>
            <w:vAlign w:val="center"/>
          </w:tcPr>
          <w:p>
            <w:pPr>
              <w:pStyle w:val="TableContents"/>
              <w:bidi w:val="0"/>
              <w:spacing w:before="0" w:after="283"/>
              <w:jc w:val="left"/>
              <w:rPr>
                <w:sz w:val="4"/>
                <w:szCs w:val="4"/>
              </w:rPr>
            </w:pPr>
            <w:r>
              <w:rPr>
                <w:sz w:val="4"/>
                <w:szCs w:val="4"/>
              </w:rPr>
            </w:r>
          </w:p>
        </w:tc>
        <w:tc>
          <w:tcPr>
            <w:tcW w:w="1826"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8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retrospective premiums</w:t>
            </w:r>
          </w:p>
        </w:tc>
        <w:tc>
          <w:tcPr>
            <w:tcW w:w="1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(65,739)</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(43,201)</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1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(2,078)</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(10,373)</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(2,084)</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Healthcare receivables</w:t>
            </w:r>
          </w:p>
        </w:tc>
        <w:tc>
          <w:tcPr>
            <w:tcW w:w="1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21,745 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Unpaid claims</w:t>
            </w:r>
          </w:p>
        </w:tc>
        <w:tc>
          <w:tcPr>
            <w:tcW w:w="1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97,640 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(16,736)</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1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salaries and benefits</w:t>
            </w:r>
          </w:p>
        </w:tc>
        <w:tc>
          <w:tcPr>
            <w:tcW w:w="1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67" w:type="dxa"/>
            <w:gridSpan w:val="3"/>
            <w:tcBorders/>
            <w:vAlign w:val="center"/>
          </w:tcPr>
          <w:p>
            <w:pPr>
              <w:pStyle w:val="TableContents"/>
              <w:bidi w:val="0"/>
              <w:spacing w:before="0" w:after="283"/>
              <w:jc w:val="left"/>
              <w:rPr>
                <w:sz w:val="4"/>
                <w:szCs w:val="4"/>
              </w:rPr>
            </w:pPr>
            <w:r>
              <w:rPr>
                <w:sz w:val="4"/>
                <w:szCs w:val="4"/>
              </w:rPr>
            </w:r>
          </w:p>
        </w:tc>
        <w:tc>
          <w:tcPr>
            <w:tcW w:w="1826"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8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67" w:type="dxa"/>
            <w:gridSpan w:val="3"/>
            <w:tcBorders/>
            <w:vAlign w:val="center"/>
          </w:tcPr>
          <w:p>
            <w:pPr>
              <w:pStyle w:val="TableContents"/>
              <w:bidi w:val="0"/>
              <w:spacing w:before="0" w:after="283"/>
              <w:jc w:val="left"/>
              <w:rPr>
                <w:sz w:val="4"/>
                <w:szCs w:val="4"/>
              </w:rPr>
            </w:pPr>
            <w:r>
              <w:rPr>
                <w:sz w:val="4"/>
                <w:szCs w:val="4"/>
              </w:rPr>
            </w:r>
          </w:p>
        </w:tc>
        <w:tc>
          <w:tcPr>
            <w:tcW w:w="1826"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8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16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133,083 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(10,885)</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1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short-term investments, available-for-sale, and held-to-maturity securities</w:t>
            </w:r>
          </w:p>
        </w:tc>
        <w:tc>
          <w:tcPr>
            <w:tcW w:w="1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(68,088)</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(59,864)</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sales of short-term investments and available-for-sale securities</w:t>
            </w:r>
          </w:p>
        </w:tc>
        <w:tc>
          <w:tcPr>
            <w:tcW w:w="1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56,318 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79,313 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maturities of short-term investments and available-for-sale securities</w:t>
            </w:r>
          </w:p>
        </w:tc>
        <w:tc>
          <w:tcPr>
            <w:tcW w:w="1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25,801 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investing activities</w:t>
            </w:r>
          </w:p>
        </w:tc>
        <w:tc>
          <w:tcPr>
            <w:tcW w:w="16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(5,100)</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44,496 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18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net of early exercise liability</w:t>
            </w:r>
          </w:p>
        </w:tc>
        <w:tc>
          <w:tcPr>
            <w:tcW w:w="1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under employee stock purchase plan, net of stock issuance costs</w:t>
            </w:r>
          </w:p>
        </w:tc>
        <w:tc>
          <w:tcPr>
            <w:tcW w:w="1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shares withheld related to stock-based compensation</w:t>
            </w:r>
          </w:p>
        </w:tc>
        <w:tc>
          <w:tcPr>
            <w:tcW w:w="1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(9,680)</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(22,127)</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67" w:type="dxa"/>
            <w:gridSpan w:val="3"/>
            <w:tcBorders/>
            <w:vAlign w:val="center"/>
          </w:tcPr>
          <w:p>
            <w:pPr>
              <w:pStyle w:val="TableContents"/>
              <w:bidi w:val="0"/>
              <w:spacing w:before="0" w:after="283"/>
              <w:jc w:val="left"/>
              <w:rPr>
                <w:sz w:val="4"/>
                <w:szCs w:val="4"/>
              </w:rPr>
            </w:pPr>
            <w:r>
              <w:rPr>
                <w:sz w:val="4"/>
                <w:szCs w:val="4"/>
              </w:rPr>
            </w:r>
          </w:p>
        </w:tc>
        <w:tc>
          <w:tcPr>
            <w:tcW w:w="1826"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8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1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(18,297)</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6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(7,447)</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(39,506)</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w:t>
            </w:r>
          </w:p>
        </w:tc>
        <w:tc>
          <w:tcPr>
            <w:tcW w:w="16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120,536 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(5,895)</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beginning of period</w:t>
            </w:r>
          </w:p>
        </w:tc>
        <w:tc>
          <w:tcPr>
            <w:tcW w:w="1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78,301 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194,543 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end of period</w:t>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198,837 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188,648 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67" w:type="dxa"/>
            <w:gridSpan w:val="3"/>
            <w:tcBorders/>
            <w:vAlign w:val="center"/>
          </w:tcPr>
          <w:p>
            <w:pPr>
              <w:pStyle w:val="TableContents"/>
              <w:bidi w:val="0"/>
              <w:spacing w:before="0" w:after="283"/>
              <w:jc w:val="left"/>
              <w:rPr>
                <w:sz w:val="4"/>
                <w:szCs w:val="4"/>
              </w:rPr>
            </w:pPr>
            <w:r>
              <w:rPr>
                <w:sz w:val="4"/>
                <w:szCs w:val="4"/>
              </w:rPr>
            </w:r>
          </w:p>
        </w:tc>
        <w:tc>
          <w:tcPr>
            <w:tcW w:w="1826"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8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67" w:type="dxa"/>
            <w:gridSpan w:val="3"/>
            <w:tcBorders/>
            <w:vAlign w:val="center"/>
          </w:tcPr>
          <w:p>
            <w:pPr>
              <w:pStyle w:val="TableContents"/>
              <w:bidi w:val="0"/>
              <w:spacing w:before="0" w:after="283"/>
              <w:jc w:val="left"/>
              <w:rPr>
                <w:sz w:val="4"/>
                <w:szCs w:val="4"/>
              </w:rPr>
            </w:pPr>
            <w:r>
              <w:rPr>
                <w:sz w:val="4"/>
                <w:szCs w:val="4"/>
              </w:rPr>
            </w:r>
          </w:p>
        </w:tc>
        <w:tc>
          <w:tcPr>
            <w:tcW w:w="1826"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8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67" w:type="dxa"/>
            <w:gridSpan w:val="3"/>
            <w:tcBorders/>
            <w:vAlign w:val="center"/>
          </w:tcPr>
          <w:p>
            <w:pPr>
              <w:pStyle w:val="TableContents"/>
              <w:bidi w:val="0"/>
              <w:spacing w:before="0" w:after="283"/>
              <w:jc w:val="left"/>
              <w:rPr>
                <w:sz w:val="4"/>
                <w:szCs w:val="4"/>
              </w:rPr>
            </w:pPr>
            <w:r>
              <w:rPr>
                <w:sz w:val="4"/>
                <w:szCs w:val="4"/>
              </w:rPr>
            </w:r>
          </w:p>
        </w:tc>
        <w:tc>
          <w:tcPr>
            <w:tcW w:w="1826"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8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67" w:type="dxa"/>
            <w:gridSpan w:val="3"/>
            <w:tcBorders/>
            <w:vAlign w:val="center"/>
          </w:tcPr>
          <w:p>
            <w:pPr>
              <w:pStyle w:val="TableContents"/>
              <w:bidi w:val="0"/>
              <w:spacing w:before="0" w:after="283"/>
              <w:jc w:val="left"/>
              <w:rPr>
                <w:sz w:val="4"/>
                <w:szCs w:val="4"/>
              </w:rPr>
            </w:pPr>
            <w:r>
              <w:rPr>
                <w:sz w:val="4"/>
                <w:szCs w:val="4"/>
              </w:rPr>
            </w:r>
          </w:p>
        </w:tc>
        <w:tc>
          <w:tcPr>
            <w:tcW w:w="1826"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8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349"/>
        <w:gridCol w:w="1164"/>
        <w:gridCol w:w="1168"/>
        <w:gridCol w:w="109"/>
        <w:gridCol w:w="109"/>
        <w:gridCol w:w="109"/>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826"/>
        <w:gridCol w:w="109"/>
        <w:gridCol w:w="109"/>
        <w:gridCol w:w="109"/>
        <w:gridCol w:w="109"/>
        <w:gridCol w:w="155"/>
      </w:tblGrid>
      <w:tr>
        <w:trPr/>
        <w:tc>
          <w:tcPr>
            <w:tcW w:w="1349"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72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CLOVER HEALTH INVESTMENTS, CORP.</w:t>
            </w:r>
          </w:p>
        </w:tc>
        <w:tc>
          <w:tcPr>
            <w:tcW w:w="482" w:type="dxa"/>
            <w:gridSpan w:val="4"/>
            <w:tcBorders/>
          </w:tcPr>
          <w:p>
            <w:pPr>
              <w:pStyle w:val="TableContents"/>
              <w:bidi w:val="0"/>
              <w:spacing w:before="0" w:after="283"/>
              <w:jc w:val="left"/>
              <w:rPr>
                <w:sz w:val="4"/>
                <w:szCs w:val="4"/>
              </w:rPr>
            </w:pPr>
            <w:r>
              <w:rPr>
                <w:sz w:val="4"/>
                <w:szCs w:val="4"/>
              </w:rPr>
            </w:r>
          </w:p>
        </w:tc>
      </w:tr>
      <w:tr>
        <w:trPr/>
        <w:tc>
          <w:tcPr>
            <w:tcW w:w="9723"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OPERATING SEGMENT</w:t>
            </w:r>
          </w:p>
        </w:tc>
        <w:tc>
          <w:tcPr>
            <w:tcW w:w="482" w:type="dxa"/>
            <w:gridSpan w:val="4"/>
            <w:tcBorders/>
          </w:tcPr>
          <w:p>
            <w:pPr>
              <w:pStyle w:val="TableContents"/>
              <w:bidi w:val="0"/>
              <w:spacing w:before="0" w:after="283"/>
              <w:jc w:val="left"/>
              <w:rPr>
                <w:sz w:val="4"/>
                <w:szCs w:val="4"/>
              </w:rPr>
            </w:pPr>
            <w:r>
              <w:rPr>
                <w:sz w:val="4"/>
                <w:szCs w:val="4"/>
              </w:rPr>
            </w:r>
          </w:p>
        </w:tc>
      </w:tr>
      <w:tr>
        <w:trPr/>
        <w:tc>
          <w:tcPr>
            <w:tcW w:w="9723"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482" w:type="dxa"/>
            <w:gridSpan w:val="4"/>
            <w:tcBorders/>
          </w:tcPr>
          <w:p>
            <w:pPr>
              <w:pStyle w:val="TableContents"/>
              <w:bidi w:val="0"/>
              <w:spacing w:before="0" w:after="283"/>
              <w:jc w:val="left"/>
              <w:rPr>
                <w:sz w:val="4"/>
                <w:szCs w:val="4"/>
              </w:rPr>
            </w:pPr>
            <w:r>
              <w:rPr>
                <w:sz w:val="4"/>
                <w:szCs w:val="4"/>
              </w:rPr>
            </w:r>
          </w:p>
        </w:tc>
      </w:tr>
      <w:tr>
        <w:trPr/>
        <w:tc>
          <w:tcPr>
            <w:tcW w:w="972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c>
          <w:tcPr>
            <w:tcW w:w="482" w:type="dxa"/>
            <w:gridSpan w:val="4"/>
            <w:tcBorders/>
          </w:tcPr>
          <w:p>
            <w:pPr>
              <w:pStyle w:val="TableContents"/>
              <w:bidi w:val="0"/>
              <w:spacing w:before="0" w:after="283"/>
              <w:jc w:val="left"/>
              <w:rPr>
                <w:sz w:val="4"/>
                <w:szCs w:val="4"/>
              </w:rPr>
            </w:pPr>
            <w:r>
              <w:rPr>
                <w:sz w:val="4"/>
                <w:szCs w:val="4"/>
              </w:rPr>
            </w:r>
          </w:p>
        </w:tc>
      </w:tr>
      <w:tr>
        <w:trPr/>
        <w:tc>
          <w:tcPr>
            <w:tcW w:w="3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Insurance 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Premiums earned, net (net of ceded premiums)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737,767 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469,826 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1,481,956 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926,732 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medical claims incurred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256,533 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164,632 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Reconciliation: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 of intersegment profits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tbl>
      <w:tblPr>
        <w:tblW w:w="8835" w:type="dxa"/>
        <w:jc w:val="left"/>
        <w:tblInd w:w="0" w:type="dxa"/>
        <w:tblLayout w:type="fixed"/>
        <w:tblCellMar>
          <w:top w:w="28" w:type="dxa"/>
          <w:left w:w="28" w:type="dxa"/>
          <w:bottom w:w="28" w:type="dxa"/>
          <w:right w:w="28" w:type="dxa"/>
        </w:tblCellMar>
      </w:tblPr>
      <w:tblGrid>
        <w:gridCol w:w="1179"/>
        <w:gridCol w:w="1033"/>
        <w:gridCol w:w="1043"/>
        <w:gridCol w:w="211"/>
        <w:gridCol w:w="826"/>
        <w:gridCol w:w="109"/>
        <w:gridCol w:w="109"/>
        <w:gridCol w:w="109"/>
        <w:gridCol w:w="109"/>
        <w:gridCol w:w="211"/>
        <w:gridCol w:w="796"/>
        <w:gridCol w:w="109"/>
        <w:gridCol w:w="109"/>
        <w:gridCol w:w="109"/>
        <w:gridCol w:w="109"/>
        <w:gridCol w:w="211"/>
        <w:gridCol w:w="826"/>
        <w:gridCol w:w="109"/>
        <w:gridCol w:w="109"/>
        <w:gridCol w:w="109"/>
        <w:gridCol w:w="109"/>
        <w:gridCol w:w="211"/>
        <w:gridCol w:w="826"/>
        <w:gridCol w:w="154"/>
      </w:tblGrid>
      <w:tr>
        <w:trPr/>
        <w:tc>
          <w:tcPr>
            <w:tcW w:w="1179"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35" w:type="dxa"/>
            <w:gridSpan w:val="24"/>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CLOVER HEALTH INVESTMENTS, CORP. </w:t>
            </w:r>
          </w:p>
        </w:tc>
      </w:tr>
      <w:tr>
        <w:trPr/>
        <w:tc>
          <w:tcPr>
            <w:tcW w:w="883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RECONCILIATION OF NON-GAAP FINANCIAL MEASURES</w:t>
            </w:r>
          </w:p>
        </w:tc>
      </w:tr>
      <w:tr>
        <w:trPr/>
        <w:tc>
          <w:tcPr>
            <w:tcW w:w="8835" w:type="dxa"/>
            <w:gridSpan w:val="24"/>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CONSOLIDATED GROSS PROFIT (NON-GAAP) RECONCILIATION</w:t>
            </w:r>
          </w:p>
        </w:tc>
      </w:tr>
      <w:tr>
        <w:trPr/>
        <w:tc>
          <w:tcPr>
            <w:tcW w:w="8835" w:type="dxa"/>
            <w:gridSpan w:val="24"/>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(in thousands)</w:t>
            </w:r>
            <w:r>
              <w:rPr>
                <w:rFonts w:ascii="Times New Roman;serif" w:hAnsi="Times New Roman;serif"/>
                <w:b w:val="false"/>
                <w:color w:val="000000"/>
                <w:sz w:val="10"/>
              </w:rPr>
              <w:t>(1)</w:t>
            </w:r>
          </w:p>
        </w:tc>
      </w:tr>
      <w:tr>
        <w:trPr/>
        <w:tc>
          <w:tcPr>
            <w:tcW w:w="8835" w:type="dxa"/>
            <w:gridSpan w:val="24"/>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(unaudited)</w:t>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benefits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Gross profit (non-GAAP)</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312,543 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208,517 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180"/>
        <w:jc w:val="both"/>
        <w:rPr/>
      </w:pPr>
      <w:r>
        <w:rPr>
          <w:rFonts w:ascii="Times New Roman;serif" w:hAnsi="Times New Roman;serif"/>
          <w:b w:val="false"/>
          <w:color w:val="000000"/>
          <w:sz w:val="10"/>
        </w:rPr>
        <w:t xml:space="preserve">(1) </w:t>
      </w:r>
      <w:r>
        <w:rPr>
          <w:rFonts w:ascii="Times New Roman;serif" w:hAnsi="Times New Roman;serif"/>
          <w:b w:val="false"/>
          <w:color w:val="000000"/>
          <w:sz w:val="16"/>
        </w:rPr>
        <w:t>The table above includes Non-GAAP measures. Non-GAAP financial measures are supplemental and should not be considered a substitute for financial information presented in accordance with GAAP. For a detailed explanation of these Non-GAAP measures, see Appendix A.</w:t>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437"/>
        <w:gridCol w:w="1205"/>
        <w:gridCol w:w="1154"/>
        <w:gridCol w:w="211"/>
        <w:gridCol w:w="826"/>
        <w:gridCol w:w="271"/>
        <w:gridCol w:w="109"/>
        <w:gridCol w:w="109"/>
        <w:gridCol w:w="109"/>
        <w:gridCol w:w="211"/>
        <w:gridCol w:w="826"/>
        <w:gridCol w:w="271"/>
        <w:gridCol w:w="109"/>
        <w:gridCol w:w="109"/>
        <w:gridCol w:w="109"/>
        <w:gridCol w:w="211"/>
        <w:gridCol w:w="976"/>
        <w:gridCol w:w="271"/>
        <w:gridCol w:w="109"/>
        <w:gridCol w:w="109"/>
        <w:gridCol w:w="109"/>
        <w:gridCol w:w="211"/>
        <w:gridCol w:w="826"/>
        <w:gridCol w:w="317"/>
      </w:tblGrid>
      <w:tr>
        <w:trPr/>
        <w:tc>
          <w:tcPr>
            <w:tcW w:w="1437"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CLOVER HEALTH INVESTMENTS, CORP.</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RECONCILIATION OF NON-GAAP FINANCIAL MEASURES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ADJUSTED SG&amp;A (NON-GAAP) RECONCILIATION</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(in thousands)</w:t>
            </w:r>
            <w:r>
              <w:rPr>
                <w:rFonts w:ascii="Times New Roman;serif" w:hAnsi="Times New Roman;serif"/>
                <w:b w:val="false"/>
                <w:color w:val="000000"/>
                <w:sz w:val="10"/>
              </w:rPr>
              <w:t>(1)</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r>
      <w:tr>
        <w:trPr/>
        <w:tc>
          <w:tcPr>
            <w:tcW w:w="3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benefits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54,138 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61,309 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111,201 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120,331 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70,299 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48,484 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144,928 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99,159 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SG&amp;A (GAAP)</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124,437 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109,793 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256,129 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219,490 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3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(26,195)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(21,355)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(52,632)</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Non-recurring legal expenses and settlements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SG&amp;A (non-GAAP)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112,086 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82,493 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231,370 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165,600 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 (GAAP)</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743,167 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477,620 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1,492,356 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939,951 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SG&amp;A (non-GAAP) as a percentage of Total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ind w:left="0" w:right="0" w:hanging="18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The table above includes Non-GAAP measures. Non-GAAP financial measures are supplemental and should not be considered a substitute for financial information presented in accordance with GAAP. For a detailed explanation of these Non-GAAP measures, see Appendix A.</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tbl>
      <w:tblPr>
        <w:tblW w:w="9135" w:type="dxa"/>
        <w:jc w:val="center"/>
        <w:tblInd w:w="0" w:type="dxa"/>
        <w:tblLayout w:type="fixed"/>
        <w:tblCellMar>
          <w:top w:w="28" w:type="dxa"/>
          <w:left w:w="28" w:type="dxa"/>
          <w:bottom w:w="28" w:type="dxa"/>
          <w:right w:w="28" w:type="dxa"/>
        </w:tblCellMar>
      </w:tblPr>
      <w:tblGrid>
        <w:gridCol w:w="1374"/>
        <w:gridCol w:w="1205"/>
        <w:gridCol w:w="1216"/>
        <w:gridCol w:w="211"/>
        <w:gridCol w:w="721"/>
        <w:gridCol w:w="109"/>
        <w:gridCol w:w="109"/>
        <w:gridCol w:w="109"/>
        <w:gridCol w:w="109"/>
        <w:gridCol w:w="211"/>
        <w:gridCol w:w="796"/>
        <w:gridCol w:w="109"/>
        <w:gridCol w:w="109"/>
        <w:gridCol w:w="109"/>
        <w:gridCol w:w="109"/>
        <w:gridCol w:w="211"/>
        <w:gridCol w:w="721"/>
        <w:gridCol w:w="109"/>
        <w:gridCol w:w="109"/>
        <w:gridCol w:w="109"/>
        <w:gridCol w:w="109"/>
        <w:gridCol w:w="211"/>
        <w:gridCol w:w="796"/>
        <w:gridCol w:w="154"/>
      </w:tblGrid>
      <w:tr>
        <w:trPr/>
        <w:tc>
          <w:tcPr>
            <w:tcW w:w="1374"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35" w:type="dxa"/>
            <w:gridSpan w:val="24"/>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CLOVER HEALTH INVESTMENTS, CORP. </w:t>
            </w:r>
          </w:p>
        </w:tc>
      </w:tr>
      <w:tr>
        <w:trPr/>
        <w:tc>
          <w:tcPr>
            <w:tcW w:w="913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RECONCILIATION OF NON-GAAP FINANCIAL MEASURES</w:t>
            </w:r>
          </w:p>
        </w:tc>
      </w:tr>
      <w:tr>
        <w:trPr/>
        <w:tc>
          <w:tcPr>
            <w:tcW w:w="913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ADJUSTED EBITDA (NON-GAAP) RECONCILIATION</w:t>
            </w:r>
          </w:p>
        </w:tc>
      </w:tr>
      <w:tr>
        <w:trPr/>
        <w:tc>
          <w:tcPr>
            <w:tcW w:w="9135" w:type="dxa"/>
            <w:gridSpan w:val="24"/>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(in thousands)</w:t>
            </w:r>
            <w:r>
              <w:rPr>
                <w:rFonts w:ascii="Times New Roman;serif" w:hAnsi="Times New Roman;serif"/>
                <w:b w:val="false"/>
                <w:color w:val="000000"/>
                <w:sz w:val="10"/>
              </w:rPr>
              <w:t>(1)</w:t>
            </w:r>
          </w:p>
        </w:tc>
      </w:tr>
      <w:tr>
        <w:trPr/>
        <w:tc>
          <w:tcPr>
            <w:tcW w:w="9135" w:type="dxa"/>
            <w:gridSpan w:val="24"/>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(unaudited)</w:t>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Non-recurring legal expenses and settlements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(non-GAAP)</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42,917 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The table above includes Non-GAAP measures. Non-GAAP financial measures are supplemental and should not be considered a substitute for financial information presented in accordance with GAAP. For a detailed explanation of these Non-GAAP measures, see Appendix A.</w:t>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tbl>
      <w:tblPr>
        <w:tblW w:w="9135" w:type="dxa"/>
        <w:jc w:val="left"/>
        <w:tblInd w:w="0" w:type="dxa"/>
        <w:tblLayout w:type="fixed"/>
        <w:tblCellMar>
          <w:top w:w="28" w:type="dxa"/>
          <w:left w:w="28" w:type="dxa"/>
          <w:bottom w:w="28" w:type="dxa"/>
          <w:right w:w="28" w:type="dxa"/>
        </w:tblCellMar>
      </w:tblPr>
      <w:tblGrid>
        <w:gridCol w:w="1375"/>
        <w:gridCol w:w="1204"/>
        <w:gridCol w:w="1216"/>
        <w:gridCol w:w="211"/>
        <w:gridCol w:w="721"/>
        <w:gridCol w:w="109"/>
        <w:gridCol w:w="109"/>
        <w:gridCol w:w="109"/>
        <w:gridCol w:w="109"/>
        <w:gridCol w:w="211"/>
        <w:gridCol w:w="796"/>
        <w:gridCol w:w="109"/>
        <w:gridCol w:w="109"/>
        <w:gridCol w:w="109"/>
        <w:gridCol w:w="109"/>
        <w:gridCol w:w="211"/>
        <w:gridCol w:w="721"/>
        <w:gridCol w:w="109"/>
        <w:gridCol w:w="109"/>
        <w:gridCol w:w="109"/>
        <w:gridCol w:w="109"/>
        <w:gridCol w:w="211"/>
        <w:gridCol w:w="796"/>
        <w:gridCol w:w="154"/>
      </w:tblGrid>
      <w:tr>
        <w:trPr/>
        <w:tc>
          <w:tcPr>
            <w:tcW w:w="1375"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3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CLOVER HEALTH INVESTMENTS, CORP. </w:t>
            </w:r>
          </w:p>
        </w:tc>
      </w:tr>
      <w:tr>
        <w:trPr/>
        <w:tc>
          <w:tcPr>
            <w:tcW w:w="913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RECONCILIATION OF NON-GAAP FINANCIAL MEASURES</w:t>
            </w:r>
          </w:p>
        </w:tc>
      </w:tr>
      <w:tr>
        <w:trPr/>
        <w:tc>
          <w:tcPr>
            <w:tcW w:w="9135" w:type="dxa"/>
            <w:gridSpan w:val="24"/>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ADJUSTED NET INCOME (NON-GAAP) RECONCILIATION</w:t>
            </w:r>
          </w:p>
        </w:tc>
      </w:tr>
      <w:tr>
        <w:trPr/>
        <w:tc>
          <w:tcPr>
            <w:tcW w:w="9135" w:type="dxa"/>
            <w:gridSpan w:val="24"/>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(in thousands)</w:t>
            </w:r>
            <w:r>
              <w:rPr>
                <w:rFonts w:ascii="Times New Roman;serif" w:hAnsi="Times New Roman;serif"/>
                <w:b w:val="false"/>
                <w:color w:val="000000"/>
                <w:sz w:val="10"/>
              </w:rPr>
              <w:t>(1)</w:t>
            </w:r>
          </w:p>
        </w:tc>
      </w:tr>
      <w:tr>
        <w:trPr/>
        <w:tc>
          <w:tcPr>
            <w:tcW w:w="913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Non-recurring legal expenses and settlements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income (non-GAAP)</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42,038 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ind w:left="0" w:right="0" w:hanging="18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The table above includes Non-GAAP measures. Non-GAAP financial measures are supplemental and should not be considered a substitute for financial information presented in accordance with GAAP. For a detailed explanation of these Non-GAAP measures, see Appendix A.</w:t>
      </w:r>
    </w:p>
    <w:p>
      <w:pPr>
        <w:pStyle w:val="TextBody"/>
        <w:bidi w:val="0"/>
        <w:spacing w:before="0" w:after="0"/>
        <w:jc w:val="righ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408"/>
        <w:gridCol w:w="1191"/>
        <w:gridCol w:w="1196"/>
        <w:gridCol w:w="211"/>
        <w:gridCol w:w="826"/>
        <w:gridCol w:w="271"/>
        <w:gridCol w:w="109"/>
        <w:gridCol w:w="109"/>
        <w:gridCol w:w="109"/>
        <w:gridCol w:w="211"/>
        <w:gridCol w:w="826"/>
        <w:gridCol w:w="271"/>
        <w:gridCol w:w="109"/>
        <w:gridCol w:w="109"/>
        <w:gridCol w:w="109"/>
        <w:gridCol w:w="211"/>
        <w:gridCol w:w="976"/>
        <w:gridCol w:w="271"/>
        <w:gridCol w:w="109"/>
        <w:gridCol w:w="109"/>
        <w:gridCol w:w="109"/>
        <w:gridCol w:w="211"/>
        <w:gridCol w:w="826"/>
        <w:gridCol w:w="318"/>
      </w:tblGrid>
      <w:tr>
        <w:trPr/>
        <w:tc>
          <w:tcPr>
            <w:tcW w:w="140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CLOVER HEALTH INVESTMENTS, CORP. </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RECONCILIATION OF NON-GAAP FINANCIAL MEASURES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INSURANCE BENEFITS EXPENSE RATIO (NON-GAAP) RECONCILIATION</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(in thousands)</w:t>
            </w:r>
            <w:r>
              <w:rPr>
                <w:rFonts w:ascii="Times New Roman;serif" w:hAnsi="Times New Roman;serif"/>
                <w:b w:val="false"/>
                <w:color w:val="000000"/>
                <w:sz w:val="10"/>
              </w:rPr>
              <w:t>(1)</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(unaudited)</w:t>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Net medical claims incurred, net (GAAP)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615,422 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394,212 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1,225,423 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762,100 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Quality improvements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30,636 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21,191 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64,683 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46,903 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Benefits Expense (non-GAAP)</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646,058 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415,403 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1,290,106 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809,003 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Premiums earned, net (GAAP)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737,767 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469,826 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1,481,956 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926,732 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Benefits Expense Ratio (non-GAAP)</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18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The table above includes Non-GAAP measures. Non-GAAP financial measures are supplemental and should not be considered a substitute for financial information presented in accordance with GAAP. For a detailed explanation of these Non-GAAP measures, see Appendix A.</w:t>
      </w:r>
    </w:p>
    <w:p>
      <w:pPr>
        <w:pStyle w:val="TextBody"/>
        <w:bidi w:val="0"/>
        <w:spacing w:before="0" w:after="0"/>
        <w:jc w:val="both"/>
        <w:rPr/>
      </w:pPr>
      <w:r>
        <w:rPr/>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CLOVER HEALTH INVESTMENTS, CORP.</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Appendix A</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Explanation of Non-GAAP Financial Measures</w:t>
      </w:r>
    </w:p>
    <w:p>
      <w:pPr>
        <w:pStyle w:val="TextBody"/>
        <w:bidi w:val="0"/>
        <w:spacing w:before="120" w:after="283"/>
        <w:jc w:val="both"/>
        <w:rPr/>
      </w:pPr>
      <w:r>
        <w:rPr/>
      </w:r>
    </w:p>
    <w:p>
      <w:pPr>
        <w:pStyle w:val="TextBody"/>
        <w:bidi w:val="0"/>
        <w:spacing w:lineRule="auto" w:line="288" w:before="0" w:after="0"/>
        <w:jc w:val="both"/>
        <w:rPr>
          <w:rFonts w:ascii="Times New Roman;serif" w:hAnsi="Times New Roman;serif"/>
          <w:b/>
          <w:i/>
          <w:color w:val="000000"/>
          <w:sz w:val="20"/>
          <w:u w:val="single"/>
        </w:rPr>
      </w:pPr>
      <w:r>
        <w:rPr>
          <w:rFonts w:ascii="Times New Roman;serif" w:hAnsi="Times New Roman;serif"/>
          <w:b/>
          <w:i/>
          <w:color w:val="000000"/>
          <w:sz w:val="20"/>
          <w:u w:val="single"/>
        </w:rPr>
        <w:t>Non-GAAP Definitions</w:t>
      </w:r>
    </w:p>
    <w:p>
      <w:pPr>
        <w:pStyle w:val="TextBody"/>
        <w:bidi w:val="0"/>
        <w:spacing w:lineRule="auto" w:line="276" w:before="180" w:after="180"/>
        <w:jc w:val="both"/>
        <w:rPr/>
      </w:pPr>
      <w:r>
        <w:rPr>
          <w:rFonts w:ascii="Times New Roman;serif" w:hAnsi="Times New Roman;serif"/>
          <w:b w:val="false"/>
          <w:color w:val="000000"/>
          <w:sz w:val="20"/>
          <w:u w:val="single"/>
        </w:rPr>
        <w:t>Consolidated Gross profit</w:t>
      </w:r>
      <w:r>
        <w:rPr>
          <w:color w:val="000000"/>
        </w:rPr>
        <w:t xml:space="preserve"> </w:t>
      </w:r>
      <w:r>
        <w:rPr>
          <w:rFonts w:ascii="Times New Roman;serif" w:hAnsi="Times New Roman;serif"/>
          <w:b w:val="false"/>
          <w:color w:val="000000"/>
          <w:sz w:val="20"/>
        </w:rPr>
        <w:t>- A Non-GAAP financial measure defined by us as net income (loss) before salaries and benefits, general and administrative expenses, depreciation and amortization, premium deficiency reserve expense, restructuring costs, impairment of goodwill and other intangible assets, interest expense, change in fair value of warrants, and loss on investment. We believe that Consolidated Gross profit provides management, investors, and others a useful view of consolidated business performance and operational results. Accordingly, we believe that Consolidated Gross profit provides investors and others useful information to understand and evaluate our operating results in the same manner as our management and our board of directors.</w:t>
      </w:r>
    </w:p>
    <w:p>
      <w:pPr>
        <w:pStyle w:val="TextBody"/>
        <w:bidi w:val="0"/>
        <w:spacing w:lineRule="auto" w:line="276" w:before="180" w:after="180"/>
        <w:jc w:val="both"/>
        <w:rPr/>
      </w:pPr>
      <w:r>
        <w:rPr>
          <w:rFonts w:ascii="Times New Roman;serif" w:hAnsi="Times New Roman;serif"/>
          <w:b w:val="false"/>
          <w:color w:val="000000"/>
          <w:sz w:val="20"/>
          <w:u w:val="single"/>
        </w:rPr>
        <w:t>Adjusted SG&amp;A</w:t>
      </w:r>
      <w:r>
        <w:rPr>
          <w:color w:val="000000"/>
        </w:rPr>
        <w:t xml:space="preserve"> </w:t>
      </w:r>
      <w:r>
        <w:rPr>
          <w:rFonts w:ascii="Times New Roman;serif" w:hAnsi="Times New Roman;serif"/>
          <w:b w:val="false"/>
          <w:color w:val="000000"/>
          <w:sz w:val="20"/>
        </w:rPr>
        <w:t>- A Non-GAAP financial measure defined by us as total SG&amp;A less stock-based compensation and non-recurring legal expenses and settlements. We believe that Adjusted SG&amp;A provides management, investors, and others a useful view of our operating spend as it excludes non-cash, stock-based compensation and expenses related to investments that management believes do not reflect the Company's core operating expenses. We believe that Adjusted SG&amp;A as a percentage of Total revenues is useful to management, investors, and others because it allows us to measure our operational leverage as revenue scales.</w:t>
      </w:r>
    </w:p>
    <w:p>
      <w:pPr>
        <w:pStyle w:val="TextBody"/>
        <w:bidi w:val="0"/>
        <w:spacing w:lineRule="auto" w:line="276" w:before="0" w:after="0"/>
        <w:jc w:val="both"/>
        <w:rPr/>
      </w:pPr>
      <w:r>
        <w:rPr>
          <w:rFonts w:ascii="Times New Roman;serif" w:hAnsi="Times New Roman;serif"/>
          <w:b w:val="false"/>
          <w:color w:val="000000"/>
          <w:sz w:val="20"/>
          <w:u w:val="single"/>
        </w:rPr>
        <w:t>Adjusted EBITDA</w:t>
      </w:r>
      <w:r>
        <w:rPr>
          <w:color w:val="000000"/>
        </w:rPr>
        <w:t xml:space="preserve"> </w:t>
      </w:r>
      <w:r>
        <w:rPr>
          <w:rFonts w:ascii="Times New Roman;serif" w:hAnsi="Times New Roman;serif"/>
          <w:b w:val="false"/>
          <w:color w:val="000000"/>
          <w:sz w:val="20"/>
        </w:rPr>
        <w:t>- A Non-GAAP financial measure defined by us as net income (loss) before depreciation and amortization, interest expense, change in fair value of warrants, loss on investment, stock-based compensation, premium deficiency reserve benefit, restructuring costs, impairment of goodwill and other intangible assets, and non-recurring legal expenses and settlements. Adjusted EBITDA is a key measure used by our management team and the board of directors to understand and evaluate our operating performance and trends, to prepare and approve our annual budget and to develop short and long-term operating plans. In particular, we believe that the exclusion of the amounts eliminated in calculating Adjusted EBITDA provide useful measures for period-to-period comparisons of our business. Accordingly, we believe that Adjusted EBITDA provides investors and others useful information to understand and evaluate our operating results in the same manner as our management and our board of directors.</w:t>
      </w:r>
    </w:p>
    <w:p>
      <w:pPr>
        <w:pStyle w:val="TextBody"/>
        <w:bidi w:val="0"/>
        <w:spacing w:lineRule="auto" w:line="276" w:before="180" w:after="180"/>
        <w:jc w:val="both"/>
        <w:rPr/>
      </w:pPr>
      <w:r>
        <w:rPr>
          <w:rFonts w:ascii="Times New Roman;serif" w:hAnsi="Times New Roman;serif"/>
          <w:b w:val="false"/>
          <w:color w:val="000000"/>
          <w:sz w:val="20"/>
          <w:u w:val="single"/>
        </w:rPr>
        <w:t xml:space="preserve">Adjusted Net income </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A Non-GAAP financial measure defined by us as net income (loss) before stock-based compensation, premium deficiency reserve benefit, restructuring costs, impairment of goodwill and other intangible assets, and non-recurring legal expenses and settlements. Adjusted Net income is a key measure used by our management team and the board of directors to understand and evaluate our operating performance and trends. We believe that Adjusted Net income is helpful to investors in assessing the Company’s financial performance in the same manner as our management and our board of directors.</w:t>
      </w:r>
    </w:p>
    <w:p>
      <w:pPr>
        <w:pStyle w:val="TextBody"/>
        <w:bidi w:val="0"/>
        <w:spacing w:lineRule="auto" w:line="276" w:before="180" w:after="180"/>
        <w:jc w:val="both"/>
        <w:rPr/>
      </w:pPr>
      <w:r>
        <w:rPr>
          <w:rFonts w:ascii="Times New Roman;serif" w:hAnsi="Times New Roman;serif"/>
          <w:b w:val="false"/>
          <w:color w:val="000000"/>
          <w:sz w:val="20"/>
          <w:u w:val="single"/>
        </w:rPr>
        <w:t xml:space="preserve">Insurance Benefits Expense Ratio </w:t>
      </w:r>
      <w:r>
        <w:rPr>
          <w:rFonts w:ascii="Times New Roman;serif" w:hAnsi="Times New Roman;serif"/>
          <w:b w:val="false"/>
          <w:color w:val="000000"/>
          <w:sz w:val="20"/>
        </w:rPr>
        <w:t>- A Non-GAAP financial measure defined by us as Benefits expense ratio ("BER"). We calculate our Insurance BER by taking the total of Insurance net medical expenses incurred and quality improvements, and dividing that total by premiums earned on a net basis, in a given period. Quality improvements include expenses associated with activities that improve health outcomes, as defined by the U.S. Department of Health and Human Services ("HHS"), as well as those directly tied to enhancing healthcare quality, such as the Company's spend on health information technology, wellness and prevention programs, initiatives to reduce hospital readmissions, and our clinically focused Member Rewards program for the current year. We believe our Insurance BER is useful to management, investors, and others because it offers a clearer and more accurate representation of our investment in healthcare quality and member engagement, and gives a comprehensive view of costs related to maintaining and improving the quality of care of our members, which is crucial for sustaining member satisfaction and adherence to treatment regimens.</w:t>
      </w:r>
    </w:p>
    <w:p>
      <w:pPr>
        <w:pStyle w:val="TextBody"/>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5310</Words>
  <Characters>31278</Characters>
  <CharactersWithSpaces>35943</CharactersWithSpaces>
  <Paragraphs>1003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