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75"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600" w:right="1600" w:hanging="3579"/>
        <w:spacing w:after="0" w:line="383" w:lineRule="auto"/>
        <w:tabs>
          <w:tab w:leader="none" w:pos="48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 to 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001-39252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Clover Health Investments,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98-1515192</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00" w:lineRule="exact"/>
        <w:rPr>
          <w:sz w:val="24"/>
          <w:szCs w:val="24"/>
          <w:color w:val="auto"/>
        </w:rPr>
      </w:pPr>
    </w:p>
    <w:p>
      <w:pPr>
        <w:sectPr>
          <w:pgSz w:w="11900" w:h="16838" w:orient="portrait"/>
          <w:cols w:equalWidth="0" w:num="2">
            <w:col w:w="7220" w:space="720"/>
            <w:col w:w="3300"/>
          </w:cols>
          <w:pgMar w:left="320" w:top="908" w:right="339" w:bottom="1440" w:gutter="0" w:footer="0" w:header="0"/>
          <w:type w:val="continuous"/>
        </w:sectPr>
      </w:pP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3"/>
          </w:tcPr>
          <w:p>
            <w:pPr>
              <w:jc w:val="center"/>
              <w:ind w:left="1059"/>
              <w:spacing w:after="0"/>
              <w:rPr>
                <w:sz w:val="20"/>
                <w:szCs w:val="20"/>
                <w:color w:val="auto"/>
              </w:rPr>
            </w:pPr>
            <w:r>
              <w:rPr>
                <w:rFonts w:ascii="Arial" w:cs="Arial" w:eastAsia="Arial" w:hAnsi="Arial"/>
                <w:sz w:val="18"/>
                <w:szCs w:val="18"/>
                <w:b w:val="1"/>
                <w:bCs w:val="1"/>
                <w:color w:val="auto"/>
                <w:w w:val="89"/>
              </w:rPr>
              <w:t>725 Cool Springs Boulevard, Suite 320,</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00" w:type="dxa"/>
            <w:vAlign w:val="bottom"/>
            <w:gridSpan w:val="3"/>
          </w:tcPr>
          <w:p>
            <w:pPr>
              <w:jc w:val="center"/>
              <w:ind w:left="1039"/>
              <w:spacing w:after="0"/>
              <w:rPr>
                <w:sz w:val="20"/>
                <w:szCs w:val="20"/>
                <w:color w:val="auto"/>
              </w:rPr>
            </w:pPr>
            <w:r>
              <w:rPr>
                <w:rFonts w:ascii="Arial" w:cs="Arial" w:eastAsia="Arial" w:hAnsi="Arial"/>
                <w:sz w:val="18"/>
                <w:szCs w:val="18"/>
                <w:b w:val="1"/>
                <w:bCs w:val="1"/>
                <w:color w:val="auto"/>
                <w:w w:val="88"/>
              </w:rPr>
              <w:t>Franklin, Tennessee</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00" w:type="dxa"/>
            <w:vAlign w:val="bottom"/>
          </w:tcPr>
          <w:p>
            <w:pPr>
              <w:jc w:val="right"/>
              <w:ind w:right="2503"/>
              <w:spacing w:after="0"/>
              <w:rPr>
                <w:sz w:val="20"/>
                <w:szCs w:val="20"/>
                <w:color w:val="auto"/>
              </w:rPr>
            </w:pPr>
            <w:r>
              <w:rPr>
                <w:rFonts w:ascii="Arial" w:cs="Arial" w:eastAsia="Arial" w:hAnsi="Arial"/>
                <w:sz w:val="18"/>
                <w:szCs w:val="18"/>
                <w:b w:val="1"/>
                <w:bCs w:val="1"/>
                <w:color w:val="auto"/>
              </w:rPr>
              <w:t>37067</w:t>
            </w:r>
          </w:p>
        </w:tc>
        <w:tc>
          <w:tcPr>
            <w:tcW w:w="0" w:type="dxa"/>
            <w:vAlign w:val="bottom"/>
          </w:tcPr>
          <w:p>
            <w:pPr>
              <w:spacing w:after="0"/>
              <w:rPr>
                <w:sz w:val="1"/>
                <w:szCs w:val="1"/>
                <w:color w:val="auto"/>
              </w:rPr>
            </w:pPr>
          </w:p>
        </w:tc>
      </w:tr>
      <w:tr>
        <w:trPr>
          <w:trHeight w:val="389"/>
        </w:trPr>
        <w:tc>
          <w:tcPr>
            <w:tcW w:w="4500" w:type="dxa"/>
            <w:vAlign w:val="bottom"/>
            <w:gridSpan w:val="3"/>
          </w:tcPr>
          <w:p>
            <w:pPr>
              <w:jc w:val="center"/>
              <w:ind w:left="105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00" w:type="dxa"/>
            <w:vAlign w:val="bottom"/>
          </w:tcPr>
          <w:p>
            <w:pPr>
              <w:jc w:val="center"/>
              <w:ind w:right="104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86"/>
        </w:trPr>
        <w:tc>
          <w:tcPr>
            <w:tcW w:w="11240" w:type="dxa"/>
            <w:vAlign w:val="bottom"/>
            <w:gridSpan w:val="7"/>
          </w:tcPr>
          <w:p>
            <w:pPr>
              <w:ind w:left="3040"/>
              <w:spacing w:after="0"/>
              <w:rPr>
                <w:sz w:val="20"/>
                <w:szCs w:val="20"/>
                <w:color w:val="auto"/>
              </w:rPr>
            </w:pPr>
            <w:r>
              <w:rPr>
                <w:rFonts w:ascii="Arial" w:cs="Arial" w:eastAsia="Arial" w:hAnsi="Arial"/>
                <w:sz w:val="18"/>
                <w:szCs w:val="18"/>
                <w:b w:val="1"/>
                <w:bCs w:val="1"/>
                <w:color w:val="auto"/>
              </w:rPr>
              <w:t>Registrant’s telephone number, including area code: (201) 432-2133</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1240" w:type="dxa"/>
            <w:vAlign w:val="bottom"/>
            <w:gridSpan w:val="7"/>
          </w:tcPr>
          <w:p>
            <w:pPr>
              <w:ind w:left="4060"/>
              <w:spacing w:after="0"/>
              <w:rPr>
                <w:sz w:val="20"/>
                <w:szCs w:val="20"/>
                <w:color w:val="auto"/>
              </w:rPr>
            </w:pPr>
            <w:r>
              <w:rPr>
                <w:rFonts w:ascii="Arial" w:cs="Arial" w:eastAsia="Arial" w:hAnsi="Arial"/>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3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7"/>
              </w:rPr>
              <w:t>Trading</w:t>
            </w:r>
          </w:p>
        </w:tc>
        <w:tc>
          <w:tcPr>
            <w:tcW w:w="4500" w:type="dxa"/>
            <w:vAlign w:val="bottom"/>
            <w:vMerge w:val="restart"/>
          </w:tcPr>
          <w:p>
            <w:pPr>
              <w:jc w:val="center"/>
              <w:ind w:right="463"/>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rPr>
              <w:t>CLOV</w:t>
            </w:r>
          </w:p>
        </w:tc>
        <w:tc>
          <w:tcPr>
            <w:tcW w:w="4500" w:type="dxa"/>
            <w:vAlign w:val="bottom"/>
          </w:tcPr>
          <w:p>
            <w:pPr>
              <w:jc w:val="center"/>
              <w:ind w:right="463"/>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22"/>
        </w:trPr>
        <w:tc>
          <w:tcPr>
            <w:tcW w:w="4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Redeemable Warrants, each whole warrant exercisable for</w:t>
            </w:r>
          </w:p>
        </w:tc>
        <w:tc>
          <w:tcPr>
            <w:tcW w:w="22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rPr>
              <w:t>CLOVW</w:t>
            </w:r>
          </w:p>
        </w:tc>
        <w:tc>
          <w:tcPr>
            <w:tcW w:w="4500" w:type="dxa"/>
            <w:vAlign w:val="bottom"/>
          </w:tcPr>
          <w:p>
            <w:pPr>
              <w:jc w:val="center"/>
              <w:ind w:right="463"/>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03"/>
        </w:trPr>
        <w:tc>
          <w:tcPr>
            <w:tcW w:w="4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one share of Class A Common Stock at an exercise price of</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89"/>
              </w:rPr>
              <w:t>$11.50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21"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200" w:firstLine="599"/>
        <w:spacing w:after="0" w:line="293" w:lineRule="auto"/>
        <w:rPr>
          <w:sz w:val="20"/>
          <w:szCs w:val="20"/>
          <w:color w:val="auto"/>
        </w:rPr>
      </w:pPr>
      <w:r>
        <w:rPr>
          <w:rFonts w:ascii="Arial" w:cs="Arial" w:eastAsia="Arial" w:hAnsi="Arial"/>
          <w:sz w:val="16"/>
          <w:szCs w:val="16"/>
          <w:color w:val="auto"/>
        </w:rPr>
        <w:t>As of May 10, 2021, the registrant had 148,279,247 shares of Class A Common Stock, $0.0001 par value per share, and 259,821,838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INFORMATION</w:t>
              </w:r>
            </w:hyperlink>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1160" w:type="dxa"/>
            <w:vAlign w:val="bottom"/>
            <w:gridSpan w:val="3"/>
            <w:vMerge w:val="continue"/>
          </w:tcPr>
          <w:p>
            <w:pPr>
              <w:spacing w:after="0"/>
              <w:rPr>
                <w:sz w:val="24"/>
                <w:szCs w:val="24"/>
                <w:color w:val="auto"/>
              </w:rPr>
            </w:pPr>
          </w:p>
        </w:tc>
        <w:tc>
          <w:tcPr>
            <w:tcW w:w="9300" w:type="dxa"/>
            <w:vAlign w:val="bottom"/>
            <w:gridSpan w:val="21"/>
            <w:vMerge w:val="continue"/>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Statements (Unaudited)</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Borders>
              <w:bottom w:val="single" w:sz="8" w:color="0563C1"/>
            </w:tcBorders>
            <w:gridSpan w:val="16"/>
          </w:tcPr>
          <w:p>
            <w:pPr>
              <w:spacing w:after="0"/>
              <w:rPr>
                <w:rFonts w:ascii="Arial" w:cs="Arial" w:eastAsia="Arial" w:hAnsi="Arial"/>
                <w:sz w:val="18"/>
                <w:szCs w:val="18"/>
                <w:color w:val="0563C1"/>
                <w:w w:val="88"/>
              </w:rPr>
            </w:pPr>
            <w:hyperlink w:anchor="page3">
              <w:r>
                <w:rPr>
                  <w:rFonts w:ascii="Arial" w:cs="Arial" w:eastAsia="Arial" w:hAnsi="Arial"/>
                  <w:sz w:val="18"/>
                  <w:szCs w:val="18"/>
                  <w:color w:val="0563C1"/>
                  <w:w w:val="88"/>
                </w:rPr>
                <w:t>Condensed Consolidated Balance Sheets at March 31, 2021 and December 31, 2020</w:t>
              </w:r>
            </w:hyperlink>
          </w:p>
        </w:tc>
        <w:tc>
          <w:tcPr>
            <w:tcW w:w="32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563C1"/>
                <w:w w:val="92"/>
              </w:rPr>
            </w:pPr>
            <w:hyperlink w:anchor="page4">
              <w:r>
                <w:rPr>
                  <w:rFonts w:ascii="Arial" w:cs="Arial" w:eastAsia="Arial" w:hAnsi="Arial"/>
                  <w:sz w:val="18"/>
                  <w:szCs w:val="18"/>
                  <w:color w:val="0563C1"/>
                  <w:w w:val="92"/>
                </w:rPr>
                <w:t>Condensed Consolidated Statements of Operations and Comprehensive Loss for the three months ended March 31, 2021 and</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563C1"/>
              <w:bottom w:val="single" w:sz="8" w:color="0563C1"/>
            </w:tcBorders>
          </w:tcPr>
          <w:p>
            <w:pPr>
              <w:spacing w:after="0" w:line="196" w:lineRule="exact"/>
              <w:rPr>
                <w:rFonts w:ascii="Arial" w:cs="Arial" w:eastAsia="Arial" w:hAnsi="Arial"/>
                <w:sz w:val="18"/>
                <w:szCs w:val="18"/>
                <w:color w:val="0563C1"/>
                <w:w w:val="84"/>
              </w:rPr>
            </w:pPr>
            <w:hyperlink w:anchor="page4">
              <w:r>
                <w:rPr>
                  <w:rFonts w:ascii="Arial" w:cs="Arial" w:eastAsia="Arial" w:hAnsi="Arial"/>
                  <w:sz w:val="18"/>
                  <w:szCs w:val="18"/>
                  <w:color w:val="0563C1"/>
                  <w:w w:val="84"/>
                </w:rPr>
                <w:t>2020</w:t>
              </w:r>
            </w:hyperlink>
          </w:p>
        </w:tc>
        <w:tc>
          <w:tcPr>
            <w:tcW w:w="24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40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500" w:type="dxa"/>
            <w:vAlign w:val="bottom"/>
            <w:tcBorders>
              <w:top w:val="single" w:sz="8" w:color="0563C1"/>
            </w:tcBorders>
          </w:tcPr>
          <w:p>
            <w:pPr>
              <w:spacing w:after="0"/>
              <w:rPr>
                <w:sz w:val="17"/>
                <w:szCs w:val="17"/>
                <w:color w:val="auto"/>
              </w:rPr>
            </w:pPr>
          </w:p>
        </w:tc>
        <w:tc>
          <w:tcPr>
            <w:tcW w:w="14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1280" w:type="dxa"/>
            <w:vAlign w:val="bottom"/>
            <w:tcBorders>
              <w:top w:val="single" w:sz="8" w:color="0563C1"/>
            </w:tcBorders>
          </w:tcPr>
          <w:p>
            <w:pPr>
              <w:spacing w:after="0"/>
              <w:rPr>
                <w:sz w:val="17"/>
                <w:szCs w:val="17"/>
                <w:color w:val="auto"/>
              </w:rPr>
            </w:pPr>
          </w:p>
        </w:tc>
        <w:tc>
          <w:tcPr>
            <w:tcW w:w="380" w:type="dxa"/>
            <w:vAlign w:val="bottom"/>
            <w:tcBorders>
              <w:top w:val="single" w:sz="8" w:color="0563C1"/>
            </w:tcBorders>
          </w:tcPr>
          <w:p>
            <w:pPr>
              <w:spacing w:after="0"/>
              <w:rPr>
                <w:sz w:val="17"/>
                <w:szCs w:val="17"/>
                <w:color w:val="auto"/>
              </w:rPr>
            </w:pPr>
          </w:p>
        </w:tc>
        <w:tc>
          <w:tcPr>
            <w:tcW w:w="1140" w:type="dxa"/>
            <w:vAlign w:val="bottom"/>
            <w:tcBorders>
              <w:top w:val="single" w:sz="8" w:color="0563C1"/>
            </w:tcBorders>
          </w:tcPr>
          <w:p>
            <w:pPr>
              <w:spacing w:after="0"/>
              <w:rPr>
                <w:sz w:val="17"/>
                <w:szCs w:val="17"/>
                <w:color w:val="auto"/>
              </w:rPr>
            </w:pPr>
          </w:p>
        </w:tc>
        <w:tc>
          <w:tcPr>
            <w:tcW w:w="1400" w:type="dxa"/>
            <w:vAlign w:val="bottom"/>
            <w:tcBorders>
              <w:top w:val="single" w:sz="8" w:color="0563C1"/>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563C1"/>
                <w:w w:val="91"/>
              </w:rPr>
            </w:pPr>
            <w:hyperlink w:anchor="page5">
              <w:r>
                <w:rPr>
                  <w:rFonts w:ascii="Arial" w:cs="Arial" w:eastAsia="Arial" w:hAnsi="Arial"/>
                  <w:sz w:val="18"/>
                  <w:szCs w:val="18"/>
                  <w:color w:val="0563C1"/>
                  <w:w w:val="91"/>
                </w:rPr>
                <w:t>Condensed Consolidated Statements of Changes in Convertible Preferred Stock and Stockholders’ Equity (Deficit) for the three</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top w:val="single" w:sz="8" w:color="0563C1"/>
              <w:bottom w:val="single" w:sz="8" w:color="0563C1"/>
            </w:tcBorders>
            <w:gridSpan w:val="12"/>
          </w:tcPr>
          <w:p>
            <w:pPr>
              <w:spacing w:after="0" w:line="196" w:lineRule="exact"/>
              <w:rPr>
                <w:rFonts w:ascii="Arial" w:cs="Arial" w:eastAsia="Arial" w:hAnsi="Arial"/>
                <w:sz w:val="18"/>
                <w:szCs w:val="18"/>
                <w:color w:val="0563C1"/>
                <w:w w:val="89"/>
              </w:rPr>
            </w:pPr>
            <w:hyperlink w:anchor="page5">
              <w:r>
                <w:rPr>
                  <w:rFonts w:ascii="Arial" w:cs="Arial" w:eastAsia="Arial" w:hAnsi="Arial"/>
                  <w:sz w:val="18"/>
                  <w:szCs w:val="18"/>
                  <w:color w:val="0563C1"/>
                  <w:w w:val="89"/>
                </w:rPr>
                <w:t>months ended March 31, 2021 and 2020</w:t>
              </w:r>
            </w:hyperlink>
          </w:p>
        </w:tc>
        <w:tc>
          <w:tcPr>
            <w:tcW w:w="6280" w:type="dxa"/>
            <w:vAlign w:val="bottom"/>
            <w:tcBorders>
              <w:top w:val="single" w:sz="8" w:color="0563C1"/>
            </w:tcBorders>
            <w:gridSpan w:val="8"/>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0" w:type="dxa"/>
            <w:vAlign w:val="bottom"/>
            <w:tcBorders>
              <w:bottom w:val="single" w:sz="8" w:color="0563C1"/>
            </w:tcBorders>
            <w:gridSpan w:val="18"/>
          </w:tcPr>
          <w:p>
            <w:pPr>
              <w:spacing w:after="0"/>
              <w:rPr>
                <w:rFonts w:ascii="Arial" w:cs="Arial" w:eastAsia="Arial" w:hAnsi="Arial"/>
                <w:sz w:val="18"/>
                <w:szCs w:val="18"/>
                <w:color w:val="0563C1"/>
                <w:w w:val="89"/>
              </w:rPr>
            </w:pPr>
            <w:hyperlink w:anchor="page6">
              <w:r>
                <w:rPr>
                  <w:rFonts w:ascii="Arial" w:cs="Arial" w:eastAsia="Arial" w:hAnsi="Arial"/>
                  <w:sz w:val="18"/>
                  <w:szCs w:val="18"/>
                  <w:color w:val="0563C1"/>
                  <w:w w:val="89"/>
                </w:rPr>
                <w:t>Condensed Consolidated Statements of Cash Flows for the three months ended March 31, 2021 and 2020</w:t>
              </w:r>
            </w:hyperlink>
          </w:p>
        </w:tc>
        <w:tc>
          <w:tcPr>
            <w:tcW w:w="17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563C1"/>
            </w:tcBorders>
            <w:gridSpan w:val="15"/>
          </w:tcPr>
          <w:p>
            <w:pPr>
              <w:spacing w:after="0"/>
              <w:rPr>
                <w:rFonts w:ascii="Arial" w:cs="Arial" w:eastAsia="Arial" w:hAnsi="Arial"/>
                <w:sz w:val="18"/>
                <w:szCs w:val="18"/>
                <w:color w:val="0563C1"/>
                <w:w w:val="89"/>
              </w:rPr>
            </w:pPr>
            <w:hyperlink w:anchor="page7">
              <w:r>
                <w:rPr>
                  <w:rFonts w:ascii="Arial" w:cs="Arial" w:eastAsia="Arial" w:hAnsi="Arial"/>
                  <w:sz w:val="18"/>
                  <w:szCs w:val="18"/>
                  <w:color w:val="0563C1"/>
                  <w:w w:val="89"/>
                </w:rPr>
                <w:t>Notes to Unaudited Condensed Consolidated Financial Statements</w:t>
              </w:r>
            </w:hyperlink>
          </w:p>
        </w:tc>
        <w:tc>
          <w:tcPr>
            <w:tcW w:w="45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563C1"/>
              </w:rPr>
            </w:pPr>
            <w:hyperlink w:anchor="page28">
              <w:r>
                <w:rPr>
                  <w:rFonts w:ascii="Arial" w:cs="Arial" w:eastAsia="Arial" w:hAnsi="Arial"/>
                  <w:sz w:val="18"/>
                  <w:szCs w:val="18"/>
                  <w:color w:val="0563C1"/>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563C1"/>
              <w:bottom w:val="single" w:sz="8" w:color="0563C1"/>
            </w:tcBorders>
            <w:gridSpan w:val="14"/>
          </w:tcPr>
          <w:p>
            <w:pPr>
              <w:spacing w:after="0"/>
              <w:rPr>
                <w:rFonts w:ascii="Arial" w:cs="Arial" w:eastAsia="Arial" w:hAnsi="Arial"/>
                <w:sz w:val="18"/>
                <w:szCs w:val="18"/>
                <w:color w:val="0563C1"/>
                <w:w w:val="92"/>
              </w:rPr>
            </w:pPr>
            <w:hyperlink w:anchor="page39">
              <w:r>
                <w:rPr>
                  <w:rFonts w:ascii="Arial" w:cs="Arial" w:eastAsia="Arial" w:hAnsi="Arial"/>
                  <w:sz w:val="18"/>
                  <w:szCs w:val="18"/>
                  <w:color w:val="0563C1"/>
                  <w:w w:val="92"/>
                </w:rPr>
                <w:t>Quantitative and Qualitative Disclosures About Market Risk</w:t>
              </w:r>
            </w:hyperlink>
          </w:p>
        </w:tc>
        <w:tc>
          <w:tcPr>
            <w:tcW w:w="2080" w:type="dxa"/>
            <w:vAlign w:val="bottom"/>
            <w:tcBorders>
              <w:top w:val="single" w:sz="8" w:color="0563C1"/>
            </w:tcBorders>
            <w:gridSpan w:val="3"/>
          </w:tcPr>
          <w:p>
            <w:pPr>
              <w:spacing w:after="0"/>
              <w:rPr>
                <w:sz w:val="18"/>
                <w:szCs w:val="18"/>
                <w:color w:val="auto"/>
              </w:rPr>
            </w:pP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6"/>
          </w:tcPr>
          <w:p>
            <w:pPr>
              <w:spacing w:after="0"/>
              <w:rPr>
                <w:rFonts w:ascii="Arial" w:cs="Arial" w:eastAsia="Arial" w:hAnsi="Arial"/>
                <w:sz w:val="18"/>
                <w:szCs w:val="18"/>
                <w:color w:val="0563C1"/>
                <w:w w:val="88"/>
              </w:rPr>
            </w:pPr>
            <w:hyperlink w:anchor="page39">
              <w:r>
                <w:rPr>
                  <w:rFonts w:ascii="Arial" w:cs="Arial" w:eastAsia="Arial" w:hAnsi="Arial"/>
                  <w:sz w:val="18"/>
                  <w:szCs w:val="18"/>
                  <w:color w:val="0563C1"/>
                  <w:w w:val="88"/>
                </w:rPr>
                <w:t>Controls and Procedures</w:t>
              </w:r>
            </w:hyperlink>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8"/>
          </w:tcPr>
          <w:p>
            <w:pPr>
              <w:spacing w:after="0"/>
              <w:rPr>
                <w:rFonts w:ascii="Arial" w:cs="Arial" w:eastAsia="Arial" w:hAnsi="Arial"/>
                <w:sz w:val="18"/>
                <w:szCs w:val="18"/>
                <w:color w:val="0563C1"/>
                <w:w w:val="96"/>
              </w:rPr>
            </w:pPr>
            <w:hyperlink w:anchor="page40">
              <w:r>
                <w:rPr>
                  <w:rFonts w:ascii="Arial" w:cs="Arial" w:eastAsia="Arial" w:hAnsi="Arial"/>
                  <w:sz w:val="18"/>
                  <w:szCs w:val="18"/>
                  <w:color w:val="0563C1"/>
                  <w:w w:val="96"/>
                </w:rPr>
                <w:t>OTHER INFORMATION</w:t>
              </w:r>
            </w:hyperlink>
          </w:p>
        </w:tc>
        <w:tc>
          <w:tcPr>
            <w:tcW w:w="74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rFonts w:ascii="Arial" w:cs="Arial" w:eastAsia="Arial" w:hAnsi="Arial"/>
                <w:sz w:val="18"/>
                <w:szCs w:val="18"/>
                <w:color w:val="0563C1"/>
              </w:rPr>
            </w:pPr>
            <w:hyperlink w:anchor="page40">
              <w:r>
                <w:rPr>
                  <w:rFonts w:ascii="Arial" w:cs="Arial" w:eastAsia="Arial" w:hAnsi="Arial"/>
                  <w:sz w:val="18"/>
                  <w:szCs w:val="18"/>
                  <w:color w:val="0563C1"/>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563C1"/>
              <w:bottom w:val="single" w:sz="8" w:color="0563C1"/>
            </w:tcBorders>
            <w:gridSpan w:val="3"/>
          </w:tcPr>
          <w:p>
            <w:pPr>
              <w:spacing w:after="0"/>
              <w:rPr>
                <w:rFonts w:ascii="Arial" w:cs="Arial" w:eastAsia="Arial" w:hAnsi="Arial"/>
                <w:sz w:val="18"/>
                <w:szCs w:val="18"/>
                <w:color w:val="0563C1"/>
                <w:w w:val="89"/>
              </w:rPr>
            </w:pPr>
            <w:hyperlink w:anchor="page40">
              <w:r>
                <w:rPr>
                  <w:rFonts w:ascii="Arial" w:cs="Arial" w:eastAsia="Arial" w:hAnsi="Arial"/>
                  <w:sz w:val="18"/>
                  <w:szCs w:val="18"/>
                  <w:color w:val="0563C1"/>
                  <w:w w:val="89"/>
                </w:rPr>
                <w:t>Risk Factors</w:t>
              </w:r>
            </w:hyperlink>
          </w:p>
        </w:tc>
        <w:tc>
          <w:tcPr>
            <w:tcW w:w="420" w:type="dxa"/>
            <w:vAlign w:val="bottom"/>
            <w:tcBorders>
              <w:top w:val="single" w:sz="8" w:color="0563C1"/>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563C1"/>
            </w:tcBorders>
            <w:gridSpan w:val="13"/>
          </w:tcPr>
          <w:p>
            <w:pPr>
              <w:spacing w:after="0"/>
              <w:rPr>
                <w:rFonts w:ascii="Arial" w:cs="Arial" w:eastAsia="Arial" w:hAnsi="Arial"/>
                <w:sz w:val="18"/>
                <w:szCs w:val="18"/>
                <w:color w:val="0563C1"/>
                <w:w w:val="89"/>
              </w:rPr>
            </w:pPr>
            <w:hyperlink w:anchor="page40">
              <w:r>
                <w:rPr>
                  <w:rFonts w:ascii="Arial" w:cs="Arial" w:eastAsia="Arial" w:hAnsi="Arial"/>
                  <w:sz w:val="18"/>
                  <w:szCs w:val="18"/>
                  <w:color w:val="0563C1"/>
                  <w:w w:val="89"/>
                </w:rPr>
                <w:t>Unregistered Sales of Equity Securities and Use of Proceeds</w:t>
              </w:r>
            </w:hyperlink>
          </w:p>
        </w:tc>
        <w:tc>
          <w:tcPr>
            <w:tcW w:w="49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563C1"/>
            </w:tcBorders>
            <w:gridSpan w:val="10"/>
          </w:tcPr>
          <w:p>
            <w:pPr>
              <w:spacing w:after="0"/>
              <w:rPr>
                <w:rFonts w:ascii="Arial" w:cs="Arial" w:eastAsia="Arial" w:hAnsi="Arial"/>
                <w:sz w:val="18"/>
                <w:szCs w:val="18"/>
                <w:color w:val="0563C1"/>
                <w:w w:val="90"/>
              </w:rPr>
            </w:pPr>
            <w:hyperlink w:anchor="page40">
              <w:r>
                <w:rPr>
                  <w:rFonts w:ascii="Arial" w:cs="Arial" w:eastAsia="Arial" w:hAnsi="Arial"/>
                  <w:sz w:val="18"/>
                  <w:szCs w:val="18"/>
                  <w:color w:val="0563C1"/>
                  <w:w w:val="90"/>
                </w:rPr>
                <w:t>Defaults Upon Senior Securities</w:t>
              </w:r>
            </w:hyperlink>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6"/>
          </w:tcPr>
          <w:p>
            <w:pPr>
              <w:spacing w:after="0"/>
              <w:rPr>
                <w:rFonts w:ascii="Arial" w:cs="Arial" w:eastAsia="Arial" w:hAnsi="Arial"/>
                <w:sz w:val="18"/>
                <w:szCs w:val="18"/>
                <w:color w:val="0563C1"/>
                <w:w w:val="91"/>
              </w:rPr>
            </w:pPr>
            <w:hyperlink w:anchor="page40">
              <w:r>
                <w:rPr>
                  <w:rFonts w:ascii="Arial" w:cs="Arial" w:eastAsia="Arial" w:hAnsi="Arial"/>
                  <w:sz w:val="18"/>
                  <w:szCs w:val="18"/>
                  <w:color w:val="0563C1"/>
                  <w:w w:val="91"/>
                </w:rPr>
                <w:t>Mine Safety Disclosures</w:t>
              </w:r>
            </w:hyperlink>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rFonts w:ascii="Arial" w:cs="Arial" w:eastAsia="Arial" w:hAnsi="Arial"/>
                <w:sz w:val="18"/>
                <w:szCs w:val="18"/>
                <w:color w:val="0563C1"/>
              </w:rPr>
            </w:pPr>
            <w:hyperlink w:anchor="page40">
              <w:r>
                <w:rPr>
                  <w:rFonts w:ascii="Arial" w:cs="Arial" w:eastAsia="Arial" w:hAnsi="Arial"/>
                  <w:sz w:val="18"/>
                  <w:szCs w:val="18"/>
                  <w:color w:val="0563C1"/>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4"/>
          </w:tcPr>
          <w:p>
            <w:pPr>
              <w:spacing w:after="0"/>
              <w:rPr>
                <w:rFonts w:ascii="Arial" w:cs="Arial" w:eastAsia="Arial" w:hAnsi="Arial"/>
                <w:sz w:val="18"/>
                <w:szCs w:val="18"/>
                <w:color w:val="0563C1"/>
              </w:rPr>
            </w:pPr>
            <w:hyperlink w:anchor="page41">
              <w:r>
                <w:rPr>
                  <w:rFonts w:ascii="Arial" w:cs="Arial" w:eastAsia="Arial" w:hAnsi="Arial"/>
                  <w:sz w:val="18"/>
                  <w:szCs w:val="18"/>
                  <w:color w:val="0563C1"/>
                </w:rPr>
                <w:t>Exhibits</w:t>
              </w:r>
            </w:hyperlink>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360" w:type="dxa"/>
            <w:vAlign w:val="bottom"/>
            <w:tcBorders>
              <w:top w:val="single" w:sz="8" w:color="0563C1"/>
            </w:tcBorders>
          </w:tcPr>
          <w:p>
            <w:pPr>
              <w:spacing w:after="0"/>
              <w:rPr>
                <w:sz w:val="18"/>
                <w:szCs w:val="18"/>
                <w:color w:val="auto"/>
              </w:rPr>
            </w:pPr>
          </w:p>
        </w:tc>
        <w:tc>
          <w:tcPr>
            <w:tcW w:w="24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79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CLOVER HEALTH INVESTMENTS, CORP.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CONDENSED CONSOLIDATED BALANCE SHEETS (Unaudited)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amounts)</w:t>
      </w:r>
    </w:p>
    <w:p>
      <w:pPr>
        <w:sectPr>
          <w:pgSz w:w="11900" w:h="16838" w:orient="portrait"/>
          <w:cols w:equalWidth="0" w:num="1">
            <w:col w:w="11240"/>
          </w:cols>
          <w:pgMar w:left="320" w:top="337" w:right="339" w:bottom="578" w:gutter="0" w:footer="0" w:header="0"/>
        </w:sect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investments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Investment securities, available-for sale (Amortized cost: 2021: $1,001; 2020: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Investment securities, held-to-maturity (Fair value: 2021: $0; 2020: $266)</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Accrued retrospective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receivables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Healthcare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assets, current</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Investment securities, available-for sale (Amortized cost: 2021: $35,281; 2020: $53,953)</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Investment securities, held-to-maturity (Fair value: 2021: $703; 2020: $471)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Property and equipment, net</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Goodwill and other intangible assets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Liabilities, convertible preferred stock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Liabilities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Unpaid claims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Accrued salaries and benefits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portion of notes and securities payable</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current liabilities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Notes and securities payable, net of discounts and deferred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Derivative liabilities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Warrants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Long-term operating lease liabilities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liabilities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line="268" w:lineRule="auto"/>
        <w:rPr>
          <w:sz w:val="20"/>
          <w:szCs w:val="20"/>
          <w:color w:val="auto"/>
        </w:rPr>
      </w:pPr>
      <w:r>
        <w:rPr>
          <w:rFonts w:ascii="Arial" w:cs="Arial" w:eastAsia="Arial" w:hAnsi="Arial"/>
          <w:sz w:val="12"/>
          <w:szCs w:val="12"/>
          <w:color w:val="auto"/>
        </w:rPr>
        <w:t>Convertible Preferred stock (Series Seed A, A-1, B, C, and D), $0.0001 par value; 0 and 155,387,025 shares authorized as of March 31, 2021 and December 31, 2020, respectively; 0 and 139,444,346 shares issued and outstanding as of March 31, 2021 and</w:t>
      </w:r>
    </w:p>
    <w:p>
      <w:pPr>
        <w:spacing w:after="0" w:line="1" w:lineRule="exact"/>
        <w:rPr>
          <w:sz w:val="20"/>
          <w:szCs w:val="20"/>
          <w:color w:val="auto"/>
        </w:rPr>
      </w:pPr>
    </w:p>
    <w:p>
      <w:pPr>
        <w:ind w:left="20" w:right="140"/>
        <w:spacing w:after="0" w:line="204" w:lineRule="auto"/>
        <w:rPr>
          <w:sz w:val="20"/>
          <w:szCs w:val="20"/>
          <w:color w:val="auto"/>
        </w:rPr>
      </w:pPr>
      <w:r>
        <w:rPr>
          <w:rFonts w:ascii="Arial" w:cs="Arial" w:eastAsia="Arial" w:hAnsi="Arial"/>
          <w:sz w:val="14"/>
          <w:szCs w:val="14"/>
          <w:color w:val="auto"/>
        </w:rPr>
        <w:t xml:space="preserve">December 31, 2020, respectively; aggregate liquidation preference of $0 and $470,256 as of March 31, 2021 and December 31, 2020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Stockholders' equity</w:t>
      </w:r>
    </w:p>
    <w:p>
      <w:pPr>
        <w:spacing w:after="0" w:line="70" w:lineRule="exact"/>
        <w:rPr>
          <w:sz w:val="20"/>
          <w:szCs w:val="20"/>
          <w:color w:val="auto"/>
        </w:rPr>
      </w:pPr>
    </w:p>
    <w:p>
      <w:pPr>
        <w:ind w:left="180" w:right="140"/>
        <w:spacing w:after="0" w:line="287" w:lineRule="auto"/>
        <w:rPr>
          <w:sz w:val="20"/>
          <w:szCs w:val="20"/>
          <w:color w:val="auto"/>
        </w:rPr>
      </w:pPr>
      <w:r>
        <w:rPr>
          <w:rFonts w:ascii="Arial" w:cs="Arial" w:eastAsia="Arial" w:hAnsi="Arial"/>
          <w:sz w:val="12"/>
          <w:szCs w:val="12"/>
          <w:color w:val="auto"/>
        </w:rPr>
        <w:t>Class A Common Stock, $0.0001 par value; 2,500,000,000 and 0 shares authorized as of March 31, 2021, and December 31, 2020, respectively; 148,279,247 and 0 issued and outstanding as of March 31,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80" w:right="960"/>
        <w:spacing w:after="0" w:line="229" w:lineRule="auto"/>
        <w:rPr>
          <w:sz w:val="20"/>
          <w:szCs w:val="20"/>
          <w:color w:val="auto"/>
        </w:rPr>
      </w:pPr>
      <w:r>
        <w:rPr>
          <w:rFonts w:ascii="Arial" w:cs="Arial" w:eastAsia="Arial" w:hAnsi="Arial"/>
          <w:sz w:val="13"/>
          <w:szCs w:val="13"/>
          <w:color w:val="auto"/>
        </w:rPr>
        <w:t xml:space="preserve">Class B Common Stock, $0.0001 par value; 500,000,000 and 351,572,668 shares authorized; 259,821,838 and 89,206,266 issued and outstanding as of March 31, 2021 and December 31, 2020, respectively </w:t>
      </w:r>
      <w:r>
        <w:rPr>
          <w:rFonts w:ascii="Arial" w:cs="Arial" w:eastAsia="Arial" w:hAnsi="Arial"/>
          <w:sz w:val="17"/>
          <w:szCs w:val="17"/>
          <w:color w:val="auto"/>
          <w:vertAlign w:val="superscript"/>
        </w:rPr>
        <w:t>(1)</w:t>
      </w:r>
    </w:p>
    <w:p>
      <w:pPr>
        <w:ind w:left="180"/>
        <w:spacing w:after="0"/>
        <w:rPr>
          <w:sz w:val="20"/>
          <w:szCs w:val="20"/>
          <w:color w:val="auto"/>
        </w:rPr>
      </w:pPr>
      <w:r>
        <w:rPr>
          <w:rFonts w:ascii="Arial" w:cs="Arial" w:eastAsia="Arial" w:hAnsi="Arial"/>
          <w:sz w:val="14"/>
          <w:szCs w:val="14"/>
          <w:color w:val="auto"/>
        </w:rPr>
        <w:t>Additional paid-in capital</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Accumulated deficit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Clover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Non-controlling interest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liabilities, convertible preferred stock and stockholders' equity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4"/>
        </w:trPr>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404,507</w:t>
            </w:r>
          </w:p>
        </w:tc>
        <w:tc>
          <w:tcPr>
            <w:tcW w:w="2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279,066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54,179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34,829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19,211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11,368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30,225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38,745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21,260</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809,449</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34,798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53,963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695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7,102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7,882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4,233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866,942</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267,252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4"/>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117,582</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103,976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18,320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30,671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10,852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4,841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21,425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20,803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173,025</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24,285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106,413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44,810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62,039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97,782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5,391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6,349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13,267</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278,007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432,698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6"/>
        </w:trPr>
        <w:tc>
          <w:tcPr>
            <w:tcW w:w="20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447,747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1,662,873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411,872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4"/>
                <w:szCs w:val="14"/>
                <w:color w:val="auto"/>
              </w:rPr>
              <w:t>(483 )</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4"/>
                <w:szCs w:val="14"/>
                <w:color w:val="auto"/>
              </w:rPr>
              <w:t>(1,077,399 )</w:t>
            </w: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(1,028,982 )</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585,032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(617,096 )</w:t>
            </w:r>
          </w:p>
        </w:tc>
        <w:tc>
          <w:tcPr>
            <w:tcW w:w="0" w:type="dxa"/>
            <w:vAlign w:val="bottom"/>
          </w:tcPr>
          <w:p>
            <w:pPr>
              <w:spacing w:after="0"/>
              <w:rPr>
                <w:sz w:val="1"/>
                <w:szCs w:val="1"/>
                <w:color w:val="auto"/>
              </w:rPr>
            </w:pPr>
          </w:p>
        </w:tc>
      </w:tr>
      <w:tr>
        <w:trPr>
          <w:trHeight w:val="228"/>
        </w:trPr>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3,903</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588,935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(613,193 )</w:t>
            </w:r>
          </w:p>
        </w:tc>
        <w:tc>
          <w:tcPr>
            <w:tcW w:w="0" w:type="dxa"/>
            <w:vAlign w:val="bottom"/>
          </w:tcPr>
          <w:p>
            <w:pPr>
              <w:spacing w:after="0"/>
              <w:rPr>
                <w:sz w:val="1"/>
                <w:szCs w:val="1"/>
                <w:color w:val="auto"/>
              </w:rPr>
            </w:pPr>
          </w:p>
        </w:tc>
      </w:tr>
      <w:tr>
        <w:trPr>
          <w:trHeight w:val="236"/>
        </w:trPr>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866,942</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267,252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7500" w:space="240"/>
            <w:col w:w="3500"/>
          </w:cols>
          <w:pgMar w:left="320" w:top="337" w:right="339" w:bottom="578" w:gutter="0" w:footer="0" w:header="0"/>
          <w:type w:val="continuous"/>
        </w:sectPr>
      </w:pPr>
    </w:p>
    <w:p>
      <w:pPr>
        <w:ind w:firstLine="8"/>
        <w:spacing w:after="0" w:line="230" w:lineRule="auto"/>
        <w:tabs>
          <w:tab w:leader="none" w:pos="154"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578"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231F20"/>
        </w:rPr>
        <w:t>CLOVER HEALTH INVESTMENTS, CORP.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STATEMENTS OF OPERATIONS AND COMPREHENSIVE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and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7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3"/>
              </w:rPr>
              <w:t>Premiums earned, net (Net of ceded premiums of $124 and $129 for the three months ended March</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31, 2021 and 2020,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199,376</w:t>
            </w:r>
          </w:p>
        </w:tc>
        <w:tc>
          <w:tcPr>
            <w:tcW w:w="3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163,710</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60"/>
              <w:spacing w:after="0" w:line="23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4"/>
                <w:szCs w:val="24"/>
                <w:color w:val="auto"/>
                <w:vertAlign w:val="superscript"/>
              </w:rPr>
              <w:t>(1)</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3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200,325</w:t>
            </w: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165,505</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medical claims incurred</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214,432</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146,328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66,024</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21,484</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38,606</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28,483</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Premium deficiency reserve benefit</w:t>
            </w:r>
          </w:p>
        </w:tc>
        <w:tc>
          <w:tcPr>
            <w:tcW w:w="360" w:type="dxa"/>
            <w:vAlign w:val="bottom"/>
          </w:tcPr>
          <w:p>
            <w:pPr>
              <w:spacing w:after="0"/>
              <w:rPr>
                <w:sz w:val="20"/>
                <w:szCs w:val="20"/>
                <w:color w:val="auto"/>
              </w:rPr>
            </w:pPr>
          </w:p>
        </w:tc>
        <w:tc>
          <w:tcPr>
            <w:tcW w:w="1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(4,282 )</w:t>
            </w: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1"/>
                <w:szCs w:val="2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319,413</w:t>
            </w:r>
          </w:p>
        </w:tc>
        <w:tc>
          <w:tcPr>
            <w:tcW w:w="3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(119,088 )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(26,630 )</w:t>
            </w:r>
          </w:p>
        </w:tc>
      </w:tr>
      <w:tr>
        <w:trPr>
          <w:trHeight w:val="249"/>
        </w:trPr>
        <w:tc>
          <w:tcPr>
            <w:tcW w:w="7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36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(85,506 )</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13,660</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derivative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(14,232 )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(48,417 )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(28,162 )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Per share data:</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Net loss per share attributable to common stockholders – basic and diluted </w:t>
            </w:r>
            <w:r>
              <w:rPr>
                <w:rFonts w:ascii="Arial" w:cs="Arial" w:eastAsia="Arial" w:hAnsi="Arial"/>
                <w:sz w:val="24"/>
                <w:szCs w:val="24"/>
                <w:color w:val="auto"/>
                <w:vertAlign w:val="superscript"/>
              </w:rPr>
              <w:t>(2)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(0.13 )</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(0.32 )</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9"/>
        </w:trPr>
        <w:tc>
          <w:tcPr>
            <w:tcW w:w="7720" w:type="dxa"/>
            <w:vAlign w:val="bottom"/>
            <w:shd w:val="clear" w:color="auto" w:fill="CFF0FC"/>
          </w:tcPr>
          <w:p>
            <w:pPr>
              <w:ind w:left="20"/>
              <w:spacing w:after="0" w:line="200" w:lineRule="exact"/>
              <w:rPr>
                <w:sz w:val="20"/>
                <w:szCs w:val="20"/>
                <w:color w:val="auto"/>
              </w:rPr>
            </w:pPr>
            <w:r>
              <w:rPr>
                <w:rFonts w:ascii="Arial" w:cs="Arial" w:eastAsia="Arial" w:hAnsi="Arial"/>
                <w:sz w:val="18"/>
                <w:szCs w:val="18"/>
                <w:color w:val="auto"/>
              </w:rPr>
              <w:t>Basic and diluted weighted average number of common shares and common share equivalents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66"/>
        </w:trPr>
        <w:tc>
          <w:tcPr>
            <w:tcW w:w="7720" w:type="dxa"/>
            <w:vAlign w:val="bottom"/>
            <w:shd w:val="clear" w:color="auto" w:fill="CFF0FC"/>
          </w:tcPr>
          <w:p>
            <w:pPr>
              <w:ind w:left="20"/>
              <w:spacing w:after="0" w:line="266"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4"/>
                <w:szCs w:val="24"/>
                <w:color w:val="auto"/>
                <w:vertAlign w:val="superscript"/>
              </w:rPr>
              <w:t>(2)</w:t>
            </w: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376,170,545</w:t>
            </w:r>
          </w:p>
        </w:tc>
        <w:tc>
          <w:tcPr>
            <w:tcW w:w="3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88,330,996</w:t>
            </w:r>
          </w:p>
        </w:tc>
        <w:tc>
          <w:tcPr>
            <w:tcW w:w="100" w:type="dxa"/>
            <w:vAlign w:val="bottom"/>
            <w:shd w:val="clear" w:color="auto" w:fill="CFF0FC"/>
          </w:tcPr>
          <w:p>
            <w:pPr>
              <w:spacing w:after="0"/>
              <w:rPr>
                <w:sz w:val="23"/>
                <w:szCs w:val="23"/>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Unrealized (gain) loss on available-for-sale investments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(48,910 )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(26,439 )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-4048125</wp:posOffset>
            </wp:positionV>
            <wp:extent cx="196850" cy="4763"/>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-4048125</wp:posOffset>
            </wp:positionV>
            <wp:extent cx="68580" cy="4763"/>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-2505075</wp:posOffset>
            </wp:positionV>
            <wp:extent cx="196850" cy="4763"/>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-2505075</wp:posOffset>
            </wp:positionV>
            <wp:extent cx="68580" cy="4763"/>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-1579245</wp:posOffset>
            </wp:positionV>
            <wp:extent cx="196850" cy="4763"/>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-1579245</wp:posOffset>
            </wp:positionV>
            <wp:extent cx="68580" cy="4763"/>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-182245</wp:posOffset>
            </wp:positionV>
            <wp:extent cx="196850" cy="4763"/>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4763"/>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177" w:lineRule="exact"/>
        <w:rPr>
          <w:sz w:val="20"/>
          <w:szCs w:val="20"/>
          <w:color w:val="auto"/>
        </w:rPr>
      </w:pPr>
    </w:p>
    <w:p>
      <w:pPr>
        <w:ind w:firstLine="8"/>
        <w:spacing w:after="0" w:line="209" w:lineRule="auto"/>
        <w:tabs>
          <w:tab w:leader="none" w:pos="196"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2021, other income and investment income, net, were combined into a single line item for other income. Prior period balances have been revised to conform to the current period presentation.</w:t>
      </w:r>
    </w:p>
    <w:p>
      <w:pPr>
        <w:spacing w:after="0" w:line="182" w:lineRule="exact"/>
        <w:rPr>
          <w:rFonts w:ascii="Arial" w:cs="Arial" w:eastAsia="Arial" w:hAnsi="Arial"/>
          <w:sz w:val="19"/>
          <w:szCs w:val="19"/>
          <w:color w:val="auto"/>
          <w:vertAlign w:val="superscript"/>
        </w:rPr>
      </w:pPr>
    </w:p>
    <w:p>
      <w:pPr>
        <w:jc w:val="both"/>
        <w:ind w:firstLine="8"/>
        <w:spacing w:after="0" w:line="234" w:lineRule="auto"/>
        <w:tabs>
          <w:tab w:leader="none" w:pos="148"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 Because the Corporation had a net loss in the three months ended March 31, 2021 and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the weighted-average number of common shares outstanding used to calculate both basic and diluted net loss per share attributable to common stockholders for these periods is the same.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130175</wp:posOffset>
            </wp:positionV>
            <wp:extent cx="34290" cy="7023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70231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Noncontrolli</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92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Convertible Preferred</w:t>
            </w:r>
          </w:p>
        </w:tc>
        <w:tc>
          <w:tcPr>
            <w:tcW w:w="13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Class A Common</w:t>
            </w:r>
          </w:p>
        </w:tc>
        <w:tc>
          <w:tcPr>
            <w:tcW w:w="200" w:type="dxa"/>
            <w:vAlign w:val="bottom"/>
          </w:tcPr>
          <w:p>
            <w:pPr>
              <w:spacing w:after="0"/>
              <w:rPr>
                <w:sz w:val="12"/>
                <w:szCs w:val="12"/>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Class B Common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ve</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al paid-in</w:t>
            </w:r>
          </w:p>
        </w:tc>
        <w:tc>
          <w:tcPr>
            <w:tcW w:w="12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ed</w:t>
            </w:r>
          </w:p>
        </w:tc>
        <w:tc>
          <w:tcPr>
            <w:tcW w:w="14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2"/>
                <w:szCs w:val="12"/>
                <w:color w:val="auto"/>
              </w:rPr>
            </w:pPr>
          </w:p>
        </w:tc>
        <w:tc>
          <w:tcPr>
            <w:tcW w:w="6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ng</w:t>
            </w:r>
          </w:p>
        </w:tc>
        <w:tc>
          <w:tcPr>
            <w:tcW w:w="16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rs' equity</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Stock</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9"/>
                <w:szCs w:val="19"/>
                <w:b w:val="1"/>
                <w:bCs w:val="1"/>
                <w:color w:val="auto"/>
                <w:vertAlign w:val="superscript"/>
              </w:rPr>
              <w:t>(1)</w:t>
            </w:r>
          </w:p>
        </w:tc>
        <w:tc>
          <w:tcPr>
            <w:tcW w:w="80" w:type="dxa"/>
            <w:vAlign w:val="bottom"/>
          </w:tcPr>
          <w:p>
            <w:pPr>
              <w:spacing w:after="0"/>
              <w:rPr>
                <w:sz w:val="11"/>
                <w:szCs w:val="11"/>
                <w:color w:val="auto"/>
              </w:rPr>
            </w:pPr>
          </w:p>
        </w:tc>
        <w:tc>
          <w:tcPr>
            <w:tcW w:w="88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4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1"/>
              </w:rPr>
              <w:t>Amoun</w:t>
            </w:r>
          </w:p>
        </w:tc>
        <w:tc>
          <w:tcPr>
            <w:tcW w:w="20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9"/>
              </w:rPr>
              <w:t xml:space="preserve">Shares </w:t>
            </w:r>
            <w:r>
              <w:rPr>
                <w:rFonts w:ascii="Arial" w:cs="Arial" w:eastAsia="Arial" w:hAnsi="Arial"/>
                <w:sz w:val="19"/>
                <w:szCs w:val="19"/>
                <w:b w:val="1"/>
                <w:bCs w:val="1"/>
                <w:color w:val="auto"/>
                <w:w w:val="99"/>
                <w:vertAlign w:val="superscript"/>
              </w:rPr>
              <w:t>(1)</w:t>
            </w:r>
          </w:p>
        </w:tc>
        <w:tc>
          <w:tcPr>
            <w:tcW w:w="4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Amou</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7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80"/>
              <w:spacing w:after="0"/>
              <w:rPr>
                <w:sz w:val="20"/>
                <w:szCs w:val="20"/>
                <w:color w:val="auto"/>
              </w:rPr>
            </w:pPr>
            <w:r>
              <w:rPr>
                <w:rFonts w:ascii="Arial" w:cs="Arial" w:eastAsia="Arial" w:hAnsi="Arial"/>
                <w:sz w:val="14"/>
                <w:szCs w:val="14"/>
                <w:b w:val="1"/>
                <w:bCs w:val="1"/>
                <w:color w:val="auto"/>
              </w:rPr>
              <w:t>t</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nt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3"/>
              </w:rPr>
              <w:t>Balance, December 31, 2019</w:t>
            </w: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139,444,34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447,747</w:t>
            </w:r>
          </w:p>
        </w:tc>
        <w:tc>
          <w:tcPr>
            <w:tcW w:w="260" w:type="dxa"/>
            <w:vAlign w:val="bottom"/>
            <w:tcBorders>
              <w:right w:val="single" w:sz="8" w:color="auto"/>
            </w:tcBorders>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88,279,119</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403,046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(891,633 )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(488,537 )</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w w:val="99"/>
              </w:rPr>
              <w:t>Stock issuance for exercise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Arial" w:cs="Arial" w:eastAsia="Arial" w:hAnsi="Arial"/>
                <w:sz w:val="14"/>
                <w:szCs w:val="14"/>
                <w:color w:val="auto"/>
              </w:rPr>
              <w:t>of stock options,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net of early exercise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liability</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74,587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5"/>
                <w:szCs w:val="15"/>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1,977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40" w:type="dxa"/>
            <w:vAlign w:val="bottom"/>
            <w:shd w:val="clear" w:color="auto" w:fill="CFF0FC"/>
          </w:tcPr>
          <w:p>
            <w:pPr>
              <w:spacing w:after="0"/>
              <w:rPr>
                <w:sz w:val="5"/>
                <w:szCs w:val="5"/>
                <w:color w:val="auto"/>
              </w:rPr>
            </w:pPr>
          </w:p>
        </w:tc>
        <w:tc>
          <w:tcPr>
            <w:tcW w:w="96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80" w:type="dxa"/>
            <w:vAlign w:val="bottom"/>
            <w:tcBorders>
              <w:right w:val="single" w:sz="8" w:color="auto"/>
            </w:tcBorders>
            <w:gridSpan w:val="2"/>
            <w:vMerge w:val="continue"/>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90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40" w:type="dxa"/>
            <w:vAlign w:val="bottom"/>
            <w:gridSpan w:val="2"/>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8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4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w w:val="98"/>
              </w:rPr>
              <w:t>Unrealized holdings gain on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Arial" w:cs="Arial" w:eastAsia="Arial" w:hAnsi="Arial"/>
                <w:sz w:val="14"/>
                <w:szCs w:val="14"/>
                <w:color w:val="auto"/>
              </w:rPr>
              <w:t>investment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securities, available-for-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sale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4"/>
              </w:rPr>
              <w:t>Beneficial conversion feature</w:t>
            </w: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5"/>
                <w:szCs w:val="15"/>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1"/>
        </w:trPr>
        <w:tc>
          <w:tcPr>
            <w:tcW w:w="1740" w:type="dxa"/>
            <w:vAlign w:val="bottom"/>
            <w:shd w:val="clear" w:color="auto" w:fill="CFF0FC"/>
          </w:tcPr>
          <w:p>
            <w:pPr>
              <w:spacing w:after="0"/>
              <w:rPr>
                <w:sz w:val="5"/>
                <w:szCs w:val="5"/>
                <w:color w:val="auto"/>
              </w:rPr>
            </w:pPr>
          </w:p>
        </w:tc>
        <w:tc>
          <w:tcPr>
            <w:tcW w:w="96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80" w:type="dxa"/>
            <w:vAlign w:val="bottom"/>
            <w:tcBorders>
              <w:right w:val="single" w:sz="8" w:color="auto"/>
            </w:tcBorders>
            <w:gridSpan w:val="2"/>
            <w:vMerge w:val="continue"/>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90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00" w:type="dxa"/>
            <w:vAlign w:val="bottom"/>
            <w:gridSpan w:val="2"/>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40" w:type="dxa"/>
            <w:vAlign w:val="bottom"/>
            <w:gridSpan w:val="2"/>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8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4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20"/>
              <w:spacing w:after="0"/>
              <w:rPr>
                <w:sz w:val="20"/>
                <w:szCs w:val="20"/>
                <w:color w:val="auto"/>
              </w:rPr>
            </w:pPr>
            <w:r>
              <w:rPr>
                <w:rFonts w:ascii="Arial" w:cs="Arial" w:eastAsia="Arial" w:hAnsi="Arial"/>
                <w:sz w:val="14"/>
                <w:szCs w:val="14"/>
                <w:color w:val="auto"/>
              </w:rPr>
              <w:t>Interests issued</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vMerge w:val="restart"/>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right w:val="single" w:sz="8" w:color="auto"/>
            </w:tcBorders>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(28,162 )</w:t>
            </w: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(28,162 )</w:t>
            </w:r>
          </w:p>
        </w:tc>
        <w:tc>
          <w:tcPr>
            <w:tcW w:w="0" w:type="dxa"/>
            <w:vAlign w:val="bottom"/>
          </w:tcPr>
          <w:p>
            <w:pPr>
              <w:spacing w:after="0"/>
              <w:rPr>
                <w:sz w:val="1"/>
                <w:szCs w:val="1"/>
                <w:color w:val="auto"/>
              </w:rPr>
            </w:pPr>
          </w:p>
        </w:tc>
      </w:tr>
      <w:tr>
        <w:trPr>
          <w:trHeight w:val="137"/>
        </w:trPr>
        <w:tc>
          <w:tcPr>
            <w:tcW w:w="1740" w:type="dxa"/>
            <w:vAlign w:val="bottom"/>
            <w:tcBorders>
              <w:top w:val="single" w:sz="8" w:color="CFF0FC"/>
            </w:tcBorders>
          </w:tcPr>
          <w:p>
            <w:pPr>
              <w:ind w:left="20"/>
              <w:spacing w:after="0" w:line="137" w:lineRule="exact"/>
              <w:rPr>
                <w:sz w:val="20"/>
                <w:szCs w:val="20"/>
                <w:color w:val="auto"/>
              </w:rPr>
            </w:pPr>
            <w:r>
              <w:rPr>
                <w:rFonts w:ascii="Arial" w:cs="Arial" w:eastAsia="Arial" w:hAnsi="Arial"/>
                <w:sz w:val="14"/>
                <w:szCs w:val="14"/>
                <w:color w:val="auto"/>
              </w:rPr>
              <w:t>Balance, March 31, 2020</w:t>
            </w:r>
          </w:p>
        </w:tc>
        <w:tc>
          <w:tcPr>
            <w:tcW w:w="8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139,444,34</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447,747</w:t>
            </w:r>
          </w:p>
        </w:tc>
        <w:tc>
          <w:tcPr>
            <w:tcW w:w="2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88,353,707</w:t>
            </w:r>
          </w:p>
        </w:tc>
        <w:tc>
          <w:tcPr>
            <w:tcW w:w="1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405,178</w:t>
            </w:r>
          </w:p>
        </w:tc>
        <w:tc>
          <w:tcPr>
            <w:tcW w:w="1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(919,795 )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1,769</w:t>
            </w:r>
          </w:p>
        </w:tc>
        <w:tc>
          <w:tcPr>
            <w:tcW w:w="18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3,903</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(508,941 )</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4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w w:val="93"/>
              </w:rPr>
              <w:t>Balance, December 31, 2020</w:t>
            </w:r>
          </w:p>
        </w:tc>
        <w:tc>
          <w:tcPr>
            <w:tcW w:w="840" w:type="dxa"/>
            <w:vAlign w:val="bottom"/>
            <w:shd w:val="clear" w:color="auto" w:fill="CFF0FC"/>
          </w:tcPr>
          <w:p>
            <w:pPr>
              <w:jc w:val="right"/>
              <w:spacing w:after="0" w:line="124" w:lineRule="exact"/>
              <w:rPr>
                <w:sz w:val="20"/>
                <w:szCs w:val="20"/>
                <w:color w:val="auto"/>
              </w:rPr>
            </w:pPr>
            <w:r>
              <w:rPr>
                <w:rFonts w:ascii="Arial" w:cs="Arial" w:eastAsia="Arial" w:hAnsi="Arial"/>
                <w:sz w:val="14"/>
                <w:szCs w:val="14"/>
                <w:color w:val="auto"/>
              </w:rPr>
              <w:t>139,444,34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4"/>
                <w:szCs w:val="14"/>
                <w:color w:val="auto"/>
                <w:w w:val="97"/>
              </w:rPr>
              <w:t>(1,028,98</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447,747</w:t>
            </w:r>
          </w:p>
        </w:tc>
        <w:tc>
          <w:tcPr>
            <w:tcW w:w="260" w:type="dxa"/>
            <w:vAlign w:val="bottom"/>
            <w:tcBorders>
              <w:right w:val="single" w:sz="8" w:color="auto"/>
            </w:tcBorders>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89,206,266</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411,872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3,903</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(613,193 )</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w w:val="99"/>
              </w:rPr>
              <w:t>Stock issuance for exercise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Arial" w:cs="Arial" w:eastAsia="Arial" w:hAnsi="Arial"/>
                <w:sz w:val="14"/>
                <w:szCs w:val="14"/>
                <w:color w:val="auto"/>
              </w:rPr>
              <w:t>of stock options,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net of early exercise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liability</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761,480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5"/>
                <w:szCs w:val="15"/>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42,713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42,713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40" w:type="dxa"/>
            <w:vAlign w:val="bottom"/>
            <w:shd w:val="clear" w:color="auto" w:fill="CFF0FC"/>
          </w:tcPr>
          <w:p>
            <w:pPr>
              <w:spacing w:after="0"/>
              <w:rPr>
                <w:sz w:val="5"/>
                <w:szCs w:val="5"/>
                <w:color w:val="auto"/>
              </w:rPr>
            </w:pPr>
          </w:p>
        </w:tc>
        <w:tc>
          <w:tcPr>
            <w:tcW w:w="96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80" w:type="dxa"/>
            <w:vAlign w:val="bottom"/>
            <w:tcBorders>
              <w:right w:val="single" w:sz="8" w:color="auto"/>
            </w:tcBorders>
            <w:gridSpan w:val="2"/>
            <w:vMerge w:val="continue"/>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90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40" w:type="dxa"/>
            <w:vAlign w:val="bottom"/>
            <w:gridSpan w:val="2"/>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8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4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w w:val="99"/>
              </w:rPr>
              <w:t>Unrealized holdings loss on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Arial" w:cs="Arial" w:eastAsia="Arial" w:hAnsi="Arial"/>
                <w:sz w:val="14"/>
                <w:szCs w:val="14"/>
                <w:color w:val="auto"/>
              </w:rPr>
              <w:t>investment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securities, available-for-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sale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(493 )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(493 )</w:t>
            </w: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Preferred stock conversion</w:t>
            </w: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(139,444,3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139,444,34</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46 )</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(447,747 )</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14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447,733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447,747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w w:val="92"/>
              </w:rPr>
              <w:t>Common stock issued related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to warrants exercised</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7,205,490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97,781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97,782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7"/>
              </w:rPr>
              <w:t>Convertible debt conversion</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and other issuances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75,084,703</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16,052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w w:val="99"/>
              </w:rPr>
              <w:t>Issuance of Common Stock</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Arial" w:cs="Arial" w:eastAsia="Arial" w:hAnsi="Arial"/>
                <w:sz w:val="14"/>
                <w:szCs w:val="14"/>
                <w:color w:val="auto"/>
                <w:w w:val="98"/>
              </w:rPr>
              <w:t>in connection with Business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20"/>
              <w:spacing w:after="0" w:line="149" w:lineRule="exact"/>
              <w:rPr>
                <w:sz w:val="20"/>
                <w:szCs w:val="20"/>
                <w:color w:val="auto"/>
              </w:rPr>
            </w:pPr>
            <w:r>
              <w:rPr>
                <w:rFonts w:ascii="Arial" w:cs="Arial" w:eastAsia="Arial" w:hAnsi="Arial"/>
                <w:sz w:val="14"/>
                <w:szCs w:val="14"/>
                <w:color w:val="auto"/>
              </w:rPr>
              <w:t>Combination and PIPE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146,373,9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(49,975,10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offering</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76"/>
              </w:rPr>
              <w:t>15</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4 )</w:t>
            </w: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666,227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666,242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Conversion from Class B</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Common Stock to Class A</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1,143,863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(1,143,863 )</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rPr>
              <w:t>Capital contribution for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extinguishment of debt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126,795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126,795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Acquisition of Public and</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(147,58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7"/>
              </w:rPr>
              <w:t>Private Placement Warrants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(147,582 )</w:t>
            </w:r>
          </w:p>
        </w:tc>
        <w:tc>
          <w:tcPr>
            <w:tcW w:w="0" w:type="dxa"/>
            <w:vAlign w:val="bottom"/>
          </w:tcPr>
          <w:p>
            <w:pPr>
              <w:spacing w:after="0"/>
              <w:rPr>
                <w:sz w:val="1"/>
                <w:szCs w:val="1"/>
                <w:color w:val="auto"/>
              </w:rPr>
            </w:pPr>
          </w:p>
        </w:tc>
      </w:tr>
      <w:tr>
        <w:trPr>
          <w:trHeight w:val="182"/>
        </w:trPr>
        <w:tc>
          <w:tcPr>
            <w:tcW w:w="1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vMerge w:val="restart"/>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(48,417 )</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(48,417 )</w:t>
            </w:r>
          </w:p>
        </w:tc>
        <w:tc>
          <w:tcPr>
            <w:tcW w:w="0" w:type="dxa"/>
            <w:vAlign w:val="bottom"/>
          </w:tcPr>
          <w:p>
            <w:pPr>
              <w:spacing w:after="0"/>
              <w:rPr>
                <w:sz w:val="1"/>
                <w:szCs w:val="1"/>
                <w:color w:val="auto"/>
              </w:rPr>
            </w:pPr>
          </w:p>
        </w:tc>
      </w:tr>
      <w:tr>
        <w:trPr>
          <w:trHeight w:val="47"/>
        </w:trPr>
        <w:tc>
          <w:tcPr>
            <w:tcW w:w="17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74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Balance, March 31, 2021</w:t>
            </w: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148,279,2</w:t>
            </w:r>
          </w:p>
        </w:tc>
        <w:tc>
          <w:tcPr>
            <w:tcW w:w="1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259,821,83</w:t>
            </w:r>
          </w:p>
        </w:tc>
        <w:tc>
          <w:tcPr>
            <w:tcW w:w="10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1,662,8</w:t>
            </w: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w w:val="97"/>
              </w:rPr>
              <w:t>(1,077,39</w:t>
            </w:r>
          </w:p>
        </w:tc>
        <w:tc>
          <w:tcPr>
            <w:tcW w:w="16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7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76"/>
              </w:rPr>
              <w:t>15</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26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(483 )</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3,903</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588,935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-3491230</wp:posOffset>
            </wp:positionV>
            <wp:extent cx="77470" cy="4763"/>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4763"/>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-3655060</wp:posOffset>
            </wp:positionV>
            <wp:extent cx="4980305"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80305" cy="41148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-24765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-397510</wp:posOffset>
            </wp:positionV>
            <wp:extent cx="132715" cy="410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2715" cy="41084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120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102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102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102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102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firstLine="8"/>
        <w:spacing w:after="0" w:line="230" w:lineRule="auto"/>
        <w:tabs>
          <w:tab w:leader="none" w:pos="154"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ind w:left="2580" w:right="2540"/>
        <w:spacing w:after="0" w:line="263" w:lineRule="auto"/>
        <w:rPr>
          <w:sz w:val="20"/>
          <w:szCs w:val="20"/>
          <w:color w:val="auto"/>
        </w:rPr>
      </w:pPr>
      <w:r>
        <w:rPr>
          <w:rFonts w:ascii="Arial" w:cs="Arial" w:eastAsia="Arial" w:hAnsi="Arial"/>
          <w:sz w:val="18"/>
          <w:szCs w:val="18"/>
          <w:color w:val="auto"/>
        </w:rPr>
        <w:t>CLOVER HEALTH INVESTMENTS, CORP. AND SUBSIDIARIES CONDENSED CONSOLIDATED STATEMENTS OF CASH FLOWS (Unaudited) (Dollars in thousands)</w:t>
      </w:r>
    </w:p>
    <w:p>
      <w:pPr>
        <w:sectPr>
          <w:pgSz w:w="11900" w:h="16838" w:orient="portrait"/>
          <w:cols w:equalWidth="0" w:num="1">
            <w:col w:w="11180"/>
          </w:cols>
          <w:pgMar w:left="340" w:top="3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loss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 expense</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notes and securities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 expense</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Paid in 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fair value of warrants payable</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Accretion, net of amortization</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realized losses (gains) on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warrants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operating assets and liabilities: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Accrued retrospective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receivables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Healthcare receivables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Unpaid claims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Accrued salaries and benefits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Premium deficiency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liabilities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operating activities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Purchases of available-for-sale securities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sales of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maturities of available-for-sale securities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provided by investing activities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 of notes payable principal</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Issuance of common stock, net of early exercise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reverse capitalization, net of transaction costs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 of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financing activities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Supplemental cash flow disclosures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Cash paid during the period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60" w:right="2920" w:hanging="166"/>
        <w:spacing w:after="0" w:line="362" w:lineRule="auto"/>
        <w:rPr>
          <w:sz w:val="20"/>
          <w:szCs w:val="20"/>
          <w:color w:val="auto"/>
        </w:rPr>
      </w:pPr>
      <w:r>
        <w:rPr>
          <w:rFonts w:ascii="Arial" w:cs="Arial" w:eastAsia="Arial" w:hAnsi="Arial"/>
          <w:sz w:val="14"/>
          <w:szCs w:val="14"/>
          <w:color w:val="auto"/>
        </w:rPr>
        <w:t>Supplemental disclosure of non-cash investing and financing activities Conversion of preferred stock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Issuance of common stock related to convertible debt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Capital contribution for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Issuance of common stock related to warrants exercised</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Acquisition of Public and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Right-of-use assets obtained in exchange for lease liabilities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Three Months Ended</w:t>
      </w:r>
    </w:p>
    <w:p>
      <w:pPr>
        <w:spacing w:after="0" w:line="8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1685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481"/>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(48,417 )</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(28,162 )</w:t>
            </w:r>
          </w:p>
        </w:tc>
      </w:tr>
      <w:tr>
        <w:trPr>
          <w:trHeight w:val="486"/>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w:t>
            </w:r>
          </w:p>
        </w:tc>
        <w:tc>
          <w:tcPr>
            <w:tcW w:w="60" w:type="dxa"/>
            <w:vAlign w:val="bottom"/>
          </w:tcPr>
          <w:p>
            <w:pPr>
              <w:spacing w:after="0"/>
              <w:rPr>
                <w:sz w:val="24"/>
                <w:szCs w:val="24"/>
                <w:color w:val="auto"/>
              </w:rPr>
            </w:pP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13,654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5,678</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42,713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1,977</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5,001</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(85,543 )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2,173</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(14,232 )</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(369 )</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(35 )</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21"/>
                <w:szCs w:val="21"/>
                <w:color w:val="auto"/>
              </w:rPr>
            </w:pPr>
          </w:p>
        </w:tc>
      </w:tr>
      <w:tr>
        <w:trPr>
          <w:trHeight w:val="486"/>
        </w:trPr>
        <w:tc>
          <w:tcPr>
            <w:tcW w:w="36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(19,350 )</w:t>
            </w:r>
          </w:p>
        </w:tc>
        <w:tc>
          <w:tcPr>
            <w:tcW w:w="3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(14,344 )</w:t>
            </w:r>
          </w:p>
        </w:tc>
      </w:tr>
      <w:tr>
        <w:trPr>
          <w:trHeight w:val="243"/>
        </w:trPr>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(7,843 )</w:t>
            </w: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(865 )</w:t>
            </w:r>
          </w:p>
        </w:tc>
      </w:tr>
      <w:tr>
        <w:trPr>
          <w:trHeight w:val="243"/>
        </w:trPr>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(12,931 )</w:t>
            </w: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(591 )</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8,520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762</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797</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13,606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12,467</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(4,502 )</w:t>
            </w: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(4,820 )</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6,874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271</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(4,282 )</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2,066</w:t>
            </w:r>
          </w:p>
        </w:tc>
        <w:tc>
          <w:tcPr>
            <w:tcW w:w="60" w:type="dxa"/>
            <w:vAlign w:val="bottom"/>
          </w:tcPr>
          <w:p>
            <w:pPr>
              <w:spacing w:after="0"/>
              <w:rPr>
                <w:sz w:val="21"/>
                <w:szCs w:val="21"/>
                <w:color w:val="auto"/>
              </w:rPr>
            </w:pPr>
          </w:p>
        </w:tc>
      </w:tr>
      <w:tr>
        <w:trPr>
          <w:trHeight w:val="228"/>
        </w:trPr>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(1,013 )</w:t>
            </w:r>
          </w:p>
        </w:tc>
        <w:tc>
          <w:tcPr>
            <w:tcW w:w="3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(888 )</w:t>
            </w:r>
          </w:p>
        </w:tc>
      </w:tr>
      <w:tr>
        <w:trPr>
          <w:trHeight w:val="20"/>
        </w:trPr>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(92,869 )</w:t>
            </w:r>
          </w:p>
        </w:tc>
        <w:tc>
          <w:tcPr>
            <w:tcW w:w="3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(37,176 )</w:t>
            </w:r>
          </w:p>
        </w:tc>
      </w:tr>
      <w:tr>
        <w:trPr>
          <w:trHeight w:val="20"/>
        </w:trPr>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1"/>
        </w:trPr>
        <w:tc>
          <w:tcPr>
            <w:tcW w:w="36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(274,909 )</w:t>
            </w:r>
          </w:p>
        </w:tc>
        <w:tc>
          <w:tcPr>
            <w:tcW w:w="3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(19,326 )</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17,267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69,977</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32,101</w:t>
            </w:r>
          </w:p>
        </w:tc>
        <w:tc>
          <w:tcPr>
            <w:tcW w:w="60" w:type="dxa"/>
            <w:vAlign w:val="bottom"/>
          </w:tcPr>
          <w:p>
            <w:pPr>
              <w:spacing w:after="0"/>
              <w:rPr>
                <w:sz w:val="21"/>
                <w:szCs w:val="21"/>
                <w:color w:val="auto"/>
              </w:rPr>
            </w:pPr>
          </w:p>
        </w:tc>
      </w:tr>
      <w:tr>
        <w:trPr>
          <w:trHeight w:val="228"/>
        </w:trPr>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(99 )</w:t>
            </w:r>
          </w:p>
        </w:tc>
        <w:tc>
          <w:tcPr>
            <w:tcW w:w="3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(242 )</w:t>
            </w:r>
          </w:p>
        </w:tc>
      </w:tr>
      <w:tr>
        <w:trPr>
          <w:trHeight w:val="20"/>
        </w:trPr>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(257,476 )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82,510</w:t>
            </w:r>
          </w:p>
        </w:tc>
        <w:tc>
          <w:tcPr>
            <w:tcW w:w="60" w:type="dxa"/>
            <w:vAlign w:val="bottom"/>
          </w:tcPr>
          <w:p>
            <w:pPr>
              <w:spacing w:after="0"/>
              <w:rPr>
                <w:sz w:val="19"/>
                <w:szCs w:val="19"/>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1"/>
        </w:trPr>
        <w:tc>
          <w:tcPr>
            <w:tcW w:w="36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(5,020 )</w:t>
            </w:r>
          </w:p>
        </w:tc>
        <w:tc>
          <w:tcPr>
            <w:tcW w:w="3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(4,496 )</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1,282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w:t>
            </w: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666,242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28"/>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3,903</w:t>
            </w:r>
          </w:p>
        </w:tc>
        <w:tc>
          <w:tcPr>
            <w:tcW w:w="6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662,504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(438 )</w:t>
            </w:r>
          </w:p>
        </w:tc>
      </w:tr>
      <w:tr>
        <w:trPr>
          <w:trHeight w:val="238"/>
        </w:trPr>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312,159</w:t>
            </w: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44,896</w:t>
            </w:r>
          </w:p>
        </w:tc>
        <w:tc>
          <w:tcPr>
            <w:tcW w:w="60" w:type="dxa"/>
            <w:vAlign w:val="bottom"/>
          </w:tcPr>
          <w:p>
            <w:pPr>
              <w:spacing w:after="0"/>
              <w:rPr>
                <w:sz w:val="20"/>
                <w:szCs w:val="20"/>
                <w:color w:val="auto"/>
              </w:rPr>
            </w:pPr>
          </w:p>
        </w:tc>
      </w:tr>
      <w:tr>
        <w:trPr>
          <w:trHeight w:val="228"/>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92,348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67,598</w:t>
            </w:r>
          </w:p>
        </w:tc>
        <w:tc>
          <w:tcPr>
            <w:tcW w:w="60" w:type="dxa"/>
            <w:vAlign w:val="bottom"/>
          </w:tcPr>
          <w:p>
            <w:pPr>
              <w:spacing w:after="0"/>
              <w:rPr>
                <w:sz w:val="19"/>
                <w:szCs w:val="19"/>
                <w:color w:val="auto"/>
              </w:rPr>
            </w:pPr>
          </w:p>
        </w:tc>
      </w:tr>
      <w:tr>
        <w:trPr>
          <w:trHeight w:val="236"/>
        </w:trPr>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404,507</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112,494</w:t>
            </w:r>
          </w:p>
        </w:tc>
        <w:tc>
          <w:tcPr>
            <w:tcW w:w="60" w:type="dxa"/>
            <w:vAlign w:val="bottom"/>
          </w:tcPr>
          <w:p>
            <w:pPr>
              <w:spacing w:after="0"/>
              <w:rPr>
                <w:sz w:val="20"/>
                <w:szCs w:val="20"/>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8"/>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812</w:t>
            </w:r>
          </w:p>
        </w:tc>
        <w:tc>
          <w:tcPr>
            <w:tcW w:w="28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1,306</w:t>
            </w:r>
          </w:p>
        </w:tc>
        <w:tc>
          <w:tcPr>
            <w:tcW w:w="60" w:type="dxa"/>
            <w:vAlign w:val="bottom"/>
          </w:tcPr>
          <w:p>
            <w:pPr>
              <w:spacing w:after="0"/>
              <w:rPr>
                <w:sz w:val="24"/>
                <w:szCs w:val="24"/>
                <w:color w:val="auto"/>
              </w:rPr>
            </w:pPr>
          </w:p>
        </w:tc>
      </w:tr>
      <w:tr>
        <w:trPr>
          <w:trHeight w:val="486"/>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447,747</w:t>
            </w:r>
          </w:p>
        </w:tc>
        <w:tc>
          <w:tcPr>
            <w:tcW w:w="28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43"/>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16,059</w:t>
            </w:r>
          </w:p>
        </w:tc>
        <w:tc>
          <w:tcPr>
            <w:tcW w:w="28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43"/>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126,795</w:t>
            </w:r>
          </w:p>
        </w:tc>
        <w:tc>
          <w:tcPr>
            <w:tcW w:w="28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43"/>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97,782</w:t>
            </w:r>
          </w:p>
        </w:tc>
        <w:tc>
          <w:tcPr>
            <w:tcW w:w="28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43"/>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147,582</w:t>
            </w:r>
          </w:p>
        </w:tc>
        <w:tc>
          <w:tcPr>
            <w:tcW w:w="28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43"/>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101</w:t>
            </w:r>
          </w:p>
        </w:tc>
        <w:tc>
          <w:tcPr>
            <w:tcW w:w="28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2">
            <w:col w:w="6980" w:space="720"/>
            <w:col w:w="3480"/>
          </w:cols>
          <w:pgMar w:left="340" w:top="341" w:right="379" w:bottom="1440" w:gutter="0" w:footer="0" w:header="0"/>
          <w:type w:val="continuous"/>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41"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CLOVER HEALTH INVESTMENTS,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Clover Health Investments, Corp. (collectively with its affiliates and subsidiaries, "Clover" or the "Corporation") is singularly focused on creating great, sustainable healthcare to improve every life. Clover has centered its strategy on building and deploying technology that it believes will enable it to solve a significant data problem while avoiding the limitations of legacy approaches. Clover leverages its flagship software platform, the Clover Assistant, to help America’s seniors receive better care at lower costs.</w:t>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Corporation's PPO and HMO health plans, respectively. On April 8, 2021, the Centers for Medicare and Medicaid Services ("CMS"), an agency of the United States Department of Health and Human Services, announced that the Corporation's subsidiary Clover Health Partners, LLC, began participating as a Direct Contracting Entity in the CMS's Global and Professional Direct Contracting Model on April 1, 2021.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Clover's approach is to combine technology, data analytics and preventive care to lower costs and increase the quality of health and life of Medicare beneficiaries. Clover's technology platform uses machine learning-powered systems to deliver data and insights to physicians at the point of care in order to improve outcomes for beneficiaries and drive down costs. Clover's MA plans generally provide access to a wide network of primary care physicians, specialists, and hospitals, enabling its members to see any doctor participating in Medicare willing to accept them. Clover focuses on minimizing members' out-of-pocket costs and offers many plans that allow members to pay the same co-pays for physician visits regardless of whether their physician is in- or out-of-network. Clover's Direct Contracting Entity, which assumes full risk (i.e., 100% shared savings and shared losses) for the total cost of care of aligned Original Medicare beneficiaries, also focuses on its technology platform to enhance health care delivery, reduce expenditures, and improve care for Original Medicare beneficiaries.</w:t>
      </w:r>
    </w:p>
    <w:p>
      <w:pPr>
        <w:spacing w:after="0" w:line="200" w:lineRule="exact"/>
        <w:rPr>
          <w:sz w:val="20"/>
          <w:szCs w:val="20"/>
          <w:color w:val="auto"/>
        </w:rPr>
      </w:pP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Clover was originally incorporated as a Cayman Islands exempted company on October 18, 2020, as a special purpose acquisition company ("SPAC") under the name Social Capital Hedosophia Holdings Corp. III ("SCH"). On October 5, 2020, SCH entered into a Merger Agreement (the "Merger Agreement") with Clover Health Investments, Inc., a corporation originally incorporated on July 17, 2014, in the state of Delaware ("Legacy Clover"). Pursuant to the Merger Agreement, and a favorable vote of SCH's stockholders on January 6, 2021, Asclepius Merger Sub Inc., a Delaware corporation and a newly formed, wholly owned subsidiary of SCH ("Merger Sub"), was merged with and into Legacy Clover. Upon consummation of the business combination, the separate corporate existence of Merger Sub ceased, the Corporation survived and merged with and into SCH, with SCH as the surviving corporation, and SCH was redomesticated as a Delaware corporation and renamed Clover Health Investments, Corp. (the "Business Combination"). The Business Combination is accounted for as a reverse recapitalization in accordance with generally accepted accounting principles in the United States ("U.S. GAAP"). Under the guidance in Accounting Standards Codification ("ASC") 805, Legacy Clover is treated as the "acquirer" for financial reporting purposes.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 As a result of the Business Combination, there were simultaneous changes to Legacy Clover's convertible securities, warrants, and convertible preferred stock. See Note 9, "Notes and securities payable," Note 10, "Warrants payable," and Note 14, "Convertible preferred stock" for additional information regarding these changes. See also Note 3, "Business combination" for additional information related to the Business Combination.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Corporation's interim Condensed Consolidated Financial Statements have been prepared in conformity with U.S. GAAP and include the accounts of the Corporation and its wholly owned subsidiaries. In the opinion of management, the Corporation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These interim Condensed Consolidated Financial Statements should be read in conjunction with the audited Consolidated Financial Statements as of and for the years ended December 31, 2020 and 2019 included in Exhibit 99.5 of Amendment No. 1 to the Current Report on Form 8-K (the "Form 8-K/A") filed with the Securities and Exchange Commission ("SEC") on April 1, 2021.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opinion of the Corporation,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equity (deficit) and cash flows. The Condensed Consolidated Balance Sheet at December 31, 2020, was derived from the Corporation's Audited Annual Financial Statements but does not contain all of the footnote disclosures from the annual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amounts reported in the Condensed Consolidated Financial Statements and accompanying notes.</w:t>
      </w:r>
    </w:p>
    <w:p>
      <w:pPr>
        <w:spacing w:after="0" w:line="3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areas involving the most significant use of estimates are the amounts of incurred but not reported ("IBNR")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risk adjustment provisions related to Medicare contracts and the valuation of the Corporation's investment securities, goodwill and other intangible assets, warrants, the embedded derivative related to the convertible securities, stock-based compensation, recoveries from third parties for coordination of benefits, and final determination of medical cost adjustment pools.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 - Cloud Computing Arrangements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Corporation's cloud computing arrangements primarily comprise hosting arrangements which are service contracts, whereby the Corporation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 in other assets, and are generally amortized over the fixed, non-cancelable term of the associated hosting arrangement on a straight-line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Acquisition costs directly related to the successful acquisition of new business, which is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 March 31, 2021, deferred acquisition costs net of accumulated amortization had a balance of $5.7 million. For the three months ended March 31, 2021, amortization of deferred acquisition costs of $1.8 million were recognized in general and administrative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To the extent that a premium deficiency is identified after writing down unamortized deferred acquisition costs, a liability for premium deficiency reserve is established and reported on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societal and economic impact of the novel coronavirus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currently qualifies as an "emerging growth company" under the Jumpstart Our Business Startups Act of 2012 (the "JOBS Act"). Accordingly, the Corporation has the option to adopt new or revised accounting guidance either (i) within the same periods as those otherwise applicable to non-emerging growth companies or (ii) within the same time periods applicable to private companies. 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(the "FASB") issued Accounting Standard Update ("ASU") 2018-13, </w:t>
      </w:r>
      <w:r>
        <w:rPr>
          <w:rFonts w:ascii="Arial" w:cs="Arial" w:eastAsia="Arial" w:hAnsi="Arial"/>
          <w:sz w:val="18"/>
          <w:szCs w:val="18"/>
          <w:i w:val="1"/>
          <w:iCs w:val="1"/>
          <w:color w:val="auto"/>
        </w:rPr>
        <w:t>Changes to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Measurements</w:t>
      </w:r>
      <w:r>
        <w:rPr>
          <w:rFonts w:ascii="Arial" w:cs="Arial" w:eastAsia="Arial" w:hAnsi="Arial"/>
          <w:sz w:val="18"/>
          <w:szCs w:val="18"/>
          <w:color w:val="auto"/>
        </w:rPr>
        <w:t>, the purpose of which is to improve the effectiveness of disclosure requirements for recurring and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The standard removes, modifies, and adds certain disclosure requirements and is in effect for all entities in fiscal years beginning after December 15, 2019. This standard became effective for the Corporation on January 1, 2020 and did not have a material impact on the Corporation's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(Topic 350) – Internal Use Software: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w:t>
      </w:r>
      <w:r>
        <w:rPr>
          <w:rFonts w:ascii="Arial" w:cs="Arial" w:eastAsia="Arial" w:hAnsi="Arial"/>
          <w:sz w:val="16"/>
          <w:szCs w:val="16"/>
          <w:color w:val="auto"/>
        </w:rPr>
        <w:t>. This update changes the accounting guidance for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computing arrangements. If a cloud computing arrangement includes a license to internal-use software, the software license is accounted for by the customer by recognizing an intangible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adopted ASU 2018-15 on January 1, 2021 on a prospective basis. The Corporation's cloud computing arrangements relate to the set-up of various platforms, including but not limited to clinical data repositories and other system integrations. The capitalized implementation costs are presented in the Condensed Consolidated Balance Sheet in other assets, current and are amortized on a straight-line basis over the term of the underlying cloud computing hosting contract, which is the noncancelable term of the arrangement plus any reasonably certain renewal periods. As of March 31, 2021, $0.9 million was recorded in other assets, current, as deferred implementation costs. No amortization expense associated with the Corporation's cloud computing arrangements has been recognized during the three months ended March 31, 2021. No impairment has been recognized during the three months ended March 31, 2021, as there were no events or changes in circumstances to indicate that the carrying amount of the Corporation's cloud computing arrangements may not be recoverable.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which was subsequently modified by several ASUs issued in 2018 and 2019. This standard introduces a new current expected credit loss ("CECL")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and public entities beginning after December 15, 2019. Early adoption is permitted. The Corporation has evaluated the impact of ASU 2016-13 on the Condensed Consolidated Financial Statements and determined the impact to be immaterial.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and public entities beginning after December 15, 2019. Early adoption is permitted for interim or annual goodwill impairment tests performed on testing dates after January 1, 2017. The Corporation is currently evaluating the impact of the adoption of ASU 2017-04 on the Condensed Consolidated Financial Statements, but does not expect for this to have a material impact on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and public entities beginning after December 15, 2020. Early adoption is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ASU 2019-12 on the Condensed Consolidated Financial Statements, but does not expect for this to have a material impact on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and public entities beginning after December 15,</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2021. The Corporation is currently evaluating the impact of the adoption of ASU 2020-06 on the Condensed Consolidated Financial Statements, but does not expect for this to have a material impact on the Condensed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5, 2020, Legacy Clover entered into a Merger Agreement with SCH, a SPAC, and Merger Sub. On January 7, 2021, as contemplated by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Merger Agreement and following approval by SCH's shareholders at an extraordinary general meeting held January 6, 2021 (the "Special Meeting"):</w:t>
      </w:r>
    </w:p>
    <w:p>
      <w:pPr>
        <w:spacing w:after="0" w:line="222" w:lineRule="exact"/>
        <w:rPr>
          <w:sz w:val="20"/>
          <w:szCs w:val="20"/>
          <w:color w:val="auto"/>
        </w:rPr>
      </w:pPr>
    </w:p>
    <w:p>
      <w:pPr>
        <w:ind w:left="1300" w:right="160"/>
        <w:spacing w:after="0" w:line="286" w:lineRule="auto"/>
        <w:rPr>
          <w:sz w:val="20"/>
          <w:szCs w:val="20"/>
          <w:color w:val="auto"/>
        </w:rPr>
      </w:pPr>
      <w:r>
        <w:rPr>
          <w:rFonts w:ascii="Arial" w:cs="Arial" w:eastAsia="Arial" w:hAnsi="Arial"/>
          <w:sz w:val="17"/>
          <w:szCs w:val="17"/>
          <w:color w:val="auto"/>
        </w:rPr>
        <w:t>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continued as a Delaware corporation (the "Domestication"); and</w:t>
      </w:r>
    </w:p>
    <w:p>
      <w:pPr>
        <w:spacing w:after="0" w:line="165" w:lineRule="exact"/>
        <w:rPr>
          <w:sz w:val="20"/>
          <w:szCs w:val="20"/>
          <w:color w:val="auto"/>
        </w:rPr>
      </w:pPr>
    </w:p>
    <w:p>
      <w:pPr>
        <w:ind w:left="1300" w:right="100"/>
        <w:spacing w:after="0" w:line="286" w:lineRule="auto"/>
        <w:rPr>
          <w:sz w:val="20"/>
          <w:szCs w:val="20"/>
          <w:color w:val="auto"/>
        </w:rPr>
      </w:pPr>
      <w:r>
        <w:rPr>
          <w:rFonts w:ascii="Arial" w:cs="Arial" w:eastAsia="Arial" w:hAnsi="Arial"/>
          <w:sz w:val="16"/>
          <w:szCs w:val="16"/>
          <w:color w:val="auto"/>
        </w:rPr>
        <w:t>Merger Sub merged with and into Legacy Clover, the separate corporate existence of Merger Sub ceased and Legacy Clover became the surviving corporation and a wholly owned subsidiary of SCH (the "First Merger") and Legacy Clover merged with and into SCH, the separate corporate existence of Legacy Clover ceased and SCH became the surviving corporation, changing its name to "Clover Health Investments, Corp." (together with the First Merger, the "Mergers", and collectively with the Domestication, the Business Combination).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7"/>
          <w:szCs w:val="17"/>
          <w:color w:val="auto"/>
        </w:rPr>
        <w:t>As a result of the Mergers, among other things, (i) all outstanding shares of common stock of Legacy Clover immediately prior to the effective time of the First Merger were cancelled in exchange for the right to receive, at the election of the holders thereof (except with respect to the shares held by entities controlled by Vivek Garipalli and the holders of convertible securities previously issued by Legacy Clover to certain holders who received only shares of Class B Common Stock, par value $0.0001 per share, of Clover ("Class B Common Stock"), which are entitled to 10 votes per share), an amount in cash, shares of Class B Common Stock, or a combination thereof, as adjusted in accordance with the Merger Agreement, which equaled in the aggregate $499.8 million in cash and 260,965,701 shares of Class B Common Stock (at a deemed value of $10.00 per share); (ii) shares of Legacy Clover held by entities controlled by Vivek Garipalli and the holders of the convertible securities immediately prior to the effective time of the First Merger were cancelled in exchange for the right to receive shares of Class B Common Stock based on an Exchange Ratio (as defined in the Merger Agreement) of approximately 2.0681; and (iii) all shares of common stock of Legacy Clover reserved in respect of Legacy Clover stock options and restricted stock units ("RSUs") outstanding as of immediately prior to the effective time of the First Merger, were converted, based on the Exchange Ratio, into awards based on shares of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consummation of the Business Combination (the "Closing"), (i) each issued and outstanding Class A ordinary share, par value $0.0001 per share, of SCH ("SCH Class A ordinary shares") converted automatically, on a one-for-one basis, into a share of Class A Common Stock, par value $0.0001 per share, of Clover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has not been previously separated into the underlying Class A ordinary share and underlying warrant of SCH upon the request of the holder thereof, was cancelled and the holder thereof is entitled to one share of Class A Common Stock and one-third of one Warrant. As of January 7, 2021, there were public Warrants outstanding to purchase an aggregate of 27,599,938 shares of Class A Common Stock (the "Public Warrants") and private placement Warrants outstanding to purchase an aggregate of 10,933,333 shares of Class A Common Stock (the "Private Placement Warrants"). Each whole Warrant entitles the registered holder to purchase one whole share of Class A Common Stock at a price of $11.50 per share, subject to adjustment at any time commencing on April 24, 2021, which is 12 months from the closing of SCH's initial public offering.</w:t>
      </w:r>
    </w:p>
    <w:p>
      <w:pPr>
        <w:spacing w:after="0" w:line="18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subscription agreements (the "Subscription Agreements") entered into on October 5, 2020, by and among SCH and certain investors (collectively, the "PIPE Investors"), Clover issued and sold to the PIPE Investors (substantially concurrently with the consummation of the Mergers) an aggregate of 40,000,000 shares of Class A Common Stock for an aggregate purchase price equal to $400.0 million (the "PIPE Investment"), of which 15,200,000 shares were purchased by affiliates of SCH Sponsor III LLC (the "Sponsor", and collectively, the "Sponsor Related PIPE Investors").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Combination and PIPE Investment were approved by the SCH shareholders at the "Special Meeting". Prior to and in connection with the Special Meeting, holders of 24,892 shares of SCH Class A ordinary shares (including those that underlie the SCH units) that were registered pursuant to the Registration Statements on Form S-1 (333-236776 and 333-237777) and the shares of Class A Common Stock issued as a matter of law upon the conversion thereof on the effective date of the Domestication (the "Public Shares") exercised their right to redeem those shares for cash at a price of $10.00 per share, for an aggregate of $0.2 million. The per share redemption price of $10.00 for public shareholders electing redemption was paid out of the SCH Trust Account, which after taking into account the redemptions, had a balance immediately prior to the Closing of $827.9 million, which cash balance was used to pay the $499.8 million cash component of the merger consideration.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after giving effect to the Business Combination and the PIPE Investment, there were 143,475,108 shares of Class A Common Stock, 260,965,701 shares of Class B Common Stock and 38,533,271 Warrants outstanding, equaling 404,440,809 total shares of common stock outstanding and 38,533,271 Warrants outstanding.</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Corporation is authorized to issue 25,000,000 shares of preferred stock having a par value of $0.0001 per share, and the Corporation's board of directors has the authority to determine the rights, preferences, privileges and restrictions, including voting rights, of those shares. As of March 31, 2021, there were no shares of preferred stock issued and outstanding.</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the guidance in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 The Business Combination will have a significant impact on the Corporation's future reported financial position and results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spacing w:after="0" w:line="296" w:lineRule="auto"/>
        <w:rPr>
          <w:sz w:val="20"/>
          <w:szCs w:val="20"/>
          <w:color w:val="auto"/>
        </w:rPr>
      </w:pPr>
      <w:r>
        <w:rPr>
          <w:rFonts w:ascii="Arial" w:cs="Arial" w:eastAsia="Arial" w:hAnsi="Arial"/>
          <w:sz w:val="16"/>
          <w:szCs w:val="16"/>
          <w:color w:val="auto"/>
        </w:rPr>
        <w:t>as a consequence of the reverse recapitalization. The most significant change in Clover's future reported financial position and results is an estimated net increase in cash (as compared to the Corporation's consolidated balance sheet at December 31, 2020) of approximately $670.0 million. The redemption included approximately $400.0 million in proceeds from the PIPE Investment that was consummated substantially simultaneously with the Business Combination, offset by additional transaction costs incurred in connection with the Business Combination. The estimated transaction costs for the Business Combination were approximately $61.0 million, of which $29.0 million represents deferred underwriter fees related to SCH's initial public offering.</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transaction closed on January 7, 2021, and on the following day the Corporation's Class A Common Stock and Public Warrants were listed on the Nasdaq Global Select Market ("Nasdaq") under the symbols "CLOV" and "CLOVW", respectively, for trading in the public market.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also Note 9, "Notes and securities payable," Note 10, "Warrants payable," and Note 14, "Convertible preferred stock" for additional information regarding changes to the instruments as a result of the Business Combination.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cost or amortized cost and fair values of investments as of March 31, 2021 and December 31, 2020, respectively:</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8"/>
              </w:rPr>
              <w:t>Amortized cost</w:t>
            </w:r>
          </w:p>
        </w:tc>
        <w:tc>
          <w:tcPr>
            <w:tcW w:w="2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Gross unrealized</w:t>
            </w:r>
          </w:p>
        </w:tc>
        <w:tc>
          <w:tcPr>
            <w:tcW w:w="240" w:type="dxa"/>
            <w:vAlign w:val="bottom"/>
          </w:tcPr>
          <w:p>
            <w:pPr>
              <w:spacing w:after="0"/>
              <w:rPr>
                <w:sz w:val="14"/>
                <w:szCs w:val="14"/>
                <w:color w:val="auto"/>
              </w:rPr>
            </w:pPr>
          </w:p>
        </w:tc>
        <w:tc>
          <w:tcPr>
            <w:tcW w:w="138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Gross unrealized</w:t>
            </w:r>
          </w:p>
        </w:tc>
        <w:tc>
          <w:tcPr>
            <w:tcW w:w="160" w:type="dxa"/>
            <w:vAlign w:val="bottom"/>
          </w:tcPr>
          <w:p>
            <w:pPr>
              <w:spacing w:after="0"/>
              <w:rPr>
                <w:sz w:val="14"/>
                <w:szCs w:val="14"/>
                <w:color w:val="auto"/>
              </w:rPr>
            </w:pPr>
          </w:p>
        </w:tc>
        <w:tc>
          <w:tcPr>
            <w:tcW w:w="9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77"/>
              </w:rPr>
              <w:t>losses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U.S. government and government agencies and authorities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695</w:t>
            </w:r>
          </w:p>
        </w:tc>
        <w:tc>
          <w:tcPr>
            <w:tcW w:w="5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(13 )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26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(506 )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36,977</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36,502</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585"/>
        </w:trPr>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8"/>
              </w:rPr>
              <w:t>Amortized cost</w:t>
            </w:r>
          </w:p>
        </w:tc>
        <w:tc>
          <w:tcPr>
            <w:tcW w:w="2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Gross unrealized</w:t>
            </w:r>
          </w:p>
        </w:tc>
        <w:tc>
          <w:tcPr>
            <w:tcW w:w="240" w:type="dxa"/>
            <w:vAlign w:val="bottom"/>
          </w:tcPr>
          <w:p>
            <w:pPr>
              <w:spacing w:after="0"/>
              <w:rPr>
                <w:sz w:val="24"/>
                <w:szCs w:val="24"/>
                <w:color w:val="auto"/>
              </w:rPr>
            </w:pPr>
          </w:p>
        </w:tc>
        <w:tc>
          <w:tcPr>
            <w:tcW w:w="138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Gross unrealized</w:t>
            </w:r>
          </w:p>
        </w:tc>
        <w:tc>
          <w:tcPr>
            <w:tcW w:w="160" w:type="dxa"/>
            <w:vAlign w:val="bottom"/>
          </w:tcPr>
          <w:p>
            <w:pPr>
              <w:spacing w:after="0"/>
              <w:rPr>
                <w:sz w:val="24"/>
                <w:szCs w:val="24"/>
                <w:color w:val="auto"/>
              </w:rPr>
            </w:pPr>
          </w:p>
        </w:tc>
        <w:tc>
          <w:tcPr>
            <w:tcW w:w="9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77"/>
              </w:rPr>
              <w:t>losses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U.S. government and government agencies and authorities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694</w:t>
            </w:r>
          </w:p>
        </w:tc>
        <w:tc>
          <w:tcPr>
            <w:tcW w:w="5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5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26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(41 )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54,647</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54,700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-1784985</wp:posOffset>
            </wp:positionV>
            <wp:extent cx="171450" cy="4763"/>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-1784985</wp:posOffset>
            </wp:positionV>
            <wp:extent cx="163195" cy="4763"/>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4763"/>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-1784985</wp:posOffset>
            </wp:positionV>
            <wp:extent cx="154305" cy="4763"/>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-1784985</wp:posOffset>
            </wp:positionV>
            <wp:extent cx="68580" cy="4763"/>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-1473835</wp:posOffset>
            </wp:positionV>
            <wp:extent cx="1714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-1456690</wp:posOffset>
            </wp:positionV>
            <wp:extent cx="1714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-1473835</wp:posOffset>
            </wp:positionV>
            <wp:extent cx="163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-1456690</wp:posOffset>
            </wp:positionV>
            <wp:extent cx="163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-1473835</wp:posOffset>
            </wp:positionV>
            <wp:extent cx="1543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-1456690</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-336550</wp:posOffset>
            </wp:positionV>
            <wp:extent cx="171450" cy="4763"/>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-336550</wp:posOffset>
            </wp:positionV>
            <wp:extent cx="163195" cy="4763"/>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3195" cy="4763"/>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-336550</wp:posOffset>
            </wp:positionV>
            <wp:extent cx="154305" cy="4763"/>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-336550</wp:posOffset>
            </wp:positionV>
            <wp:extent cx="68580" cy="4763"/>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171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71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1631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1631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54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54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and fair value of debt securities as of March 31, 2021 by contractual maturity:</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2021</w:t>
            </w:r>
          </w:p>
        </w:tc>
        <w:tc>
          <w:tcPr>
            <w:tcW w:w="1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Held-to-maturity</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Available-for-sale</w:t>
            </w:r>
          </w:p>
        </w:tc>
        <w:tc>
          <w:tcPr>
            <w:tcW w:w="100" w:type="dxa"/>
            <w:vAlign w:val="bottom"/>
          </w:tcPr>
          <w:p>
            <w:pPr>
              <w:spacing w:after="0"/>
              <w:rPr>
                <w:sz w:val="14"/>
                <w:szCs w:val="14"/>
                <w:color w:val="auto"/>
              </w:rPr>
            </w:pPr>
          </w:p>
        </w:tc>
      </w:tr>
      <w:tr>
        <w:trPr>
          <w:trHeight w:val="223"/>
        </w:trPr>
        <w:tc>
          <w:tcPr>
            <w:tcW w:w="4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Amortized cost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9"/>
                <w:szCs w:val="19"/>
                <w:color w:val="auto"/>
              </w:rPr>
            </w:pPr>
          </w:p>
        </w:tc>
      </w:tr>
      <w:tr>
        <w:trPr>
          <w:trHeight w:val="236"/>
        </w:trPr>
        <w:tc>
          <w:tcPr>
            <w:tcW w:w="4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1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FF0FC"/>
          </w:tcPr>
          <w:p>
            <w:pPr>
              <w:spacing w:after="0"/>
              <w:rPr>
                <w:sz w:val="21"/>
                <w:szCs w:val="2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27,222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26,990</w:t>
            </w:r>
          </w:p>
        </w:tc>
        <w:tc>
          <w:tcPr>
            <w:tcW w:w="100" w:type="dxa"/>
            <w:vAlign w:val="bottom"/>
          </w:tcPr>
          <w:p>
            <w:pPr>
              <w:spacing w:after="0"/>
              <w:rPr>
                <w:sz w:val="20"/>
                <w:szCs w:val="20"/>
                <w:color w:val="auto"/>
              </w:rPr>
            </w:pPr>
          </w:p>
        </w:tc>
      </w:tr>
      <w:tr>
        <w:trPr>
          <w:trHeight w:val="24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after five years through ten years</w:t>
            </w:r>
          </w:p>
        </w:tc>
        <w:tc>
          <w:tcPr>
            <w:tcW w:w="1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100" w:type="dxa"/>
            <w:vAlign w:val="bottom"/>
            <w:shd w:val="clear" w:color="auto" w:fill="CFF0FC"/>
          </w:tcPr>
          <w:p>
            <w:pPr>
              <w:spacing w:after="0"/>
              <w:rPr>
                <w:sz w:val="21"/>
                <w:szCs w:val="2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76"/>
        </w:trPr>
        <w:tc>
          <w:tcPr>
            <w:tcW w:w="4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36,282</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414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-513715</wp:posOffset>
            </wp:positionV>
            <wp:extent cx="1714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-496570</wp:posOffset>
            </wp:positionV>
            <wp:extent cx="171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-513715</wp:posOffset>
            </wp:positionV>
            <wp:extent cx="1631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-496570</wp:posOffset>
            </wp:positionV>
            <wp:extent cx="1631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-513715</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-496570</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2021 and 2020, respectively, net investment income, which is included within other income in the Condensed Consolidated Statements of Operations and Comprehensive Loss, was derived from the following sources: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2"/>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800"/>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0"/>
              </w:rPr>
              <w:t>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w w:val="89"/>
              </w:rPr>
              <w:t>37</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securities</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89"/>
              </w:rPr>
              <w:t>47</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Investment income, net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ind w:left="1020"/>
              <w:spacing w:after="0"/>
              <w:rPr>
                <w:sz w:val="20"/>
                <w:szCs w:val="20"/>
                <w:color w:val="auto"/>
              </w:rPr>
            </w:pPr>
            <w:r>
              <w:rPr>
                <w:rFonts w:ascii="Arial" w:cs="Arial" w:eastAsia="Arial" w:hAnsi="Arial"/>
                <w:sz w:val="18"/>
                <w:szCs w:val="18"/>
                <w:color w:val="auto"/>
                <w:w w:val="89"/>
              </w:rPr>
              <w:t>84</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-182245</wp:posOffset>
            </wp:positionV>
            <wp:extent cx="188595" cy="4763"/>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8595"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4763"/>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March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2021</w:t>
            </w:r>
          </w:p>
        </w:tc>
        <w:tc>
          <w:tcPr>
            <w:tcW w:w="19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Less than 12 months</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Greater than 12 months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Unrealized loss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Unrealized loss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5"/>
              </w:rPr>
              <w:t>Unrealized loss</w:t>
            </w:r>
          </w:p>
        </w:tc>
        <w:tc>
          <w:tcPr>
            <w:tcW w:w="100" w:type="dxa"/>
            <w:vAlign w:val="bottom"/>
          </w:tcPr>
          <w:p>
            <w:pPr>
              <w:spacing w:after="0"/>
              <w:rPr>
                <w:sz w:val="19"/>
                <w:szCs w:val="19"/>
                <w:color w:val="auto"/>
              </w:rPr>
            </w:pPr>
          </w:p>
        </w:tc>
      </w:tr>
      <w:tr>
        <w:trPr>
          <w:trHeight w:val="237"/>
        </w:trPr>
        <w:tc>
          <w:tcPr>
            <w:tcW w:w="3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7"/>
              </w:rPr>
              <w:t>(in thousands, except number of positions)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(519 )</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30,516</w:t>
            </w:r>
          </w:p>
        </w:tc>
        <w:tc>
          <w:tcPr>
            <w:tcW w:w="52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(519 )</w:t>
            </w:r>
          </w:p>
        </w:tc>
      </w:tr>
      <w:tr>
        <w:trPr>
          <w:trHeight w:val="20"/>
        </w:trPr>
        <w:tc>
          <w:tcPr>
            <w:tcW w:w="35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(519 )</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30,516</w:t>
            </w:r>
          </w:p>
        </w:tc>
        <w:tc>
          <w:tcPr>
            <w:tcW w:w="52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(519 )</w:t>
            </w:r>
          </w:p>
        </w:tc>
      </w:tr>
      <w:tr>
        <w:trPr>
          <w:trHeight w:val="20"/>
        </w:trPr>
        <w:tc>
          <w:tcPr>
            <w:tcW w:w="3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positions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-336550</wp:posOffset>
            </wp:positionV>
            <wp:extent cx="76835" cy="4763"/>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4763"/>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-336550</wp:posOffset>
            </wp:positionV>
            <wp:extent cx="196850" cy="4763"/>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-336550</wp:posOffset>
            </wp:positionV>
            <wp:extent cx="76835" cy="4763"/>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4763"/>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-336550</wp:posOffset>
            </wp:positionV>
            <wp:extent cx="154305" cy="4763"/>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-336550</wp:posOffset>
            </wp:positionV>
            <wp:extent cx="68580" cy="4763"/>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-336550</wp:posOffset>
            </wp:positionV>
            <wp:extent cx="68580" cy="4763"/>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all securities were investment grade, with credit ratings of AA+ or higher by S&amp;P. Unrealized losses on investment grade securities are principally related to changes in interest rates or changes in issuer or sector related credit spreads since the securities were acquired. The gross unrealized investment losses as of March 31, 2021, were deemed to be temporary, based on, among other things:</w:t>
      </w:r>
    </w:p>
    <w:p>
      <w:pPr>
        <w:spacing w:after="0" w:line="400" w:lineRule="exact"/>
        <w:rPr>
          <w:sz w:val="20"/>
          <w:szCs w:val="20"/>
          <w:color w:val="auto"/>
        </w:rPr>
      </w:pPr>
    </w:p>
    <w:p>
      <w:pPr>
        <w:ind w:left="440" w:right="20" w:firstLine="9"/>
        <w:spacing w:after="0" w:line="277" w:lineRule="auto"/>
        <w:tabs>
          <w:tab w:leader="none" w:pos="5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time and the relative magnitude to which fair values of these securities have been below their amortized cost was not indicative of an other-than-temporary impairment ("OTTI") loss;</w:t>
      </w:r>
    </w:p>
    <w:p>
      <w:pPr>
        <w:spacing w:after="0" w:line="386" w:lineRule="exact"/>
        <w:rPr>
          <w:rFonts w:ascii="Arial" w:cs="Arial" w:eastAsia="Arial" w:hAnsi="Arial"/>
          <w:sz w:val="18"/>
          <w:szCs w:val="18"/>
          <w:color w:val="auto"/>
        </w:rPr>
      </w:pPr>
    </w:p>
    <w:p>
      <w:pPr>
        <w:ind w:left="440" w:firstLine="9"/>
        <w:spacing w:after="0" w:line="277" w:lineRule="auto"/>
        <w:tabs>
          <w:tab w:leader="none" w:pos="5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absence of compelling evidence that would cause the Corporation to call into question the financial condition or near-term prospects of the issuer of the applicable security; and</w:t>
      </w:r>
    </w:p>
    <w:p>
      <w:pPr>
        <w:spacing w:after="0" w:line="386" w:lineRule="exact"/>
        <w:rPr>
          <w:rFonts w:ascii="Arial" w:cs="Arial" w:eastAsia="Arial" w:hAnsi="Arial"/>
          <w:sz w:val="18"/>
          <w:szCs w:val="18"/>
          <w:color w:val="auto"/>
        </w:rPr>
      </w:pPr>
    </w:p>
    <w:p>
      <w:pPr>
        <w:ind w:left="560" w:hanging="111"/>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Corporation's ability and intent to hold the applicable security for a period of time sufficient to allow for any anticipated recovery.</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may ultimately record a realized loss after having originally concluded that the decline in value was temporary. Risks and uncertainties are inherent in the methodology the Corporation uses to assess other-than-temporary declines in value. Risks and uncertainties could include, but are not limited to, incorrect assumptions about financial condition, liquidity or future prospects, inadequacy of any underlying collateral, and unfavorable changes in economic conditions or social trends, interest rates or credit ratings.</w:t>
      </w: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and maturities of investment securities and related gross realized gains (losses), which are included within other income in the Condensed Consolidated Statements of Operations and Comprehensive Loss, were as follows for the three months ended March 31, 2021 and 2020,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2"/>
        </w:trPr>
        <w:tc>
          <w:tcPr>
            <w:tcW w:w="7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70"/>
              </w:rPr>
              <w:t>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sales of investment securities</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17,267</w:t>
            </w: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69,977</w:t>
            </w:r>
          </w:p>
        </w:tc>
        <w:tc>
          <w:tcPr>
            <w:tcW w:w="100" w:type="dxa"/>
            <w:vAlign w:val="bottom"/>
            <w:shd w:val="clear" w:color="auto" w:fill="CFF0FC"/>
          </w:tcPr>
          <w:p>
            <w:pPr>
              <w:spacing w:after="0"/>
              <w:rPr>
                <w:sz w:val="21"/>
                <w:szCs w:val="2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Proceeds from maturities of investment securities</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32,101</w:t>
            </w:r>
          </w:p>
        </w:tc>
        <w:tc>
          <w:tcPr>
            <w:tcW w:w="100" w:type="dxa"/>
            <w:vAlign w:val="bottom"/>
          </w:tcPr>
          <w:p>
            <w:pPr>
              <w:spacing w:after="0"/>
              <w:rPr>
                <w:sz w:val="19"/>
                <w:szCs w:val="19"/>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realized gains</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(77 )</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70"/>
        </w:trPr>
        <w:tc>
          <w:tcPr>
            <w:tcW w:w="7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realized (losses) gains</w:t>
            </w:r>
          </w:p>
        </w:tc>
        <w:tc>
          <w:tcPr>
            <w:tcW w:w="2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1968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968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and December 31, 2020, the Corporation had $7.5 million and $7.5 million, respectively, in deposits with various states and regulatory bodies that are included as part of the Corporation's investment balances.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fair value measurements for items as of March 31, 2021 and December 31, 2020,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Total fair</w:t>
            </w:r>
          </w:p>
        </w:tc>
        <w:tc>
          <w:tcPr>
            <w:tcW w:w="100" w:type="dxa"/>
            <w:vAlign w:val="bottom"/>
          </w:tcPr>
          <w:p>
            <w:pPr>
              <w:spacing w:after="0"/>
              <w:rPr>
                <w:sz w:val="18"/>
                <w:szCs w:val="18"/>
                <w:color w:val="auto"/>
              </w:rPr>
            </w:pPr>
          </w:p>
        </w:tc>
      </w:tr>
      <w:tr>
        <w:trPr>
          <w:trHeight w:val="23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4"/>
              </w:rPr>
              <w:t>Level 3</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32"/>
        </w:trPr>
        <w:tc>
          <w:tcPr>
            <w:tcW w:w="5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3"/>
          </w:tcPr>
          <w:p>
            <w:pPr>
              <w:jc w:val="center"/>
              <w:ind w:right="410"/>
              <w:spacing w:after="0"/>
              <w:rPr>
                <w:sz w:val="20"/>
                <w:szCs w:val="20"/>
                <w:color w:val="auto"/>
              </w:rPr>
            </w:pPr>
            <w:r>
              <w:rPr>
                <w:rFonts w:ascii="Arial" w:cs="Arial" w:eastAsia="Arial" w:hAnsi="Arial"/>
                <w:sz w:val="16"/>
                <w:szCs w:val="16"/>
                <w:b w:val="1"/>
                <w:bCs w:val="1"/>
                <w:color w:val="auto"/>
                <w:w w:val="74"/>
              </w:rPr>
              <w:t>thousands)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35,799</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gridSpan w:val="2"/>
            <w:shd w:val="clear" w:color="auto" w:fill="CFF0FC"/>
          </w:tcPr>
          <w:p>
            <w:pPr>
              <w:jc w:val="center"/>
              <w:ind w:right="55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Total assets at fair value</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35,799</w:t>
            </w:r>
          </w:p>
        </w:tc>
        <w:tc>
          <w:tcPr>
            <w:tcW w:w="100" w:type="dxa"/>
            <w:vAlign w:val="bottom"/>
          </w:tcPr>
          <w:p>
            <w:pPr>
              <w:spacing w:after="0"/>
              <w:rPr>
                <w:sz w:val="20"/>
                <w:szCs w:val="20"/>
                <w:color w:val="auto"/>
              </w:rPr>
            </w:pPr>
          </w:p>
        </w:tc>
        <w:tc>
          <w:tcPr>
            <w:tcW w:w="1040" w:type="dxa"/>
            <w:vAlign w:val="bottom"/>
            <w:tcBorders>
              <w:bottom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35,799</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Public Warrants</w:t>
            </w:r>
          </w:p>
        </w:tc>
        <w:tc>
          <w:tcPr>
            <w:tcW w:w="1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44,436</w:t>
            </w:r>
          </w:p>
        </w:tc>
        <w:tc>
          <w:tcPr>
            <w:tcW w:w="120" w:type="dxa"/>
            <w:vAlign w:val="bottom"/>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center"/>
              <w:ind w:right="5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44,436</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Private Placement Warrants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17,603</w:t>
            </w:r>
          </w:p>
        </w:tc>
        <w:tc>
          <w:tcPr>
            <w:tcW w:w="1140" w:type="dxa"/>
            <w:vAlign w:val="bottom"/>
            <w:gridSpan w:val="3"/>
          </w:tcPr>
          <w:p>
            <w:pPr>
              <w:jc w:val="center"/>
              <w:ind w:right="450"/>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17,603</w:t>
            </w:r>
          </w:p>
        </w:tc>
        <w:tc>
          <w:tcPr>
            <w:tcW w:w="100" w:type="dxa"/>
            <w:vAlign w:val="bottom"/>
          </w:tcPr>
          <w:p>
            <w:pPr>
              <w:spacing w:after="0"/>
              <w:rPr>
                <w:sz w:val="19"/>
                <w:szCs w:val="19"/>
                <w:color w:val="auto"/>
              </w:rPr>
            </w:pPr>
          </w:p>
        </w:tc>
      </w:tr>
      <w:tr>
        <w:trPr>
          <w:trHeight w:val="270"/>
        </w:trPr>
        <w:tc>
          <w:tcPr>
            <w:tcW w:w="5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44,436</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17,603</w:t>
            </w:r>
          </w:p>
        </w:tc>
        <w:tc>
          <w:tcPr>
            <w:tcW w:w="10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top w:val="single" w:sz="8" w:color="auto"/>
              <w:bottom w:val="single" w:sz="8" w:color="auto"/>
            </w:tcBorders>
            <w:gridSpan w:val="2"/>
            <w:shd w:val="clear" w:color="auto" w:fill="CFF0FC"/>
          </w:tcPr>
          <w:p>
            <w:pPr>
              <w:jc w:val="center"/>
              <w:ind w:right="5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-670560</wp:posOffset>
            </wp:positionV>
            <wp:extent cx="77470" cy="4763"/>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4763"/>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-670560</wp:posOffset>
            </wp:positionV>
            <wp:extent cx="68580" cy="4763"/>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-670560</wp:posOffset>
            </wp:positionV>
            <wp:extent cx="68580" cy="4763"/>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-670560</wp:posOffset>
            </wp:positionV>
            <wp:extent cx="68580" cy="4763"/>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Total fair</w:t>
            </w:r>
          </w:p>
        </w:tc>
        <w:tc>
          <w:tcPr>
            <w:tcW w:w="100" w:type="dxa"/>
            <w:vAlign w:val="bottom"/>
          </w:tcPr>
          <w:p>
            <w:pPr>
              <w:spacing w:after="0"/>
              <w:rPr>
                <w:sz w:val="18"/>
                <w:szCs w:val="18"/>
                <w:color w:val="auto"/>
              </w:rPr>
            </w:pPr>
          </w:p>
        </w:tc>
      </w:tr>
      <w:tr>
        <w:trPr>
          <w:trHeight w:val="23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32"/>
        </w:trPr>
        <w:tc>
          <w:tcPr>
            <w:tcW w:w="5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center"/>
              <w:ind w:right="650"/>
              <w:spacing w:after="0"/>
              <w:rPr>
                <w:sz w:val="20"/>
                <w:szCs w:val="20"/>
                <w:color w:val="auto"/>
              </w:rPr>
            </w:pPr>
            <w:r>
              <w:rPr>
                <w:rFonts w:ascii="Arial" w:cs="Arial" w:eastAsia="Arial" w:hAnsi="Arial"/>
                <w:sz w:val="16"/>
                <w:szCs w:val="16"/>
                <w:b w:val="1"/>
                <w:bCs w:val="1"/>
                <w:color w:val="auto"/>
                <w:w w:val="74"/>
              </w:rPr>
              <w:t>thousands)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Total assets at fair value</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44,810</w:t>
            </w: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44,810</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Warrants payable</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97,782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97,782</w:t>
            </w:r>
          </w:p>
        </w:tc>
        <w:tc>
          <w:tcPr>
            <w:tcW w:w="100" w:type="dxa"/>
            <w:vAlign w:val="bottom"/>
          </w:tcPr>
          <w:p>
            <w:pPr>
              <w:spacing w:after="0"/>
              <w:rPr>
                <w:sz w:val="19"/>
                <w:szCs w:val="19"/>
                <w:color w:val="auto"/>
              </w:rPr>
            </w:pPr>
          </w:p>
        </w:tc>
      </w:tr>
      <w:tr>
        <w:trPr>
          <w:trHeight w:val="270"/>
        </w:trPr>
        <w:tc>
          <w:tcPr>
            <w:tcW w:w="5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142,592</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142,592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-670560</wp:posOffset>
            </wp:positionV>
            <wp:extent cx="171450" cy="4763"/>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-670560</wp:posOffset>
            </wp:positionV>
            <wp:extent cx="154305" cy="4763"/>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-670560</wp:posOffset>
            </wp:positionV>
            <wp:extent cx="154305" cy="4763"/>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-670560</wp:posOffset>
            </wp:positionV>
            <wp:extent cx="68580" cy="4763"/>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1714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71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54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543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543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54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"Notes and securities payable," Note 10, "Warrants payable," and Note 11, "Derivative liabilities" for additional information regarding liabilities.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convertible securities is based on Level 3 inputs. There was no fair value associated with the convertible securities at March 31, 2021, and the estimated fair value of the convertible securities was $949.6 million at December 31, 2020. The estimated fair value of the convertible securities and derivative liabilities at December 31, 2020, was calculated as the product of (i) the number of conversion shares at the valuation date and (ii) the marketable value per common share at the valuation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warrants payable that are categorized within Level 3 of the fair value hierarchy, as of the year ended December 31,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Preferred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6"/>
              </w:rPr>
              <w:t>Common stock</w:t>
            </w:r>
          </w:p>
        </w:tc>
      </w:t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purchase warrants</w:t>
            </w:r>
          </w:p>
        </w:tc>
        <w:tc>
          <w:tcPr>
            <w:tcW w:w="20" w:type="dxa"/>
            <w:vAlign w:val="bottom"/>
          </w:tcPr>
          <w:p>
            <w:pPr>
              <w:spacing w:after="0"/>
              <w:rPr>
                <w:sz w:val="20"/>
                <w:szCs w:val="20"/>
                <w:color w:val="auto"/>
              </w:rPr>
            </w:pPr>
          </w:p>
        </w:tc>
        <w:tc>
          <w:tcPr>
            <w:tcW w:w="16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6"/>
              </w:rPr>
              <w:t>purchase warrants</w:t>
            </w:r>
          </w:p>
        </w:tc>
      </w:tr>
      <w:tr>
        <w:trPr>
          <w:trHeight w:val="237"/>
        </w:trPr>
        <w:tc>
          <w:tcPr>
            <w:tcW w:w="3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Beginning stock price</w:t>
            </w:r>
          </w:p>
        </w:tc>
        <w:tc>
          <w:tcPr>
            <w:tcW w:w="20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$30.14</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4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56.0%</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0.02 years</w:t>
            </w:r>
          </w:p>
        </w:tc>
      </w:tr>
      <w:tr>
        <w:trPr>
          <w:trHeight w:val="24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0.09%</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Discount factor</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445"/>
        </w:trPr>
        <w:tc>
          <w:tcPr>
            <w:tcW w:w="9560" w:type="dxa"/>
            <w:vAlign w:val="bottom"/>
            <w:gridSpan w:val="13"/>
          </w:tcPr>
          <w:p>
            <w:pPr>
              <w:spacing w:after="0"/>
              <w:rPr>
                <w:sz w:val="20"/>
                <w:szCs w:val="20"/>
                <w:color w:val="auto"/>
              </w:rPr>
            </w:pPr>
            <w:r>
              <w:rPr>
                <w:rFonts w:ascii="Arial" w:cs="Arial" w:eastAsia="Arial" w:hAnsi="Arial"/>
                <w:sz w:val="18"/>
                <w:szCs w:val="18"/>
                <w:color w:val="auto"/>
                <w:w w:val="93"/>
              </w:rPr>
              <w:t>The changes in balances of Level 3 financial liabilities during the three months ended March 31, 2021 and 2020 were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3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Convertible</w:t>
            </w:r>
          </w:p>
        </w:tc>
        <w:tc>
          <w:tcPr>
            <w:tcW w:w="140" w:type="dxa"/>
            <w:vAlign w:val="bottom"/>
          </w:tcPr>
          <w:p>
            <w:pPr>
              <w:spacing w:after="0"/>
              <w:rPr>
                <w:sz w:val="24"/>
                <w:szCs w:val="24"/>
                <w:color w:val="auto"/>
              </w:rPr>
            </w:pPr>
          </w:p>
        </w:tc>
        <w:tc>
          <w:tcPr>
            <w:tcW w:w="1240" w:type="dxa"/>
            <w:vAlign w:val="bottom"/>
            <w:gridSpan w:val="4"/>
          </w:tcPr>
          <w:p>
            <w:pPr>
              <w:jc w:val="right"/>
              <w:ind w:right="321"/>
              <w:spacing w:after="0"/>
              <w:rPr>
                <w:sz w:val="20"/>
                <w:szCs w:val="20"/>
                <w:color w:val="auto"/>
              </w:rPr>
            </w:pPr>
            <w:r>
              <w:rPr>
                <w:rFonts w:ascii="Arial" w:cs="Arial" w:eastAsia="Arial" w:hAnsi="Arial"/>
                <w:sz w:val="18"/>
                <w:szCs w:val="18"/>
                <w:b w:val="1"/>
                <w:bCs w:val="1"/>
                <w:color w:val="auto"/>
                <w:w w:val="95"/>
              </w:rPr>
              <w:t>Derivative</w:t>
            </w:r>
          </w:p>
        </w:tc>
        <w:tc>
          <w:tcPr>
            <w:tcW w:w="16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Warrants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securities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8"/>
              </w:rPr>
              <w:t>liabilities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8"/>
              </w:rPr>
              <w:t>payable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2"/>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w w:val="74"/>
              </w:rPr>
              <w:t>thousands)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949,553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44,810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1,092,145</w:t>
            </w:r>
          </w:p>
        </w:tc>
        <w:tc>
          <w:tcPr>
            <w:tcW w:w="100" w:type="dxa"/>
            <w:vAlign w:val="bottom"/>
            <w:shd w:val="clear" w:color="auto" w:fill="CFF0FC"/>
          </w:tcPr>
          <w:p>
            <w:pPr>
              <w:spacing w:after="0"/>
              <w:rPr>
                <w:sz w:val="21"/>
                <w:szCs w:val="21"/>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Settlements</w:t>
            </w:r>
          </w:p>
        </w:tc>
        <w:tc>
          <w:tcPr>
            <w:tcW w:w="2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(949,553 )</w:t>
            </w:r>
          </w:p>
        </w:tc>
        <w:tc>
          <w:tcPr>
            <w:tcW w:w="140" w:type="dxa"/>
            <w:vAlign w:val="bottom"/>
            <w:shd w:val="clear" w:color="auto" w:fill="CFF0FC"/>
          </w:tcPr>
          <w:p>
            <w:pPr>
              <w:spacing w:after="0"/>
              <w:rPr>
                <w:sz w:val="21"/>
                <w:szCs w:val="21"/>
                <w:color w:val="auto"/>
              </w:rPr>
            </w:pPr>
          </w:p>
        </w:tc>
        <w:tc>
          <w:tcPr>
            <w:tcW w:w="1240" w:type="dxa"/>
            <w:vAlign w:val="bottom"/>
            <w:gridSpan w:val="4"/>
            <w:shd w:val="clear" w:color="auto" w:fill="CFF0FC"/>
          </w:tcPr>
          <w:p>
            <w:pPr>
              <w:jc w:val="right"/>
              <w:ind w:right="81"/>
              <w:spacing w:after="0"/>
              <w:rPr>
                <w:sz w:val="20"/>
                <w:szCs w:val="20"/>
                <w:color w:val="auto"/>
              </w:rPr>
            </w:pPr>
            <w:r>
              <w:rPr>
                <w:rFonts w:ascii="Arial" w:cs="Arial" w:eastAsia="Arial" w:hAnsi="Arial"/>
                <w:sz w:val="18"/>
                <w:szCs w:val="18"/>
                <w:color w:val="auto"/>
              </w:rPr>
              <w:t>(44,810 )</w:t>
            </w:r>
          </w:p>
        </w:tc>
        <w:tc>
          <w:tcPr>
            <w:tcW w:w="160" w:type="dxa"/>
            <w:vAlign w:val="bottom"/>
            <w:shd w:val="clear" w:color="auto" w:fill="CFF0FC"/>
          </w:tcPr>
          <w:p>
            <w:pPr>
              <w:spacing w:after="0"/>
              <w:rPr>
                <w:sz w:val="21"/>
                <w:szCs w:val="21"/>
                <w:color w:val="auto"/>
              </w:rPr>
            </w:pPr>
          </w:p>
        </w:tc>
        <w:tc>
          <w:tcPr>
            <w:tcW w:w="10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(97,782 )</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(1,092,145 )</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Transfers out</w:t>
            </w:r>
          </w:p>
        </w:tc>
        <w:tc>
          <w:tcPr>
            <w:tcW w:w="2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Total realized gains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0"/>
        </w:trPr>
        <w:tc>
          <w:tcPr>
            <w:tcW w:w="3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March 31, 2021</w:t>
            </w:r>
          </w:p>
        </w:tc>
        <w:tc>
          <w:tcPr>
            <w:tcW w:w="20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spacing w:after="0"/>
              <w:rPr>
                <w:sz w:val="23"/>
                <w:szCs w:val="23"/>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19"/>
        </w:trPr>
        <w:tc>
          <w:tcPr>
            <w:tcW w:w="38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38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-376555</wp:posOffset>
            </wp:positionV>
            <wp:extent cx="1714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-359410</wp:posOffset>
            </wp:positionV>
            <wp:extent cx="1714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-376555</wp:posOffset>
            </wp:positionV>
            <wp:extent cx="1543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-359410</wp:posOffset>
            </wp:positionV>
            <wp:extent cx="1543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-376555</wp:posOffset>
            </wp:positionV>
            <wp:extent cx="1543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-359410</wp:posOffset>
            </wp:positionV>
            <wp:extent cx="1543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Convertible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5"/>
              </w:rPr>
              <w:t>Derivative</w:t>
            </w: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Warrants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securities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liabilities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payable</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2"/>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center"/>
              <w:ind w:right="650"/>
              <w:spacing w:after="0"/>
              <w:rPr>
                <w:sz w:val="20"/>
                <w:szCs w:val="20"/>
                <w:color w:val="auto"/>
              </w:rPr>
            </w:pPr>
            <w:r>
              <w:rPr>
                <w:rFonts w:ascii="Arial" w:cs="Arial" w:eastAsia="Arial" w:hAnsi="Arial"/>
                <w:sz w:val="16"/>
                <w:szCs w:val="16"/>
                <w:b w:val="1"/>
                <w:bCs w:val="1"/>
                <w:color w:val="auto"/>
                <w:w w:val="74"/>
              </w:rPr>
              <w:t>thousands)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2019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251,885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138,561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17,672</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408,118</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Transfers out</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Total realized losses (gains)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(14,232 )</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19"/>
                <w:szCs w:val="19"/>
                <w:color w:val="auto"/>
              </w:rPr>
            </w:pPr>
          </w:p>
        </w:tc>
      </w:tr>
      <w:tr>
        <w:trPr>
          <w:trHeight w:val="270"/>
        </w:trPr>
        <w:tc>
          <w:tcPr>
            <w:tcW w:w="5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March 31, 2020</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272,701</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124,329</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19,845</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416,875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1714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714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1543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543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1543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543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Level 3 financial liabilities in the table above, on September 25, 2020, the Corporation issued the 2020 Convertible Note with the carrying value approximating the fair value of $20.0 million. For additional information, see Note 9, "Notes and securities payable." As of March 31, 2021, and December 31, 2020, both the carrying values and the fair values of the 2020 Convertible Note were $19.9 million and $20.4 million, respectively, and these were considered Level 3 financial liabilities.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financial assets or liabilities for the three months ended March 31, 2021 or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are accounted for as liabilities in accordance with ASC 815-40 and are presented within warrants payable on the Consolidated Balance Sheet. The warrant liabilities are measured at fair value at inception and on a recurring basis, with changes in fair value presented within change in fair value of warrants payable in the Consolidated Statement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Measurement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Warrants are measured at fair value on a recurring basis. The measurement of the Warrants as of March 31, 2021 was $62.0 million. The Corporation has classified the Warrants as a liability due to certain settlement terms and provisions related to certain tender offers and indexation characteristics following a business combination and has accounted for them as liability instruments in accordance with ASC 815, adjusting the fair value at the end of each reporting period. Additionally, the Corporation has determined that the Public Warrants are classified within Level 1 of the fair value hierarchy as the fair value is equal to the publicly traded price of the Public Warrants, and the Private Placement Warrants are classified within Level 2 of the fair value hierarchy as the fair value is estimated using the price of the Public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warrants payable: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Public and Private</w:t>
            </w:r>
          </w:p>
        </w:tc>
      </w:t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March 31, 2021</w:t>
            </w: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Placement Warrants</w:t>
            </w:r>
          </w:p>
        </w:tc>
      </w:tr>
      <w:tr>
        <w:trPr>
          <w:trHeight w:val="236"/>
        </w:trPr>
        <w:tc>
          <w:tcPr>
            <w:tcW w:w="4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Initial measurement, January 7, 2021</w:t>
            </w:r>
          </w:p>
        </w:tc>
        <w:tc>
          <w:tcPr>
            <w:tcW w:w="47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147,582</w:t>
            </w:r>
          </w:p>
        </w:tc>
        <w:tc>
          <w:tcPr>
            <w:tcW w:w="100" w:type="dxa"/>
            <w:vAlign w:val="bottom"/>
            <w:shd w:val="clear" w:color="auto" w:fill="CFF0FC"/>
          </w:tcPr>
          <w:p>
            <w:pPr>
              <w:spacing w:after="0"/>
              <w:rPr>
                <w:sz w:val="20"/>
                <w:szCs w:val="20"/>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Mark-to-market adjustment</w:t>
            </w:r>
          </w:p>
        </w:tc>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(85,543 )</w:t>
            </w:r>
          </w:p>
        </w:tc>
      </w:tr>
      <w:tr>
        <w:trPr>
          <w:trHeight w:val="270"/>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payable balance, March 31, 2021</w:t>
            </w:r>
          </w:p>
        </w:tc>
        <w:tc>
          <w:tcPr>
            <w:tcW w:w="4940" w:type="dxa"/>
            <w:vAlign w:val="bottom"/>
            <w:tcBorders>
              <w:bottom w:val="single" w:sz="8" w:color="CFF0FC"/>
            </w:tcBorders>
            <w:gridSpan w:val="2"/>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19"/>
        </w:trPr>
        <w:tc>
          <w:tcPr>
            <w:tcW w:w="4320" w:type="dxa"/>
            <w:vAlign w:val="bottom"/>
          </w:tcPr>
          <w:p>
            <w:pPr>
              <w:spacing w:after="0"/>
              <w:rPr>
                <w:sz w:val="24"/>
                <w:szCs w:val="24"/>
                <w:color w:val="auto"/>
              </w:rPr>
            </w:pPr>
          </w:p>
        </w:tc>
        <w:tc>
          <w:tcPr>
            <w:tcW w:w="4700" w:type="dxa"/>
            <w:vAlign w:val="bottom"/>
          </w:tcPr>
          <w:p>
            <w:pPr>
              <w:jc w:val="right"/>
              <w:ind w:right="321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Healthcare receivables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March 31, 2021 and December 31, 2020, the Corporation recognized rebate receivables of approximately $27.6 million and $26.6 million, respectively. In addition to pharmaceutical rebates, Medicare Part D settlement receivables, member premium receivables and other CMS receivables included in healthcare receivables totaled $2.6 million and $12.1 million at March 31, 2021 and December 31, 2020,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Corporation has various contracts with IJKG Opco LLC (d/b/a CarePoint Health - Bayonne Medical Center), Hudson Hospital Opco LLC (d/b/a CarePoint Health - Christ Hospital) and Hoboken University Medical Center ("HUMC")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$3.2 million and $2.7 million for the three months ended March 31, 2021 and 2020, respectively.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payable to related parties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entered into various securities payable with certain related parties as further discussed in Note 9, "Notes and securities payable."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Unpaid claims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in the liability for unpaid claims, including claims adjustment expenses, for the three months ended March 31, 2021 and 2020, is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2"/>
        </w:trPr>
        <w:tc>
          <w:tcPr>
            <w:tcW w:w="7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0"/>
              </w:rPr>
              <w:t>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Beginning of period balance - gross and net</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103,976</w:t>
            </w:r>
          </w:p>
        </w:tc>
        <w:tc>
          <w:tcPr>
            <w:tcW w:w="8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77,886</w:t>
            </w: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year</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213,147</w:t>
            </w: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146,440</w:t>
            </w:r>
          </w:p>
        </w:tc>
        <w:tc>
          <w:tcPr>
            <w:tcW w:w="100" w:type="dxa"/>
            <w:vAlign w:val="bottom"/>
            <w:shd w:val="clear" w:color="auto" w:fill="CFF0FC"/>
          </w:tcPr>
          <w:p>
            <w:pPr>
              <w:spacing w:after="0"/>
              <w:rPr>
                <w:sz w:val="21"/>
                <w:szCs w:val="2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Prior years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(112 )</w:t>
            </w:r>
          </w:p>
        </w:tc>
      </w:tr>
      <w:tr>
        <w:trPr>
          <w:trHeight w:val="23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incurred</w:t>
            </w:r>
          </w:p>
        </w:tc>
        <w:tc>
          <w:tcPr>
            <w:tcW w:w="2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214,432</w:t>
            </w:r>
          </w:p>
        </w:tc>
        <w:tc>
          <w:tcPr>
            <w:tcW w:w="32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146,328</w:t>
            </w:r>
          </w:p>
        </w:tc>
        <w:tc>
          <w:tcPr>
            <w:tcW w:w="100" w:type="dxa"/>
            <w:vAlign w:val="bottom"/>
            <w:shd w:val="clear" w:color="auto" w:fill="CFF0FC"/>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year</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130,459</w:t>
            </w: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74,502</w:t>
            </w:r>
          </w:p>
        </w:tc>
        <w:tc>
          <w:tcPr>
            <w:tcW w:w="100" w:type="dxa"/>
            <w:vAlign w:val="bottom"/>
            <w:shd w:val="clear" w:color="auto" w:fill="CFF0FC"/>
          </w:tcPr>
          <w:p>
            <w:pPr>
              <w:spacing w:after="0"/>
              <w:rPr>
                <w:sz w:val="21"/>
                <w:szCs w:val="2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Prior years</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70,367</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59,359</w:t>
            </w:r>
          </w:p>
        </w:tc>
        <w:tc>
          <w:tcPr>
            <w:tcW w:w="100" w:type="dxa"/>
            <w:vAlign w:val="bottom"/>
          </w:tcPr>
          <w:p>
            <w:pPr>
              <w:spacing w:after="0"/>
              <w:rPr>
                <w:sz w:val="19"/>
                <w:szCs w:val="19"/>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paid</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200,826</w:t>
            </w: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133,861</w:t>
            </w: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End of period balance - gross and net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117,582</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90,353</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Unpaid claims as of March 31, 2021 were $117.6 million. During the three months ended March 31, 2021, $70.4 million was paid for incurred claims attributable to insured events of prior years. An unfavorable development of $1.3 million was recognized during the three months ended March 31, 2021, resulting from the Corporation's actual experience with claims developing differently as compared to the Corporation's estimates as of December 31, 2020. Original estimates are increased or decreased, as additional information becomes known regarding individual claims. The ratio of current year medical claims paid as a percentage of current year net medical claims incurred was 61.2% for the three months ended March 31, 2021 and 50.9% for three months ended March 31, 2020. This ratio serves as an indicator of claims processing speed, indicating that claims were processed at a faster rate during the three months ended March 31, 2021 than during the three months ended March 31, 2020.</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uses a variety of standard actuarial techniques to establish unpaid claims reserves. Management estimates are supported by the Corporation's annual actuarial analysis. The Corporation utilizes an actuary to review the adequacy of unpaid claim and unpaid claim adjustment expense. The estimation of claim costs is inherently difficult and requires significant judgement. The estimation has considerable inherent variability and can vary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Notes and securities payable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Non-convertible notes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21, 2017, the Corporation entered into a loan facility (the "Loan Facility") for an aggregate principal amount of $60.0 million with the proceeds used to pay all obligations under a $30.0 million 2015 senior secured note, and to provide additional working capital for the Corporation's subsidiaries. The Loan Facility is secured by the assets of the Corporation. The initial obligation of $40.0 million has a maturity date of March 1, 2022 and is subject to an interest rate of 11.0%, payable monthly, with the majority of principal payments commencing 36 months prior to the maturity date. The additional $20.0 million obligation has a maturity date of October 1, 2022 and is subject to an interest rate of 11.3%, payable monthly, with the majority of principal payments commencing 36 months prior to the maturity date. In conjunction with the Loan Facility, the Corporation issued warrants. See Note 10 "Warrants payable" for additional information.</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capitalized approximately $0.3 million of debt issuance costs associated with the Loan Facility, which are being amortized using the effective interest method over the term of the Loan Facility.</w:t>
      </w:r>
    </w:p>
    <w:p>
      <w:pPr>
        <w:spacing w:after="0" w:line="3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 of the Loan Facility was approximately $25.8 million and $30.8 million at March 31, 2021, and December 31, 2020, respectively. Interest expense was approximately $0.8 million and $1.3 million during the three months ended March 31, 2021 and 2020, respectively. The effective interest rate was 11.8% during the three months ended March 31,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securities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that certain Convertible Agreement, dated December 27, 2018, between the Corporation and certain qualified institutional buyers, including entities affiliated with the Corporation, for an aggregate principal amount of up to $500.0 million (the "Convertible Agreement"), the Corporation issued convertible securities during 2019 in multiple tranches. On October 5, 2020, the Corporation entered into the Merger Agreement with SCH and simultaneously amended the Convertible Agreement, pursuant to which the convertible securities of Legacy Clover converted into Class Z common stock in connection with the Business Combination. All Class Z common stock converted into Class B Common Stock as of the Closing. Additionally, the conversion incurred a 9.4% charge to account for dilution after the Business Combination to convert the securities as if they had been converted under the mandatory qualified public offering ("QPO") conversion. On January 7, 2021, the Business Combination was completed and the convertible securities were redeemed or converted into a total of 36,117,708 shares of Class Z common stock depending on whether each tranche's conversion price was a conversion or share-settled redemption feature as follows:</w:t>
      </w:r>
    </w:p>
    <w:p>
      <w:pPr>
        <w:spacing w:after="0" w:line="181" w:lineRule="exact"/>
        <w:rPr>
          <w:sz w:val="20"/>
          <w:szCs w:val="20"/>
          <w:color w:val="auto"/>
        </w:rPr>
      </w:pPr>
    </w:p>
    <w:p>
      <w:pPr>
        <w:jc w:val="both"/>
        <w:ind w:left="440" w:right="440" w:firstLine="9"/>
        <w:spacing w:after="0" w:line="289" w:lineRule="auto"/>
        <w:tabs>
          <w:tab w:leader="none" w:pos="75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Redemption: The February, March, and May 2019 tranches were redeemed for 34,806,921 shares of Class Z common stock pursuant to the share-settled redemption feature. The redemption of the convertible securities was accounted for as a debt extinguishment as they contained a beneficial conversion feature ("BCF"), and were redeemed prior to the stated maturity date. As the extinguishment date intrinsic value of the BCF was in excess of the fair value of the shares issued to settle the convertible securities, the full amount of the settlement consideration was treated as the price of reacquiring the BCF. As there was no remaining consideration available to allocate to the reacquisition of the convertible securities, the extinguishment resulted in a gain equal to the full carrying value of the convertible securities of $126.8 million. This gain was treated as a capital contribution and was recorded as an increase in additional paid in capital as the convertible securities were issued to affiliates of the Corporation. The $126.8 million is comprised of: (a) the carrying value of the tranches of $74.6 million, (b) accrued interest of $7.4 million, and (c) the fair value of the embedded derivative of $44.8 million.</w:t>
      </w:r>
    </w:p>
    <w:p>
      <w:pPr>
        <w:spacing w:after="0" w:line="166" w:lineRule="exact"/>
        <w:rPr>
          <w:rFonts w:ascii="Arial" w:cs="Arial" w:eastAsia="Arial" w:hAnsi="Arial"/>
          <w:sz w:val="16"/>
          <w:szCs w:val="16"/>
          <w:color w:val="auto"/>
        </w:rPr>
      </w:pPr>
    </w:p>
    <w:p>
      <w:pPr>
        <w:jc w:val="both"/>
        <w:ind w:left="440" w:right="440" w:firstLine="9"/>
        <w:spacing w:after="0" w:line="279" w:lineRule="auto"/>
        <w:tabs>
          <w:tab w:leader="none" w:pos="777"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Conversion: The August 2019 tranche converted into 1,310,787 shares of Class Z common stock pursuant to the conversion feature. Prior to the conversion, the carrying value of the tranche was $2.6 million and accrued interest was $0.4 million. As the converted securities contained a BCF, the $13.0 million unamortized debt discount remaining at the date of conversion was recognized in amortization of notes and securities discount in the Consolidated Statements of Operations and Comprehensive Loss.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giving effect to the Exchange Ratio, pursuant to the terms of the Merger Agreement, these shares of Class Z common stock were converted into 74,694,107 shares of Class B Common Stock upon the closing of the Business Combination. See Note 3, "Business combination" for additional information on the Business Combination.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The convertible securities bear a yield ("interest") at the increasing rates noted below which compound semi-annually, and mature April 1, 2023 ("End Date"), unless earlier converted, repurchased, or extended. 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 factors begin at 75.0% for the first twelve-month period through the first anniversary of the security issue date, decreasing ratably on a semi-annual basis, to 55.0% at the forty-two month anniversary of the security issue date until the convertible securities cease to be outstanding.</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carrying amount of the convertible securities was immaterial and $76.5 million at March 31, 2021 and December 31, 2020, respectively. The unamortized discount was immaterial and $337.3 million at March 31, 2021 and December 31, 2020, respectively. Amortization of the debt discount was approximately $13.7 million and $5.7 million during the three months ended March 31, 2021 and 2020, respectively. Interest expense on the convertible securities was immaterial and $6.5 million during the three months ended March 31, 2021 and 2020, respectively. The effective interest rate, inclusive of amortization of the discount and the contractual rate, was in excess of 100% and 90.07% during the three months ended March 31, 2021 and 2020, respectively, as a result of the convertible securities having a carrying value at inception of $0. The results presented as of and for the three months ended March 31, 2021 above, reflect the impact of the conversion of the convertible securities into common stock in connection with the Business Combination.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Seek Convertible Note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25, 2020, Seek Insurance Services, Inc. ("Seek"), a field marketing organization and an indirect wholly-owned subsidiary of the Corporation, entered into a note purchase agreement (the "Seek Convertible Note Agreement") with a third-party investor, and issued a note for a principal amount of $20.0 million. The principal borrowed as of September 30, 2020, was $20.0 million. The note bears simple interest at an annual rate of 8.0% and matures on September 25, 2023, unless earlier accelerated, converted, or paid in full, as discussed below.</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principal and any accrued but unpaid interest will become immediately due and payable at the election of the note holder upon the occurrence of any event of default as defined in the note.</w:t>
      </w:r>
    </w:p>
    <w:p>
      <w:pPr>
        <w:spacing w:after="0" w:line="2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outstanding principal and accrued but unpaid interest will convert into an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spacing w:after="0" w:line="2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2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amount of the note was $19.9 million at each March 31, 2021, and December 31, 2020. The Corporation capitalized $0.1 million of issuance costs which are being amortized using the effective interest method over the term of the note. Unamortized debt issuance costs were $0.1 million at both March 31, 2021, and December 31, 2020. Amortization of the debt issuance costs and interest expense on the note was $0.4 million during the three months ended March 31, 2021. There was no amortization of debt issuance costs and interest expense on the note during the three months ended March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 was 8.1% and 0.0% during the three months ended March 31, 2021 and 2020,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was in compliance with all applicable financial and non-financial covenants under its financing arrangements for all periods presented.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payable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Loan Facility effective March 21, 2017, the Corporation issued warrants to purchase 1,266,284 shares of the Corporation's Series D preferred stock at an exercise price of $9.38 per share, which expire on September 30, 2027. The warrants are exercisable at any time up to the expiration date. Per the original terms, in the event of an automatic conversion of the preferred stock prior to the exercise of the warrants, the warrants shall be exercisable in common stock. On October 5, 2020, the Corporation entered into the Merger Agreement with SCH and simultaneously amended the warrants to be automatically exercisable for common stock in connection with the Business Combination. Additionally, the original strike price of the warrants changed from $9.38 per share to $0.</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warrants were accounted for as derivative instruments and the initial fair value of approximately $1.2 million, which was calculated using a Black-Scholes based valuation model, was recorded as a discount to the carrying amount of the Loan Facility. This discount was being amortized using the effective interest method over the term of the Loan Facility. The warrants were recorded as liabilities and were being marked to market at each reporting period.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311" w:lineRule="auto"/>
        <w:rPr>
          <w:sz w:val="20"/>
          <w:szCs w:val="20"/>
          <w:color w:val="auto"/>
        </w:rPr>
      </w:pPr>
      <w:r>
        <w:rPr>
          <w:rFonts w:ascii="Arial" w:cs="Arial" w:eastAsia="Arial" w:hAnsi="Arial"/>
          <w:sz w:val="16"/>
          <w:szCs w:val="16"/>
          <w:color w:val="auto"/>
        </w:rPr>
        <w:t>In September 2015, the Corporation issued warrants to purchase 2,100,000 shares of the Corporation's common stock at an exercise price of $1.04 per share which expire on September 2, 2022. The warrants were exercisable at any time up to the expiration date. The warrants were also contingently exercisable for an additional 2,100,000 shares based proportionally on the aggregate principal amounts of additional notes borrowed by the Corporation.</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Merger Agreement, the warrants automatically converted into 3,484,154 shares of Legacy Clover common stock and, after giving effect to the Exchange Ratio converted into 7,205,490 shares of Class B Common Stock upon the closing of the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 and Private Placement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Business Combination, the Corporation acquired from SCH, as of January 7, 2021, Public Warrants outstanding to purchase an aggregate of 27,599,938 shares of the Corporation's Class A Common Stock and Private Placement Warrants outstanding to purchase an aggregate of 10,933,333 shares of the Corporation's Class A Common Stock. Each whole Warrant entitles the registered holder to purchase one whole share of Class A Common Stock at a price of $11.50 per share, at any time commencing on April 24,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Corporation may call the Public Warrants for redemption: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whole and not in part;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a price of $0.01 per Public Warrant;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sz w:val="20"/>
          <w:szCs w:val="20"/>
          <w:color w:val="auto"/>
        </w:rPr>
      </w:pPr>
    </w:p>
    <w:p>
      <w:pPr>
        <w:ind w:left="880" w:right="80"/>
        <w:spacing w:after="0" w:line="311" w:lineRule="auto"/>
        <w:rPr>
          <w:sz w:val="20"/>
          <w:szCs w:val="20"/>
          <w:color w:val="auto"/>
        </w:rPr>
      </w:pPr>
      <w:r>
        <w:rPr>
          <w:rFonts w:ascii="Arial" w:cs="Arial" w:eastAsia="Arial" w:hAnsi="Arial"/>
          <w:sz w:val="16"/>
          <w:szCs w:val="16"/>
          <w:color w:val="auto"/>
        </w:rPr>
        <w:t>if, and only if, the last reported sale price of the Class A Common Stock for any 20 trading days within a 30-trading day period ending on the third trading day prior to the date on which the Corporation sends the notice of redemption to the warrant holders equals or exceeds $18.00 per share (as adjusted for share splits, share dividends, rights issuances, subdivisions, reorganizations, recapitalizations and the like).</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and when the Public Warrants become redeemable, the Corporation may exercise the redemption right even if the Corporation is unable to register or qualify the underlying securities for sale under all applicable state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Class A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Corporation may redeem the outstanding Public Warrants: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whole and not in part;</w:t>
      </w:r>
    </w:p>
    <w:p>
      <w:pPr>
        <w:spacing w:after="0" w:line="117" w:lineRule="exact"/>
        <w:rPr>
          <w:sz w:val="20"/>
          <w:szCs w:val="20"/>
          <w:color w:val="auto"/>
        </w:rPr>
      </w:pPr>
    </w:p>
    <w:p>
      <w:pPr>
        <w:ind w:left="880" w:right="20"/>
        <w:spacing w:after="0" w:line="263" w:lineRule="auto"/>
        <w:rPr>
          <w:sz w:val="20"/>
          <w:szCs w:val="20"/>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a number of shares based on the redemption date and the "fair market value" of the Corporation's Class A Common Stock;</w:t>
      </w:r>
    </w:p>
    <w:p>
      <w:pPr>
        <w:spacing w:after="0" w:line="76" w:lineRule="exact"/>
        <w:rPr>
          <w:sz w:val="20"/>
          <w:szCs w:val="20"/>
          <w:color w:val="auto"/>
        </w:rPr>
      </w:pPr>
    </w:p>
    <w:p>
      <w:pPr>
        <w:ind w:left="880" w:right="600"/>
        <w:spacing w:after="0" w:line="277" w:lineRule="auto"/>
        <w:rPr>
          <w:sz w:val="20"/>
          <w:szCs w:val="20"/>
          <w:color w:val="auto"/>
        </w:rPr>
      </w:pPr>
      <w:r>
        <w:rPr>
          <w:rFonts w:ascii="Arial" w:cs="Arial" w:eastAsia="Arial" w:hAnsi="Arial"/>
          <w:sz w:val="18"/>
          <w:szCs w:val="18"/>
          <w:color w:val="auto"/>
        </w:rPr>
        <w:t>if, and only if, the value equals or exceeds $10.00 per share (as adjusted for share splits, share dividends, rights issuances, subdivisions, reorganizations, recapitalizations and the like); and</w:t>
      </w:r>
    </w:p>
    <w:p>
      <w:pPr>
        <w:spacing w:after="0" w:line="62" w:lineRule="exact"/>
        <w:rPr>
          <w:sz w:val="20"/>
          <w:szCs w:val="20"/>
          <w:color w:val="auto"/>
        </w:rPr>
      </w:pPr>
    </w:p>
    <w:p>
      <w:pPr>
        <w:ind w:left="880" w:right="580"/>
        <w:spacing w:after="0" w:line="311" w:lineRule="auto"/>
        <w:rPr>
          <w:sz w:val="20"/>
          <w:szCs w:val="20"/>
          <w:color w:val="auto"/>
        </w:rPr>
      </w:pPr>
      <w:r>
        <w:rPr>
          <w:rFonts w:ascii="Arial" w:cs="Arial" w:eastAsia="Arial" w:hAnsi="Arial"/>
          <w:sz w:val="16"/>
          <w:szCs w:val="16"/>
          <w:color w:val="auto"/>
        </w:rPr>
        <w:t>if the Reference Value (closing stock price for 20 out of 30 trading days)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Private Placement Warrants are identical to the Public Warrants except that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Corporation and exercisable by such holders on the same basis as the Public Warrants. Except as described above, if holders of the Private Placement Warrants elect to exercise them on a cashless basis, they would pay the exercise price by surrendering the warrants for that number of shares of Class A Common Stock equal to the quotient obtained by dividing the product of the number of shares of Class A Common Stock underlying the warrants multiplied by the excess of the “historical fair market value” (defined below) less the exercise price of the warrants, by the historical fair market value (a “Make-Whole Exercise”). For these purposes, the “historical fair market value” shall mean the average last reported sale price of the Class A Common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Stock for the 10 trading days ending on the third trading day prior to the date on which the notice of warrant exercise is sent to the warrant agent.</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the aggregate values of the Public Warrants and the Private Placement Warrants were $44.4 million and $17.6 million, respectively, representing Warrants outstanding to purchase 27,599,938 shares and 10,933,333 shares, respectively, of the Corporation's Class A Common Stock. The Warrants are accounted for as liabilities in accordance with ASC 815-40 and are presented within warrants payable on the Condensed Consolidated Balance Sheet. The warrant liabilities are measured at fair value at inception and on a recurring basis, with changes in fair value presented within change in fair value of warrants payable in the Condensed Consolidated Statement of Operations and Comprehensive Loss. See Note 5, "Fair value measurements" for additional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liabilities</w:t>
      </w:r>
    </w:p>
    <w:p>
      <w:pPr>
        <w:spacing w:after="0" w:line="200" w:lineRule="exact"/>
        <w:rPr>
          <w:sz w:val="20"/>
          <w:szCs w:val="20"/>
          <w:color w:val="auto"/>
        </w:rPr>
      </w:pP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$373.8 million of convertible securities issued in 2019, the Corporation determined that certain of the conversion and redemption features were embedded derivatives and were bifurcated from the host instrument and accounted for as embedded derivative instruments. In connection with the convertible securities, the Corporation recognized a capital contribution of $44.8 million during the three months ended March 31, 2021. This capital contribution of $44.8 million was recorded as an increase in additional paid in capital as the notes were issued to affiliates of the Corporation. The Corporation recognized a gain of $14.2 million from activity related to derivative liabilities in connection with the convertible securities during the three months ended March 31, 2020, which was recognized in gain on derivative in the Condensed Consolidated Statements of Operations and Comprehensive Loss. Upon the completion of the Business Combination with SCH on January 7, 2021, the derivative balance was extinguished as of January 7, 2021. See Note 3, "Business combination," Note 5, "Fair value measurements," and Note 9, "Notes and securities payable" for additional information.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Letter of credit</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April 19, 2018, the Corporation entered into a secured letter of credit agreement ("the Letter") for up to an aggregate amount of $2.5 million with a commercial lender that renews on an annual basis. The Letter bears an interest rate of 0.75%. There was an unused balance of $2.5 million at both March 31, 2021 and 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leases office space in New Jersey, Minnesota, Tennessee, and San Francisco under non-cancelable operating leases, further described below. For each lease the Corporation recorded a right-of-use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our leases include options to renew, with renewal terms that can extend the lease term. The exercise of lease renewal options is at our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subleases certain of its leases to third parties for which it receives rental income to manage occupancy costs. These subleases are classified as 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Montgomery leases:</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May 2020 through April 9, 2021, the Corporation was in default with respect to its agreement to lease office space in Jersey City, New Jersey (the "Montgomery Lease"), for not paying rent owed to the lessor. The Corporation accrued for all interest owed and began reducing its security deposit asset in lieu of recording rental payments. On April 9, 2021, the Corporation replenished its security deposit. In addition, the landlord waived the accrued interest and any late fees. Therefore, as of April 9, 2021, the Corporation was no longer in default with respect to the Montgomery Lease.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Summary of lease costs recognized under ASC 842: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Corporation's operating leases for the three months ended March 31, 2021: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2"/>
        </w:trPr>
        <w:tc>
          <w:tcPr>
            <w:tcW w:w="9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(in thousands)</w:t>
            </w:r>
          </w:p>
        </w:tc>
        <w:tc>
          <w:tcPr>
            <w:tcW w:w="16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60" w:type="dxa"/>
            <w:vAlign w:val="bottom"/>
            <w:shd w:val="clear" w:color="auto" w:fill="CFF0FC"/>
          </w:tcPr>
          <w:p>
            <w:pPr>
              <w:spacing w:after="0"/>
              <w:rPr>
                <w:sz w:val="21"/>
                <w:szCs w:val="21"/>
                <w:color w:val="auto"/>
              </w:rPr>
            </w:pP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0"/>
                <w:szCs w:val="20"/>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21"/>
                <w:szCs w:val="21"/>
                <w:color w:val="auto"/>
              </w:rPr>
            </w:pP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(774 )</w:t>
            </w:r>
          </w:p>
        </w:tc>
      </w:tr>
      <w:tr>
        <w:trPr>
          <w:trHeight w:val="270"/>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Borders>
              <w:bottom w:val="single" w:sz="8" w:color="CFF0FC"/>
            </w:tcBorders>
            <w:shd w:val="clear" w:color="auto" w:fill="CFF0FC"/>
          </w:tcPr>
          <w:p>
            <w:pPr>
              <w:spacing w:after="0"/>
              <w:rPr>
                <w:sz w:val="23"/>
                <w:szCs w:val="23"/>
                <w:color w:val="auto"/>
              </w:rPr>
            </w:pP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FF0FC"/>
          </w:tcPr>
          <w:p>
            <w:pPr>
              <w:spacing w:after="0"/>
              <w:rPr>
                <w:sz w:val="21"/>
                <w:szCs w:val="21"/>
                <w:color w:val="auto"/>
              </w:rPr>
            </w:pP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4.4 years</w:t>
            </w:r>
          </w:p>
        </w:tc>
      </w:tr>
      <w:tr>
        <w:trPr>
          <w:trHeight w:val="256"/>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-642620</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-624840</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the Corporation's non-cancelable lease agreements in effect at December 31, 2020, the following table summarizes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Corporation's maturities of lease liabilities as of March 31, 2021:</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9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(in thousands)</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jc w:val="right"/>
              <w:ind w:right="8510"/>
              <w:spacing w:after="0"/>
              <w:rPr>
                <w:sz w:val="20"/>
                <w:szCs w:val="20"/>
                <w:color w:val="auto"/>
              </w:rPr>
            </w:pPr>
            <w:r>
              <w:rPr>
                <w:rFonts w:ascii="Arial" w:cs="Arial" w:eastAsia="Arial" w:hAnsi="Arial"/>
                <w:sz w:val="18"/>
                <w:szCs w:val="18"/>
                <w:color w:val="auto"/>
                <w:w w:val="99"/>
              </w:rPr>
              <w:t>2021</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FF0FC"/>
          </w:tcPr>
          <w:p>
            <w:pPr>
              <w:spacing w:after="0"/>
              <w:rPr>
                <w:sz w:val="21"/>
                <w:szCs w:val="21"/>
                <w:color w:val="auto"/>
              </w:rPr>
            </w:pPr>
          </w:p>
        </w:tc>
      </w:tr>
      <w:tr>
        <w:trPr>
          <w:trHeight w:val="237"/>
        </w:trPr>
        <w:tc>
          <w:tcPr>
            <w:tcW w:w="9020" w:type="dxa"/>
            <w:vAlign w:val="bottom"/>
          </w:tcPr>
          <w:p>
            <w:pPr>
              <w:jc w:val="right"/>
              <w:ind w:right="8510"/>
              <w:spacing w:after="0"/>
              <w:rPr>
                <w:sz w:val="20"/>
                <w:szCs w:val="20"/>
                <w:color w:val="auto"/>
              </w:rPr>
            </w:pPr>
            <w:r>
              <w:rPr>
                <w:rFonts w:ascii="Arial" w:cs="Arial" w:eastAsia="Arial" w:hAnsi="Arial"/>
                <w:sz w:val="18"/>
                <w:szCs w:val="18"/>
                <w:color w:val="auto"/>
                <w:w w:val="99"/>
              </w:rPr>
              <w:t>2022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20"/>
                <w:szCs w:val="20"/>
                <w:color w:val="auto"/>
              </w:rPr>
            </w:pPr>
          </w:p>
        </w:tc>
      </w:tr>
      <w:tr>
        <w:trPr>
          <w:trHeight w:val="249"/>
        </w:trPr>
        <w:tc>
          <w:tcPr>
            <w:tcW w:w="9020" w:type="dxa"/>
            <w:vAlign w:val="bottom"/>
            <w:shd w:val="clear" w:color="auto" w:fill="CFF0FC"/>
          </w:tcPr>
          <w:p>
            <w:pPr>
              <w:jc w:val="right"/>
              <w:ind w:right="8510"/>
              <w:spacing w:after="0"/>
              <w:rPr>
                <w:sz w:val="20"/>
                <w:szCs w:val="20"/>
                <w:color w:val="auto"/>
              </w:rPr>
            </w:pPr>
            <w:r>
              <w:rPr>
                <w:rFonts w:ascii="Arial" w:cs="Arial" w:eastAsia="Arial" w:hAnsi="Arial"/>
                <w:sz w:val="18"/>
                <w:szCs w:val="18"/>
                <w:color w:val="auto"/>
                <w:w w:val="99"/>
              </w:rPr>
              <w:t>2023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FF0FC"/>
          </w:tcPr>
          <w:p>
            <w:pPr>
              <w:spacing w:after="0"/>
              <w:rPr>
                <w:sz w:val="21"/>
                <w:szCs w:val="21"/>
                <w:color w:val="auto"/>
              </w:rPr>
            </w:pPr>
          </w:p>
        </w:tc>
      </w:tr>
      <w:tr>
        <w:trPr>
          <w:trHeight w:val="237"/>
        </w:trPr>
        <w:tc>
          <w:tcPr>
            <w:tcW w:w="9020" w:type="dxa"/>
            <w:vAlign w:val="bottom"/>
          </w:tcPr>
          <w:p>
            <w:pPr>
              <w:jc w:val="right"/>
              <w:ind w:right="8510"/>
              <w:spacing w:after="0"/>
              <w:rPr>
                <w:sz w:val="20"/>
                <w:szCs w:val="20"/>
                <w:color w:val="auto"/>
              </w:rPr>
            </w:pPr>
            <w:r>
              <w:rPr>
                <w:rFonts w:ascii="Arial" w:cs="Arial" w:eastAsia="Arial" w:hAnsi="Arial"/>
                <w:sz w:val="18"/>
                <w:szCs w:val="18"/>
                <w:color w:val="auto"/>
                <w:w w:val="99"/>
              </w:rPr>
              <w:t>2024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0"/>
                <w:szCs w:val="20"/>
                <w:color w:val="auto"/>
              </w:rPr>
            </w:pPr>
          </w:p>
        </w:tc>
      </w:tr>
      <w:tr>
        <w:trPr>
          <w:trHeight w:val="249"/>
        </w:trPr>
        <w:tc>
          <w:tcPr>
            <w:tcW w:w="9020" w:type="dxa"/>
            <w:vAlign w:val="bottom"/>
            <w:shd w:val="clear" w:color="auto" w:fill="CFF0FC"/>
          </w:tcPr>
          <w:p>
            <w:pPr>
              <w:jc w:val="right"/>
              <w:ind w:right="8510"/>
              <w:spacing w:after="0"/>
              <w:rPr>
                <w:sz w:val="20"/>
                <w:szCs w:val="20"/>
                <w:color w:val="auto"/>
              </w:rPr>
            </w:pPr>
            <w:r>
              <w:rPr>
                <w:rFonts w:ascii="Arial" w:cs="Arial" w:eastAsia="Arial" w:hAnsi="Arial"/>
                <w:sz w:val="18"/>
                <w:szCs w:val="18"/>
                <w:color w:val="auto"/>
                <w:w w:val="99"/>
              </w:rPr>
              <w:t>2025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FF0FC"/>
          </w:tcPr>
          <w:p>
            <w:pPr>
              <w:spacing w:after="0"/>
              <w:rPr>
                <w:sz w:val="21"/>
                <w:szCs w:val="21"/>
                <w:color w:val="auto"/>
              </w:rPr>
            </w:pP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shd w:val="clear" w:color="auto" w:fill="CFF0FC"/>
          </w:tcPr>
          <w:p>
            <w:pPr>
              <w:spacing w:after="0"/>
              <w:rPr>
                <w:sz w:val="20"/>
                <w:szCs w:val="20"/>
                <w:color w:val="auto"/>
              </w:rPr>
            </w:pP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(2,636 )</w:t>
            </w:r>
          </w:p>
        </w:tc>
      </w:tr>
      <w:tr>
        <w:trPr>
          <w:trHeight w:val="270"/>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Convertible preferred stock</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Legacy Clover's preferred stock was convertible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conversion price (as described in Note 17, "Preferred stock," to financial statements in the Form 8-K/A) in effect at the time of conversion.</w:t>
      </w: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Merger Agreement, all outstanding shares of Legacy Clover's preferred stock automatically converted into 139,444,346 shares of Class B Common Stock after giving effect to the Exchange Ratio upon the closing of the Business Combination. See Note 3, "Business combination" for additional information on the Business Combination.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w:t>
      </w:r>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compensation that is contributed by the employee up to 4% of eligible annual compensation. The Corporation's service contributions to the 401(k) Plan amounted to approximately $0.3 million and $0.4 million for the three months ended March 31, 2021, and 2020, respectively, and are included in salaries and benefits on the Condensed Consolidated Statements of Operations and Comprehensive Loss. The Corporation's cash match is invested pursuant to the participant's contribution direction. Employer contributions are immediately 100% vested.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Corporation's 2020 Equity Incentive Plan (the "2020 Plan"), 2014 Equity Incentive Plan (the "2014 Plan"), and the 2020 Management Incentive Plan (collectively with the 2020 Plan and the 2014 Plan, the "Plan"), provide for grants to acquire shares of the Corporation's common stock, par value $0.0001 per share, to employees, directors, officers, and consultants of the Corporation. During the three months ended March 31, 2021, the Corporation approved the 2020 Plan and the 2020 Management Incentive Plan. The maximum number of shares of the Corporation's common stock reserved for issuance over the term of the Plan, shares outstanding, and shares remaining under the Plan, after giving effect to the Exchange Ratio, as of March 31, 2021 and December 31, 2020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 Authorized</w:t>
            </w:r>
          </w:p>
        </w:tc>
        <w:tc>
          <w:tcPr>
            <w:tcW w:w="3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w w:val="90"/>
              </w:rPr>
              <w:t>Shares Outstanding Under</w:t>
            </w:r>
          </w:p>
        </w:tc>
        <w:tc>
          <w:tcPr>
            <w:tcW w:w="300" w:type="dxa"/>
            <w:vAlign w:val="bottom"/>
          </w:tcPr>
          <w:p>
            <w:pPr>
              <w:spacing w:after="0"/>
              <w:rPr>
                <w:sz w:val="18"/>
                <w:szCs w:val="18"/>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 Remaining</w:t>
            </w:r>
          </w:p>
        </w:tc>
        <w:tc>
          <w:tcPr>
            <w:tcW w:w="100" w:type="dxa"/>
            <w:vAlign w:val="bottom"/>
          </w:tcPr>
          <w:p>
            <w:pPr>
              <w:spacing w:after="0"/>
              <w:rPr>
                <w:sz w:val="18"/>
                <w:szCs w:val="18"/>
                <w:color w:val="auto"/>
              </w:rPr>
            </w:pPr>
          </w:p>
        </w:tc>
      </w:tr>
      <w:tr>
        <w:trPr>
          <w:trHeight w:val="234"/>
        </w:trPr>
        <w:tc>
          <w:tcPr>
            <w:tcW w:w="4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Under Plan</w:t>
            </w:r>
          </w:p>
        </w:tc>
        <w:tc>
          <w:tcPr>
            <w:tcW w:w="340" w:type="dxa"/>
            <w:vAlign w:val="bottom"/>
          </w:tcPr>
          <w:p>
            <w:pPr>
              <w:spacing w:after="0"/>
              <w:rPr>
                <w:sz w:val="20"/>
                <w:szCs w:val="20"/>
                <w:color w:val="auto"/>
              </w:rPr>
            </w:pPr>
          </w:p>
        </w:tc>
        <w:tc>
          <w:tcPr>
            <w:tcW w:w="21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Plan</w:t>
            </w:r>
          </w:p>
        </w:tc>
        <w:tc>
          <w:tcPr>
            <w:tcW w:w="300" w:type="dxa"/>
            <w:vAlign w:val="bottom"/>
          </w:tcPr>
          <w:p>
            <w:pPr>
              <w:spacing w:after="0"/>
              <w:rPr>
                <w:sz w:val="20"/>
                <w:szCs w:val="20"/>
                <w:color w:val="auto"/>
              </w:rPr>
            </w:pP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Under Plan</w:t>
            </w:r>
          </w:p>
        </w:tc>
        <w:tc>
          <w:tcPr>
            <w:tcW w:w="100" w:type="dxa"/>
            <w:vAlign w:val="bottom"/>
          </w:tcPr>
          <w:p>
            <w:pPr>
              <w:spacing w:after="0"/>
              <w:rPr>
                <w:sz w:val="20"/>
                <w:szCs w:val="20"/>
                <w:color w:val="auto"/>
              </w:rPr>
            </w:pPr>
          </w:p>
        </w:tc>
      </w:tr>
      <w:tr>
        <w:trPr>
          <w:trHeight w:val="237"/>
        </w:trPr>
        <w:tc>
          <w:tcPr>
            <w:tcW w:w="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2014</w:t>
            </w:r>
          </w:p>
        </w:tc>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w:t>
            </w:r>
          </w:p>
        </w:tc>
        <w:tc>
          <w:tcPr>
            <w:tcW w:w="220" w:type="dxa"/>
            <w:vAlign w:val="bottom"/>
            <w:shd w:val="clear" w:color="auto" w:fill="CFF0FC"/>
          </w:tcPr>
          <w:p>
            <w:pPr>
              <w:spacing w:after="0"/>
              <w:rPr>
                <w:sz w:val="20"/>
                <w:szCs w:val="20"/>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54,402,264</w:t>
            </w:r>
          </w:p>
        </w:tc>
        <w:tc>
          <w:tcPr>
            <w:tcW w:w="34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46,231,470</w:t>
            </w:r>
          </w:p>
        </w:tc>
        <w:tc>
          <w:tcPr>
            <w:tcW w:w="300" w:type="dxa"/>
            <w:vAlign w:val="bottom"/>
            <w:shd w:val="clear" w:color="auto" w:fill="CFF0FC"/>
          </w:tcPr>
          <w:p>
            <w:pPr>
              <w:spacing w:after="0"/>
              <w:rPr>
                <w:sz w:val="20"/>
                <w:szCs w:val="20"/>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20"/>
                <w:szCs w:val="20"/>
                <w:color w:val="auto"/>
              </w:rPr>
            </w:pPr>
          </w:p>
        </w:tc>
      </w:tr>
      <w:tr>
        <w:trPr>
          <w:trHeight w:val="237"/>
        </w:trPr>
        <w:tc>
          <w:tcPr>
            <w:tcW w:w="400" w:type="dxa"/>
            <w:vAlign w:val="bottom"/>
          </w:tcPr>
          <w:p>
            <w:pPr>
              <w:ind w:left="20"/>
              <w:spacing w:after="0"/>
              <w:rPr>
                <w:sz w:val="20"/>
                <w:szCs w:val="20"/>
                <w:color w:val="auto"/>
              </w:rPr>
            </w:pPr>
            <w:r>
              <w:rPr>
                <w:rFonts w:ascii="Arial" w:cs="Arial" w:eastAsia="Arial" w:hAnsi="Arial"/>
                <w:sz w:val="18"/>
                <w:szCs w:val="18"/>
                <w:color w:val="auto"/>
                <w:w w:val="89"/>
              </w:rPr>
              <w:t>2020</w:t>
            </w:r>
          </w:p>
        </w:tc>
        <w:tc>
          <w:tcPr>
            <w:tcW w:w="3860" w:type="dxa"/>
            <w:vAlign w:val="bottom"/>
          </w:tcPr>
          <w:p>
            <w:pPr>
              <w:ind w:left="20"/>
              <w:spacing w:after="0"/>
              <w:rPr>
                <w:sz w:val="20"/>
                <w:szCs w:val="20"/>
                <w:color w:val="auto"/>
              </w:rPr>
            </w:pPr>
            <w:r>
              <w:rPr>
                <w:rFonts w:ascii="Arial" w:cs="Arial" w:eastAsia="Arial" w:hAnsi="Arial"/>
                <w:sz w:val="18"/>
                <w:szCs w:val="18"/>
                <w:color w:val="auto"/>
              </w:rPr>
              <w:t>Plan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30,641,401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1,924,526</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28,716,875</w:t>
            </w:r>
          </w:p>
        </w:tc>
        <w:tc>
          <w:tcPr>
            <w:tcW w:w="100" w:type="dxa"/>
            <w:vAlign w:val="bottom"/>
          </w:tcPr>
          <w:p>
            <w:pPr>
              <w:spacing w:after="0"/>
              <w:rPr>
                <w:sz w:val="20"/>
                <w:szCs w:val="20"/>
                <w:color w:val="auto"/>
              </w:rPr>
            </w:pPr>
          </w:p>
        </w:tc>
      </w:tr>
      <w:tr>
        <w:trPr>
          <w:trHeight w:val="249"/>
        </w:trPr>
        <w:tc>
          <w:tcPr>
            <w:tcW w:w="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2020</w:t>
            </w:r>
          </w:p>
        </w:tc>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Management Incentive Plan</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33,426,983</w:t>
            </w:r>
          </w:p>
        </w:tc>
        <w:tc>
          <w:tcPr>
            <w:tcW w:w="2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33,426,983</w:t>
            </w:r>
          </w:p>
        </w:tc>
        <w:tc>
          <w:tcPr>
            <w:tcW w:w="30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Shares Authorized</w:t>
            </w:r>
          </w:p>
        </w:tc>
        <w:tc>
          <w:tcPr>
            <w:tcW w:w="3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w w:val="90"/>
              </w:rPr>
              <w:t>Shares Outstanding Under</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Remaining</w:t>
            </w:r>
          </w:p>
        </w:tc>
        <w:tc>
          <w:tcPr>
            <w:tcW w:w="100" w:type="dxa"/>
            <w:vAlign w:val="bottom"/>
          </w:tcPr>
          <w:p>
            <w:pPr>
              <w:spacing w:after="0"/>
              <w:rPr>
                <w:sz w:val="18"/>
                <w:szCs w:val="18"/>
                <w:color w:val="auto"/>
              </w:rPr>
            </w:pPr>
          </w:p>
        </w:tc>
      </w:tr>
      <w:tr>
        <w:trPr>
          <w:trHeight w:val="234"/>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Under Plan</w:t>
            </w:r>
          </w:p>
        </w:tc>
        <w:tc>
          <w:tcPr>
            <w:tcW w:w="340" w:type="dxa"/>
            <w:vAlign w:val="bottom"/>
          </w:tcPr>
          <w:p>
            <w:pPr>
              <w:spacing w:after="0"/>
              <w:rPr>
                <w:sz w:val="20"/>
                <w:szCs w:val="20"/>
                <w:color w:val="auto"/>
              </w:rPr>
            </w:pPr>
          </w:p>
        </w:tc>
        <w:tc>
          <w:tcPr>
            <w:tcW w:w="21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Plan</w:t>
            </w:r>
          </w:p>
        </w:tc>
        <w:tc>
          <w:tcPr>
            <w:tcW w:w="3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Under Plan</w:t>
            </w:r>
          </w:p>
        </w:tc>
        <w:tc>
          <w:tcPr>
            <w:tcW w:w="100" w:type="dxa"/>
            <w:vAlign w:val="bottom"/>
          </w:tcPr>
          <w:p>
            <w:pPr>
              <w:spacing w:after="0"/>
              <w:rPr>
                <w:sz w:val="20"/>
                <w:szCs w:val="20"/>
                <w:color w:val="auto"/>
              </w:rPr>
            </w:pPr>
          </w:p>
        </w:tc>
      </w:tr>
      <w:tr>
        <w:trPr>
          <w:trHeight w:val="23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2014 Plan</w:t>
            </w:r>
          </w:p>
        </w:tc>
        <w:tc>
          <w:tcPr>
            <w:tcW w:w="220" w:type="dxa"/>
            <w:vAlign w:val="bottom"/>
            <w:shd w:val="clear" w:color="auto" w:fill="CFF0FC"/>
          </w:tcPr>
          <w:p>
            <w:pPr>
              <w:spacing w:after="0"/>
              <w:rPr>
                <w:sz w:val="20"/>
                <w:szCs w:val="20"/>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54,402,264</w:t>
            </w:r>
          </w:p>
        </w:tc>
        <w:tc>
          <w:tcPr>
            <w:tcW w:w="34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36,557,759</w:t>
            </w:r>
          </w:p>
        </w:tc>
        <w:tc>
          <w:tcPr>
            <w:tcW w:w="300" w:type="dxa"/>
            <w:vAlign w:val="bottom"/>
            <w:shd w:val="clear" w:color="auto" w:fill="CFF0FC"/>
          </w:tcPr>
          <w:p>
            <w:pPr>
              <w:spacing w:after="0"/>
              <w:rPr>
                <w:sz w:val="20"/>
                <w:szCs w:val="20"/>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17,844,505</w:t>
            </w:r>
          </w:p>
        </w:tc>
        <w:tc>
          <w:tcPr>
            <w:tcW w:w="10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the closing of the Business Combination, the 2014 Plan terminated at which time the outstanding awards previously granted thereunder were assumed by the Corporation, and no new awards are available for grant under the 2014 Plan. Shares that are expired, terminated, surrendered or canceled under the Plan without having been fully exercised will be available for future awards under the 2020 Plan. Shares may be issued from authorized but unissued Corporation stock.</w:t>
      </w:r>
    </w:p>
    <w:p>
      <w:pPr>
        <w:spacing w:after="0" w:line="200" w:lineRule="exact"/>
        <w:rPr>
          <w:sz w:val="20"/>
          <w:szCs w:val="20"/>
          <w:color w:val="auto"/>
        </w:rPr>
      </w:pP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Plan is administered by the Board. The options are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a share of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four years. The fair value of each restricted stock award is determined based on the fair value of the Corporation's common shares on the date of grant. The total estimated fair value is amortized as an expense over the requisite service period as approved by the Board.</w:t>
      </w:r>
    </w:p>
    <w:p>
      <w:pPr>
        <w:spacing w:after="0" w:line="3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granted options to purchase 1,937,968 shares of common stock during the three months ended March 31, 2021. The Corporation recorded stock-based compensation expense for options, RSUs, and performance restricted stock units ("PRSUs") granted of $42.7 million during the three months ended March 31, 2021, presented in salaries and benefits in the accompanying Condensed Consolidated Statements of Operations and Comprehensive Loss. Compensation cost presented in salaries and benefits in the accompanying Condensed Consolidated Statements of Operations and Comprehensive Loss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2"/>
        </w:trPr>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0"/>
              </w:rPr>
              <w:t>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w:t>
            </w:r>
          </w:p>
        </w:tc>
        <w:tc>
          <w:tcPr>
            <w:tcW w:w="7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14,052</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PRSUs</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24,967</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42,713</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-182245</wp:posOffset>
            </wp:positionV>
            <wp:extent cx="179705" cy="4763"/>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9705"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4763"/>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there was approximately $511.5 million of unrecognized stock-based compensation expense related to unvested stock options, RSUs, and PRSUs, estimated to be recognized over a period of 4.78 years. As of December 31, 2020, there was approximately $14.9 million of unrecognized stock-based compensation expense related to unvested stock options.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Stock options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grant-date fair value of stock options granted for the three months ended March 31, 2021 and 2020, respectively,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68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5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60" w:type="dxa"/>
            <w:vAlign w:val="bottom"/>
            <w:shd w:val="clear" w:color="auto" w:fill="CFF0FC"/>
          </w:tcPr>
          <w:p>
            <w:pPr>
              <w:spacing w:after="0"/>
              <w:rPr>
                <w:sz w:val="20"/>
                <w:szCs w:val="20"/>
                <w:color w:val="auto"/>
              </w:rPr>
            </w:pPr>
          </w:p>
        </w:tc>
        <w:tc>
          <w:tcPr>
            <w:tcW w:w="1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color w:val="auto"/>
              </w:rPr>
              <w:t>37.74 %</w:t>
            </w:r>
          </w:p>
        </w:tc>
        <w:tc>
          <w:tcPr>
            <w:tcW w:w="160" w:type="dxa"/>
            <w:vAlign w:val="bottom"/>
            <w:shd w:val="clear" w:color="auto" w:fill="CFF0FC"/>
          </w:tcPr>
          <w:p>
            <w:pPr>
              <w:spacing w:after="0"/>
              <w:rPr>
                <w:sz w:val="22"/>
                <w:szCs w:val="22"/>
                <w:color w:val="auto"/>
              </w:rPr>
            </w:pP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29.63 %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445"/>
        </w:trPr>
        <w:tc>
          <w:tcPr>
            <w:tcW w:w="9600" w:type="dxa"/>
            <w:vAlign w:val="bottom"/>
            <w:gridSpan w:val="6"/>
          </w:tcPr>
          <w:p>
            <w:pPr>
              <w:spacing w:after="0"/>
              <w:rPr>
                <w:sz w:val="20"/>
                <w:szCs w:val="20"/>
                <w:color w:val="auto"/>
              </w:rPr>
            </w:pPr>
            <w:r>
              <w:rPr>
                <w:rFonts w:ascii="Arial" w:cs="Arial" w:eastAsia="Arial" w:hAnsi="Arial"/>
                <w:sz w:val="18"/>
                <w:szCs w:val="18"/>
                <w:color w:val="auto"/>
              </w:rPr>
              <w:t>A summary of option activity under the 2020 Plan during the three months ended March 31, 2021 is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Weighted-average</w:t>
            </w:r>
          </w:p>
        </w:tc>
      </w:tr>
      <w:tr>
        <w:trPr>
          <w:trHeight w:val="234"/>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Number of options</w:t>
            </w:r>
          </w:p>
        </w:tc>
        <w:tc>
          <w:tcPr>
            <w:tcW w:w="160" w:type="dxa"/>
            <w:vAlign w:val="bottom"/>
          </w:tcPr>
          <w:p>
            <w:pPr>
              <w:spacing w:after="0"/>
              <w:rPr>
                <w:sz w:val="20"/>
                <w:szCs w:val="20"/>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2021</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 during 2021</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1,937,968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r>
      <w:tr>
        <w:trPr>
          <w:trHeight w:val="25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gridSpan w:val="5"/>
          </w:tcPr>
          <w:p>
            <w:pPr>
              <w:jc w:val="right"/>
              <w:ind w:right="200"/>
              <w:spacing w:after="0"/>
              <w:rPr>
                <w:sz w:val="20"/>
                <w:szCs w:val="20"/>
                <w:color w:val="auto"/>
              </w:rPr>
            </w:pPr>
            <w:r>
              <w:rPr>
                <w:rFonts w:ascii="Arial" w:cs="Arial" w:eastAsia="Arial" w:hAnsi="Arial"/>
                <w:sz w:val="18"/>
                <w:szCs w:val="18"/>
                <w:color w:val="auto"/>
              </w:rPr>
              <w:t>(13,442 )</w:t>
            </w: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r>
      <w:tr>
        <w:trPr>
          <w:trHeight w:val="270"/>
        </w:trPr>
        <w:tc>
          <w:tcPr>
            <w:tcW w:w="7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March 31, 2021</w:t>
            </w:r>
          </w:p>
        </w:tc>
        <w:tc>
          <w:tcPr>
            <w:tcW w:w="180" w:type="dxa"/>
            <w:vAlign w:val="bottom"/>
            <w:tcBorders>
              <w:bottom w:val="single" w:sz="8" w:color="CFF0FC"/>
            </w:tcBorders>
            <w:gridSpan w:val="2"/>
            <w:shd w:val="clear" w:color="auto" w:fill="CFF0FC"/>
          </w:tcPr>
          <w:p>
            <w:pPr>
              <w:spacing w:after="0"/>
              <w:rPr>
                <w:sz w:val="23"/>
                <w:szCs w:val="23"/>
                <w:color w:val="auto"/>
              </w:rPr>
            </w:pPr>
          </w:p>
        </w:tc>
        <w:tc>
          <w:tcPr>
            <w:tcW w:w="1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1,924,526</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19"/>
        </w:trPr>
        <w:tc>
          <w:tcPr>
            <w:tcW w:w="9600" w:type="dxa"/>
            <w:vAlign w:val="bottom"/>
            <w:gridSpan w:val="6"/>
          </w:tcPr>
          <w:p>
            <w:pPr>
              <w:spacing w:after="0"/>
              <w:rPr>
                <w:sz w:val="20"/>
                <w:szCs w:val="20"/>
                <w:color w:val="auto"/>
              </w:rPr>
            </w:pPr>
            <w:r>
              <w:rPr>
                <w:rFonts w:ascii="Arial" w:cs="Arial" w:eastAsia="Arial" w:hAnsi="Arial"/>
                <w:sz w:val="18"/>
                <w:szCs w:val="18"/>
                <w:color w:val="auto"/>
              </w:rPr>
              <w:t>A summary of option activity under the 2014 Plan during the three months ended March 31, 2021 is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Weighted-average</w:t>
            </w:r>
          </w:p>
        </w:tc>
      </w:tr>
      <w:tr>
        <w:trPr>
          <w:trHeight w:val="234"/>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Number of options</w:t>
            </w:r>
          </w:p>
        </w:tc>
        <w:tc>
          <w:tcPr>
            <w:tcW w:w="160" w:type="dxa"/>
            <w:vAlign w:val="bottom"/>
          </w:tcPr>
          <w:p>
            <w:pPr>
              <w:spacing w:after="0"/>
              <w:rPr>
                <w:sz w:val="20"/>
                <w:szCs w:val="20"/>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2021</w:t>
            </w:r>
          </w:p>
        </w:tc>
        <w:tc>
          <w:tcPr>
            <w:tcW w:w="180" w:type="dxa"/>
            <w:vAlign w:val="bottom"/>
            <w:gridSpan w:val="2"/>
            <w:shd w:val="clear" w:color="auto" w:fill="CFF0FC"/>
          </w:tcPr>
          <w:p>
            <w:pPr>
              <w:spacing w:after="0"/>
              <w:rPr>
                <w:sz w:val="20"/>
                <w:szCs w:val="20"/>
                <w:color w:val="auto"/>
              </w:rPr>
            </w:pPr>
          </w:p>
        </w:tc>
        <w:tc>
          <w:tcPr>
            <w:tcW w:w="1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36,513,193</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Granted during 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204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color w:val="auto"/>
              </w:rPr>
              <w:t>(761,480 )</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21"/>
                <w:szCs w:val="2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gridSpan w:val="5"/>
          </w:tcPr>
          <w:p>
            <w:pPr>
              <w:jc w:val="right"/>
              <w:ind w:right="200"/>
              <w:spacing w:after="0"/>
              <w:rPr>
                <w:sz w:val="20"/>
                <w:szCs w:val="20"/>
                <w:color w:val="auto"/>
              </w:rPr>
            </w:pPr>
            <w:r>
              <w:rPr>
                <w:rFonts w:ascii="Arial" w:cs="Arial" w:eastAsia="Arial" w:hAnsi="Arial"/>
                <w:sz w:val="18"/>
                <w:szCs w:val="18"/>
                <w:color w:val="auto"/>
              </w:rPr>
              <w:t>(267,115 )</w:t>
            </w: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r>
      <w:tr>
        <w:trPr>
          <w:trHeight w:val="270"/>
        </w:trPr>
        <w:tc>
          <w:tcPr>
            <w:tcW w:w="7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March 31, 2021</w:t>
            </w:r>
          </w:p>
        </w:tc>
        <w:tc>
          <w:tcPr>
            <w:tcW w:w="180" w:type="dxa"/>
            <w:vAlign w:val="bottom"/>
            <w:tcBorders>
              <w:bottom w:val="single" w:sz="8" w:color="CFF0FC"/>
            </w:tcBorders>
            <w:gridSpan w:val="2"/>
            <w:shd w:val="clear" w:color="auto" w:fill="CFF0FC"/>
          </w:tcPr>
          <w:p>
            <w:pPr>
              <w:spacing w:after="0"/>
              <w:rPr>
                <w:sz w:val="23"/>
                <w:szCs w:val="23"/>
                <w:color w:val="auto"/>
              </w:rPr>
            </w:pPr>
          </w:p>
        </w:tc>
        <w:tc>
          <w:tcPr>
            <w:tcW w:w="1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35,484,598</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-1525270</wp:posOffset>
            </wp:positionV>
            <wp:extent cx="1714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-1508125</wp:posOffset>
            </wp:positionV>
            <wp:extent cx="1714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714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714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three months ended March 31, 2021 and 2020 was $3.36 per share and $1.82 per share, respectively.</w:t>
      </w:r>
    </w:p>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outstanding stock options, substantially all of which are expected to vest, had an aggregate intrinsic value of $187.8 million, and a weighted-average remaining contractual term of 7.3 years. As of March 31, 2021, there were 21,957,416 options exercisable under the Plan, with an aggregate intrinsic value of $120.1 million, a weighted-average exercise price of $2.09 per share, and a weighted-average remaining contractual term of 6.43 years. The total intrinsic value of stock options exercised during the three months ended March 31, 2021 and 2020 was $6.5 million and $0.1 million, respectively. Cash received from stock option exercises during the three months ended March 31, 2021 and 2020 totaled $1.2 million and $0.1 million, respectively.</w:t>
      </w: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r>
              <w:rPr>
                <w:rFonts w:ascii="Arial" w:cs="Arial" w:eastAsia="Arial" w:hAnsi="Arial"/>
                <w:sz w:val="18"/>
                <w:szCs w:val="18"/>
                <w:i w:val="1"/>
                <w:iCs w:val="1"/>
                <w:color w:val="auto"/>
              </w:rPr>
              <w:t>Restricted Stock Units</w:t>
            </w: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40" w:type="dxa"/>
            <w:vAlign w:val="bottom"/>
          </w:tcPr>
          <w:p>
            <w:pPr>
              <w:spacing w:after="0"/>
              <w:rPr>
                <w:sz w:val="20"/>
                <w:szCs w:val="20"/>
                <w:color w:val="auto"/>
              </w:rPr>
            </w:pPr>
            <w:r>
              <w:rPr>
                <w:rFonts w:ascii="Arial" w:cs="Arial" w:eastAsia="Arial" w:hAnsi="Arial"/>
                <w:sz w:val="18"/>
                <w:szCs w:val="18"/>
                <w:color w:val="auto"/>
              </w:rPr>
              <w:t>A summary of total RSU activity for the three months ended March 31, 2021 is presented below:</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9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2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16,844,216</w:t>
            </w:r>
          </w:p>
        </w:tc>
        <w:tc>
          <w:tcPr>
            <w:tcW w:w="100" w:type="dxa"/>
            <w:vAlign w:val="bottom"/>
            <w:shd w:val="clear" w:color="auto" w:fill="CFF0FC"/>
          </w:tcPr>
          <w:p>
            <w:pPr>
              <w:spacing w:after="0"/>
              <w:rPr>
                <w:sz w:val="20"/>
                <w:szCs w:val="20"/>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(95,834 )</w:t>
            </w:r>
          </w:p>
        </w:tc>
      </w:tr>
      <w:tr>
        <w:trPr>
          <w:trHeight w:val="270"/>
        </w:trPr>
        <w:tc>
          <w:tcPr>
            <w:tcW w:w="9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March 31, 2021</w:t>
            </w:r>
          </w:p>
        </w:tc>
        <w:tc>
          <w:tcPr>
            <w:tcW w:w="220" w:type="dxa"/>
            <w:vAlign w:val="bottom"/>
            <w:tcBorders>
              <w:bottom w:val="single" w:sz="8" w:color="CFF0FC"/>
            </w:tcBorders>
            <w:shd w:val="clear" w:color="auto" w:fill="CFF0FC"/>
          </w:tcPr>
          <w:p>
            <w:pPr>
              <w:spacing w:after="0"/>
              <w:rPr>
                <w:sz w:val="23"/>
                <w:szCs w:val="23"/>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16,748,382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the RSUs was $16.02 per underlying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granted PRSUs which become eligible to vest if prior to the vesting date the average closing price of one share of the Corporation's common stock for ninety consecutive days equals or exceeds a specified price (the "Market PRSUs"). The grant date fair value of the Market PRSUs is recognized as expense over the vesting period under the accelerated attribution method and is not adjusted in future periods for the success or failure to achieve the specified market condition.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weighted-average grant date fair value of Market PRSUs granted during the three months ended March 31, 2021 was $9.59 per underlying share. 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4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678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4"/>
                <w:szCs w:val="24"/>
                <w:color w:val="auto"/>
                <w:vertAlign w:val="superscript"/>
              </w:rPr>
              <w:t>(1)</w:t>
            </w:r>
          </w:p>
        </w:tc>
        <w:tc>
          <w:tcPr>
            <w:tcW w:w="4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20"/>
        </w:trPr>
        <w:tc>
          <w:tcPr>
            <w:tcW w:w="6780" w:type="dxa"/>
            <w:vAlign w:val="bottom"/>
          </w:tcPr>
          <w:p>
            <w:pPr>
              <w:ind w:left="20"/>
              <w:spacing w:after="0" w:line="22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4"/>
                <w:szCs w:val="24"/>
                <w:color w:val="auto"/>
                <w:vertAlign w:val="superscript"/>
              </w:rPr>
              <w:t>(2)</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0.50 %</w:t>
            </w:r>
          </w:p>
        </w:tc>
      </w:tr>
      <w:tr>
        <w:trPr>
          <w:trHeight w:val="259"/>
        </w:trPr>
        <w:tc>
          <w:tcPr>
            <w:tcW w:w="6780" w:type="dxa"/>
            <w:vAlign w:val="bottom"/>
          </w:tcPr>
          <w:p>
            <w:pPr>
              <w:ind w:left="20"/>
              <w:spacing w:after="0" w:line="259"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4"/>
                <w:szCs w:val="24"/>
                <w:color w:val="auto"/>
                <w:vertAlign w:val="superscript"/>
              </w:rPr>
              <w:t>(3)</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60" w:hanging="152"/>
        <w:spacing w:after="0" w:line="182" w:lineRule="auto"/>
        <w:tabs>
          <w:tab w:leader="none" w:pos="16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Expected volatility is based on a blend of peer group company historical data adjusted for the Corporation's leverage.</w:t>
      </w:r>
    </w:p>
    <w:p>
      <w:pPr>
        <w:ind w:left="160" w:hanging="152"/>
        <w:spacing w:after="0" w:line="182" w:lineRule="auto"/>
        <w:tabs>
          <w:tab w:leader="none" w:pos="16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Risk-free interest rate based on U.S. Treasury yields with a term equal to the remaining Performance Period as of the grant date.</w:t>
      </w:r>
    </w:p>
    <w:p>
      <w:pPr>
        <w:ind w:left="160" w:hanging="152"/>
        <w:spacing w:after="0" w:line="19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Dividend yield was assumed to be zero as the Corporation does not anticipate paying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PRSU activity for the three months ended March 31, 2021 is presented below:</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27,460,364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Non-vested at March 31, 2021</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27,460,364</w:t>
            </w:r>
          </w:p>
        </w:tc>
        <w:tc>
          <w:tcPr>
            <w:tcW w:w="100" w:type="dxa"/>
            <w:vAlign w:val="bottom"/>
          </w:tcPr>
          <w:p>
            <w:pPr>
              <w:spacing w:after="0"/>
              <w:rPr>
                <w:sz w:val="20"/>
                <w:szCs w:val="20"/>
                <w:color w:val="auto"/>
              </w:rPr>
            </w:pPr>
          </w:p>
        </w:tc>
      </w:tr>
      <w:tr>
        <w:trPr>
          <w:trHeight w:val="20"/>
        </w:trPr>
        <w:tc>
          <w:tcPr>
            <w:tcW w:w="88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4763"/>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March 31, 2021, there was $238.3 million of unrecognized share-based compensation expense related to PRSUs, which is expected to be recognized over a period of 4.78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and December 2017, the Corporation issued warrants to purchase 139,629 shares of the Corporation's common stock at an exercise price of $2.61 per share, and 122,052 shares of the Corporation's common stock at an exercise price of $3.45 per share, respectively, as part of payment to certain providers for services provided to the Corporation. These warrants were automatically exercised in connection with the Business Combination. See Note 3, "Business combination" for additional information. The total fair value of warrants vested during the three months ended March 31, 2021 and 2020, was $0.0 million and $1.0 million,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relating to the warrants of the service providers during the three months ended March 31, 2021 and 2020, respectively,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 of</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Weighted-average</w:t>
            </w:r>
          </w:p>
        </w:tc>
        <w:tc>
          <w:tcPr>
            <w:tcW w:w="100" w:type="dxa"/>
            <w:vAlign w:val="bottom"/>
          </w:tcPr>
          <w:p>
            <w:pPr>
              <w:spacing w:after="0"/>
              <w:rPr>
                <w:sz w:val="18"/>
                <w:szCs w:val="18"/>
                <w:color w:val="auto"/>
              </w:rPr>
            </w:pPr>
          </w:p>
        </w:tc>
      </w:tr>
      <w:tr>
        <w:trPr>
          <w:trHeight w:val="234"/>
        </w:trPr>
        <w:tc>
          <w:tcPr>
            <w:tcW w:w="7740" w:type="dxa"/>
            <w:vAlign w:val="bottom"/>
          </w:tcPr>
          <w:p>
            <w:pPr>
              <w:spacing w:after="0"/>
              <w:rPr>
                <w:sz w:val="20"/>
                <w:szCs w:val="20"/>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warrants</w:t>
            </w:r>
          </w:p>
        </w:tc>
        <w:tc>
          <w:tcPr>
            <w:tcW w:w="16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exercise price</w:t>
            </w:r>
          </w:p>
        </w:tc>
        <w:tc>
          <w:tcPr>
            <w:tcW w:w="100" w:type="dxa"/>
            <w:vAlign w:val="bottom"/>
          </w:tcPr>
          <w:p>
            <w:pPr>
              <w:spacing w:after="0"/>
              <w:rPr>
                <w:sz w:val="20"/>
                <w:szCs w:val="20"/>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December 31, 2019</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261,681</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Granted during 2020</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March 31, 2020</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261,681</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Outstanding, December 31, 2020</w:t>
            </w:r>
          </w:p>
        </w:tc>
        <w:tc>
          <w:tcPr>
            <w:tcW w:w="1580" w:type="dxa"/>
            <w:vAlign w:val="bottom"/>
          </w:tcPr>
          <w:p>
            <w:pPr>
              <w:jc w:val="right"/>
              <w:spacing w:after="0"/>
              <w:rPr>
                <w:sz w:val="20"/>
                <w:szCs w:val="20"/>
                <w:color w:val="auto"/>
              </w:rPr>
            </w:pPr>
            <w:r>
              <w:rPr>
                <w:rFonts w:ascii="Arial" w:cs="Arial" w:eastAsia="Arial" w:hAnsi="Arial"/>
                <w:sz w:val="18"/>
                <w:szCs w:val="18"/>
                <w:color w:val="auto"/>
              </w:rPr>
              <w:t>261,681</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 during 2021</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(261,681 )</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Outstanding, March 31, 2021</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-799465</wp:posOffset>
            </wp:positionV>
            <wp:extent cx="171450" cy="4763"/>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4763"/>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-182245</wp:posOffset>
            </wp:positionV>
            <wp:extent cx="171450" cy="4763"/>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4763"/>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effective tax rate of the Corporation for the three months ended March 31, 2021 and 2020, was (0.0%) and (0.0%), respectively. The Corporation continues to be in a net operating loss and net deferred tax asset position. As a result, and in accordance with accounting standards, the Corporation recorded a valuation allowance to reduce the value of the net deferred tax assets to zero. The Corporation believes that as of March 31, 2021, it had no material uncertain tax positions. Interest and penalties related to unrecognized tax expense (benefits) are recognized in income tax expense, when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liabilities for interest and penalties accrued as of March 31, 2021 and 2020.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the U.S. to provide certain relief in connection with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The Corporation has determined that neither the CARES Act and Consolidated Appropriations Act nor changes to income tax laws or regulations in other jurisdictions had a significant impact on our effective tax rate.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17. Net loss per share</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Net loss per share</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w w:val="97"/>
              </w:rPr>
              <w:t>Basic and diluted net loss per share attributable to common stockholders was calculated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7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32"/>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(dollars in thousands)</w:t>
            </w:r>
          </w:p>
        </w:tc>
      </w:tr>
      <w:tr>
        <w:trPr>
          <w:trHeight w:val="24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(48,417 )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(28,162 )</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(48,417 )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(28,162 )</w:t>
            </w:r>
          </w:p>
        </w:tc>
      </w:tr>
      <w:tr>
        <w:trPr>
          <w:trHeight w:val="199"/>
        </w:trPr>
        <w:tc>
          <w:tcPr>
            <w:tcW w:w="7720" w:type="dxa"/>
            <w:vAlign w:val="bottom"/>
            <w:shd w:val="clear" w:color="auto" w:fill="CFF0FC"/>
          </w:tcPr>
          <w:p>
            <w:pPr>
              <w:ind w:left="20"/>
              <w:spacing w:after="0" w:line="200" w:lineRule="exact"/>
              <w:rPr>
                <w:sz w:val="20"/>
                <w:szCs w:val="20"/>
                <w:color w:val="auto"/>
              </w:rPr>
            </w:pPr>
            <w:r>
              <w:rPr>
                <w:rFonts w:ascii="Arial" w:cs="Arial" w:eastAsia="Arial" w:hAnsi="Arial"/>
                <w:sz w:val="18"/>
                <w:szCs w:val="18"/>
                <w:color w:val="auto"/>
              </w:rPr>
              <w:t>Basic and diluted weighted average number of common shares and common share equivalents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2"/>
        </w:trPr>
        <w:tc>
          <w:tcPr>
            <w:tcW w:w="7720" w:type="dxa"/>
            <w:vAlign w:val="bottom"/>
            <w:tcBorders>
              <w:bottom w:val="single" w:sz="8" w:color="CFF0FC"/>
            </w:tcBorders>
            <w:shd w:val="clear" w:color="auto" w:fill="CFF0FC"/>
          </w:tcPr>
          <w:p>
            <w:pPr>
              <w:ind w:left="20"/>
              <w:spacing w:after="0" w:line="252"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4"/>
                <w:szCs w:val="24"/>
                <w:color w:val="auto"/>
                <w:vertAlign w:val="superscript"/>
              </w:rPr>
              <w:t>(1)</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376,170,545</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88,330,996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(0.13 )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-148590</wp:posOffset>
            </wp:positionV>
            <wp:extent cx="196850" cy="4763"/>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-148590</wp:posOffset>
            </wp:positionV>
            <wp:extent cx="68580" cy="4763"/>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21685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4" w:lineRule="exact"/>
        <w:rPr>
          <w:sz w:val="20"/>
          <w:szCs w:val="20"/>
          <w:color w:val="auto"/>
        </w:rPr>
      </w:pPr>
    </w:p>
    <w:p>
      <w:pPr>
        <w:ind w:firstLine="8"/>
        <w:spacing w:after="0" w:line="230" w:lineRule="auto"/>
        <w:tabs>
          <w:tab w:leader="none" w:pos="154"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-205740</wp:posOffset>
            </wp:positionV>
            <wp:extent cx="21685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19" w:lineRule="exact"/>
        <w:rPr>
          <w:sz w:val="20"/>
          <w:szCs w:val="20"/>
          <w:color w:val="auto"/>
        </w:rPr>
      </w:pPr>
      <w:r>
        <w:rPr>
          <w:rFonts w:ascii="Arial" w:cs="Arial" w:eastAsia="Arial" w:hAnsi="Arial"/>
          <w:sz w:val="17"/>
          <w:szCs w:val="17"/>
          <w:color w:val="auto"/>
        </w:rPr>
        <w:t>Because the Corporation had a net loss in the three months ended March 31, 2021 and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the weighted-average number of common shares outstanding used to calculate both basic and diluted net loss per share attributable to common stockholders is the same. The Corporation excluded the following potential common shares, presented based on amounts outstanding at each period end, from the computation of diluted net loss per share attributable to common stockholders for the periods indicated because including them would have had an anti</w:t>
      </w:r>
      <w:r>
        <w:rPr>
          <w:rFonts w:ascii="MS PGothic" w:cs="MS PGothic" w:eastAsia="MS PGothic" w:hAnsi="MS PGothic"/>
          <w:sz w:val="17"/>
          <w:szCs w:val="17"/>
          <w:color w:val="auto"/>
        </w:rPr>
        <w:t>‑</w:t>
      </w:r>
      <w:r>
        <w:rPr>
          <w:rFonts w:ascii="Arial" w:cs="Arial" w:eastAsia="Arial" w:hAnsi="Arial"/>
          <w:sz w:val="17"/>
          <w:szCs w:val="17"/>
          <w:color w:val="auto"/>
        </w:rPr>
        <w:t>dilutive effect: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4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8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Options to purchase common stock </w:t>
            </w:r>
            <w:r>
              <w:rPr>
                <w:rFonts w:ascii="Arial" w:cs="Arial" w:eastAsia="Arial" w:hAnsi="Arial"/>
                <w:sz w:val="24"/>
                <w:szCs w:val="24"/>
                <w:color w:val="auto"/>
                <w:vertAlign w:val="superscript"/>
              </w:rPr>
              <w:t>(1)</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37,409,124</w:t>
            </w:r>
          </w:p>
        </w:tc>
        <w:tc>
          <w:tcPr>
            <w:tcW w:w="28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36,353,061</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RSUs</w:t>
            </w:r>
          </w:p>
        </w:tc>
        <w:tc>
          <w:tcPr>
            <w:tcW w:w="1580" w:type="dxa"/>
            <w:vAlign w:val="bottom"/>
          </w:tcPr>
          <w:p>
            <w:pPr>
              <w:jc w:val="right"/>
              <w:spacing w:after="0"/>
              <w:rPr>
                <w:sz w:val="20"/>
                <w:szCs w:val="20"/>
                <w:color w:val="auto"/>
              </w:rPr>
            </w:pPr>
            <w:r>
              <w:rPr>
                <w:rFonts w:ascii="Arial" w:cs="Arial" w:eastAsia="Arial" w:hAnsi="Arial"/>
                <w:sz w:val="18"/>
                <w:szCs w:val="18"/>
                <w:color w:val="auto"/>
              </w:rPr>
              <w:t>16,748,379</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Convertible preferred stock (as converted to common stock) </w:t>
            </w:r>
            <w:r>
              <w:rPr>
                <w:rFonts w:ascii="Arial" w:cs="Arial" w:eastAsia="Arial" w:hAnsi="Arial"/>
                <w:sz w:val="24"/>
                <w:szCs w:val="24"/>
                <w:color w:val="auto"/>
                <w:vertAlign w:val="superscript"/>
              </w:rPr>
              <w:t>(1)</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139,444,346</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Warrants to purchase common stock (as converted to common stock) </w:t>
            </w:r>
            <w:r>
              <w:rPr>
                <w:rFonts w:ascii="Arial" w:cs="Arial" w:eastAsia="Arial" w:hAnsi="Arial"/>
                <w:sz w:val="24"/>
                <w:szCs w:val="24"/>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8"/>
                <w:szCs w:val="18"/>
                <w:color w:val="auto"/>
              </w:rPr>
              <w:t>38,533,271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4,884,132</w:t>
            </w:r>
          </w:p>
        </w:tc>
        <w:tc>
          <w:tcPr>
            <w:tcW w:w="100" w:type="dxa"/>
            <w:vAlign w:val="bottom"/>
          </w:tcPr>
          <w:p>
            <w:pPr>
              <w:spacing w:after="0"/>
              <w:rPr>
                <w:sz w:val="21"/>
                <w:szCs w:val="21"/>
                <w:color w:val="auto"/>
              </w:rPr>
            </w:pPr>
          </w:p>
        </w:tc>
      </w:tr>
      <w:tr>
        <w:trPr>
          <w:trHeight w:val="229"/>
        </w:trPr>
        <w:tc>
          <w:tcPr>
            <w:tcW w:w="772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Warrants to purchase convertible preferred stock (as converted to common stock) </w:t>
            </w:r>
            <w:r>
              <w:rPr>
                <w:rFonts w:ascii="Arial" w:cs="Arial" w:eastAsia="Arial" w:hAnsi="Arial"/>
                <w:sz w:val="24"/>
                <w:szCs w:val="24"/>
                <w:color w:val="auto"/>
                <w:vertAlign w:val="superscript"/>
              </w:rPr>
              <w:t>(1)</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2,618,770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4"/>
        </w:trPr>
        <w:tc>
          <w:tcPr>
            <w:tcW w:w="77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92,690,774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183,300,309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-148590</wp:posOffset>
            </wp:positionV>
            <wp:extent cx="179705" cy="4763"/>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9705"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-148590</wp:posOffset>
            </wp:positionV>
            <wp:extent cx="68580" cy="4763"/>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2168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4" w:lineRule="exact"/>
        <w:rPr>
          <w:sz w:val="20"/>
          <w:szCs w:val="20"/>
          <w:color w:val="auto"/>
        </w:rPr>
      </w:pPr>
    </w:p>
    <w:p>
      <w:pPr>
        <w:ind w:firstLine="8"/>
        <w:spacing w:after="0" w:line="258" w:lineRule="auto"/>
        <w:tabs>
          <w:tab w:leader="none" w:pos="154"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-231775</wp:posOffset>
            </wp:positionV>
            <wp:extent cx="21685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Actions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March 31, 2021, and December 31, 2020, respectively, there were no material known contingent liabilities arising outside the normal course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Securities Class Actions and Derivative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February 2021, we and certain of our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The complaints generally relate to allegations published in an article issued on February 4, 2021, by Hindenburg Research LLC.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April 2021, the Middle District of Tennessee class actions described above were consolidated under Bond v. Clover Health Investments, Corp. et al., Case No. 3:21-cv-00096 (M.D. Tenn.) as lead case. The court appointed a lead plaintiff, approved a lead counsel and a liaison counsel, and approved the parties' proposed schedule for filing an amended complaint and the defendants' responses.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our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3:21-vs-00320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the Corporation has determined that it is not probable or estimable that an unfavorable outcome or potential loss will occur. Clover intends to vigorously defend itself against the claims asserted against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assessments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Dividend restrictions</w:t>
      </w:r>
    </w:p>
    <w:p>
      <w:pPr>
        <w:spacing w:after="0" w:line="200" w:lineRule="exact"/>
        <w:rPr>
          <w:sz w:val="20"/>
          <w:szCs w:val="20"/>
          <w:color w:val="auto"/>
        </w:rPr>
      </w:pP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including obtaining prior approval by the New Jersey Department of Banking and Insurance ("DOBI"). As of March 31, 2021 and December 31, 2020, neither of the regulated insurance subsidiaries had paid any dividends.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Condensed Consolidated Financial Statements and notes thereto for the three months ended March 31, 2021 contained in this Quarterly Report on Form 10-Q (the "Form 10-Q") and the Consolidated Financial Statements and notes thereto for the year ended December 31, 2020 contained in Exhibit 99.5 of Amendment No. 1 to the Current Report on Form 8-K filed with the Securities and Exchange Commission (the "SEC") on April 1, 2021 (the "Form 8-K/A"). This discussion contains forward-looking statements and involves numerous risks and uncertainties, including, but not limited to, those described in the "Risk Factors" section of our 2020 Annual Report on Form 10-K filed with the SEC on March 31, 2021 (the "Form 10-K"). Actual results may differ materially from those contained in any forward-looking statements. Unless the context otherwise requires, references in this "Management’s Discussion and Analysis of Financial Condition and Results of Operations” to "we", "us", "our", "Clover", and "the Corporation" are intended to mean the business and operations of Clover Health Investments, Corp. and its consolidated subsidiaries subsequent to the closing of the Business Combination (as defined below).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We leverage our flagship software platform, the Clover Assistant, to help America’s seniors receive better care at lower costs. As a next generation Medicare Advantage ("MA") insurer, we operate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physician ("PCP") co-pays, specialist co-pays, drug deductibles and drug costs in their markets—and provide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initially launched our MA offering in 2013, scaling to our first nine MA markets, or counties, by 2016 with approximately 15,000 members. As of March 31, 2021, we operated in 108 MA markets across eight states with 66,348 Medicare Advantage members. As of March 31, 2021, our PPO plans were licensed in 45 states and the District of Columbia and were not licensed in Michigan, New Hampshire, New York, North Carolina and Vermont, and our HMO was licensed in New Jersey and Texas.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8, 2021, the Centers for Medicare and Medicaid Services ("CMS"), an agency of the United States Department of Health and Human Services, announced that the Corporation’s subsidiary Clover Health Partners, LLC, began participating as a Direct Contracting Entity in the CMS’s Global and Professional Direct Contracting Model on April 1, 2021. Clover’s Direct Contracting Entity, which assumes full risk (i.e., 100% shared savings and shared losses) for the total cost of care of aligned Original Medicare beneficiaries, also focuses on our technology platform, the Clover Assistant, to enhance health care delivery, reduce expenditures, and improve care for Original Medicare beneficiaries.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7, 2021, we consummated the previously announced domestication and mergers (the "Business Combination") pursuant to that certain Agreement and Plan of Merger, dated October 5, 2020 (the "Merger Agreement"), among Asclepius Merger Sub Inc., a former subsidiary of us, Clover Health Investments, Inc., a corporation originally incorporated on July 17, 2014, in the state of Delaware ("Legacy Clover"), and us. Additionally, in connection with the Business Combination, we issued and sold to certain investors an aggregate of 40,000,000 shares of our Class A Common Stock for an aggregate purchase price equal to $400.0 million (the "PIPE Investment") concurrently with the completion of the Business Combination. See Note 3 "Business Combination" in the Notes to the Condensed Consolidated Financial Statements included in Part I, Item 1 of this Form 10-Q for more information.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was accounted for as a reverse capitalization in accordance with accounting principles generally accepted in the United States of America ("GAAP"). Under the guidance in Accounting Standards Codification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Business Combination has had a significant impact on our reported financial position and results as a consequence of the reverse capitalization. The most significant change in our reported financial position and results is an estimated net increase in cash (as compared to our consolidated balance sheet at December 31, 2020) of approximately $670.0 million, which includes approximately $400.0 million in proceeds from the PIPE Investment, offset by additional transaction costs incurred in connection with the Business Combination. The estimated transaction costs for the Business Combination were approximately $61.0 million, of which $29.0 million represented deferred underwriter fees related to the initial public offering of Social Capital Hedosophia Holdings Corp. III ("SCH").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As a result of the Business Combination, we have become the successor to a public company, which required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additional information regarding the impacts of the Business Combination, see Note 3, "Business combination," Note 9, "Notes and securities payable," Note 10, "Warrants payable," and Note 14, "Convertible preferred stock" of the Notes to the Condensed Consolidated Financial Statements included in Part I, Item 1 of this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societal and economic impact of the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refocused our clinical operations in mid-March 2020 and fully adopted the CMS COVID-19 emergency policy changes, including multiple summary guidances issued over a 12-week period, from March 2020 to June 2020. We implemented many changes to provide continued care to members, including reorienting our in-home primary care program to provide care remotely, pivoting our post-hospital discharge program to video and telephonic encounters, and helping members receive their prescription medications at home.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we rapidly enhanced our Clover Assistant platform to focus on video and telephonic visits to ensure that our members received appropriate levels of care despite their inability to physically visit a physician’s office. In total, we pivoted from 100% in-person Clover Assistant visits before the COVID-19 pandemic to 82% and 64% virtual Clover Assistant visits during the months of April and May 2020, respectively.</w:t>
      </w:r>
    </w:p>
    <w:p>
      <w:pPr>
        <w:jc w:val="both"/>
        <w:spacing w:after="0" w:line="255" w:lineRule="auto"/>
        <w:rPr>
          <w:sz w:val="20"/>
          <w:szCs w:val="20"/>
          <w:color w:val="auto"/>
        </w:rPr>
      </w:pPr>
      <w:r>
        <w:rPr>
          <w:rFonts w:ascii="Arial" w:cs="Arial" w:eastAsia="Arial" w:hAnsi="Arial"/>
          <w:sz w:val="18"/>
          <w:szCs w:val="18"/>
          <w:color w:val="auto"/>
        </w:rPr>
        <w:t>To ensure care continuity, we have implemented multi-channel member communications to support our members staying in place, provider network support for telehealth adoption by PCP practices, and a nurse practitioner COVID-19 hotline reaching out to our most vulnerable members—acting as a clinical bridge for members whose provider offices had transiently closed.</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continuing to monitor the ongoing financial impact of COVID-19 on our business and operations and are making adjustments accordingly. We have waived member copays on certain COVID-19-related services and have worked closely with our open network of providers to ensure that members are receiving necessary care. Given that a large portion of our membership is elderly and generally in the high-risk category for COVID-19, we have incurred additional costs during the three months ended March 31, 2021, to care for those members who have contracted the virus, and we will likely continue to incur similar costs in the near future.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Medicare is allowing documentation prepared during video visits with patients to serve as support for CMS risk adjustments. While we intend to leverage Clover Assistant to increase the video visits for our members and document their health conditions on a timely basis, given the disruption caused by COVID-19, we may be unable to document the health conditions of our members as comprehensively as we did in previous years, which may adversely impact the accuracy of our risk adjustment factors and revenue in future periods.</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quarterly information presented in the following table illustrates the impact of COVID-19 on our financial results during each of the four quarters of 2020 and the first quarter of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4"/>
          </w:tcPr>
          <w:p>
            <w:pPr>
              <w:jc w:val="center"/>
              <w:ind w:right="61"/>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4"/>
          </w:tcPr>
          <w:p>
            <w:pPr>
              <w:jc w:val="center"/>
              <w:ind w:right="101"/>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21"/>
                <w:szCs w:val="21"/>
                <w:color w:val="auto"/>
              </w:rPr>
            </w:pPr>
          </w:p>
        </w:tc>
      </w:tr>
      <w:tr>
        <w:trPr>
          <w:trHeight w:val="228"/>
        </w:trPr>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PMPM</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PMPM</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PMPM</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PMPM</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PMPM</w:t>
            </w:r>
          </w:p>
        </w:tc>
        <w:tc>
          <w:tcPr>
            <w:tcW w:w="100" w:type="dxa"/>
            <w:vAlign w:val="bottom"/>
          </w:tcPr>
          <w:p>
            <w:pPr>
              <w:spacing w:after="0"/>
              <w:rPr>
                <w:sz w:val="19"/>
                <w:szCs w:val="19"/>
                <w:color w:val="auto"/>
              </w:rPr>
            </w:pPr>
          </w:p>
        </w:tc>
      </w:tr>
      <w:tr>
        <w:trPr>
          <w:trHeight w:val="237"/>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92"/>
              </w:rPr>
              <w:t>(dollars in thousands, except PMPM amounts)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Premiums earned, net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163,710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170,315</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167,075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164,598</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199,376</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FF0FC"/>
          </w:tcPr>
          <w:p>
            <w:pPr>
              <w:spacing w:after="0"/>
              <w:rPr>
                <w:sz w:val="21"/>
                <w:szCs w:val="21"/>
                <w:color w:val="auto"/>
              </w:rPr>
            </w:pPr>
          </w:p>
        </w:tc>
      </w:tr>
      <w:tr>
        <w:trPr>
          <w:trHeight w:val="206"/>
        </w:trPr>
        <w:tc>
          <w:tcPr>
            <w:tcW w:w="1740" w:type="dxa"/>
            <w:vAlign w:val="bottom"/>
          </w:tcPr>
          <w:p>
            <w:pPr>
              <w:ind w:left="20"/>
              <w:spacing w:after="0"/>
              <w:rPr>
                <w:sz w:val="20"/>
                <w:szCs w:val="20"/>
                <w:color w:val="auto"/>
              </w:rPr>
            </w:pPr>
            <w:r>
              <w:rPr>
                <w:rFonts w:ascii="Arial" w:cs="Arial" w:eastAsia="Arial" w:hAnsi="Arial"/>
                <w:sz w:val="16"/>
                <w:szCs w:val="16"/>
                <w:color w:val="auto"/>
              </w:rPr>
              <w:t>Net medical claims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40" w:type="dxa"/>
            <w:vAlign w:val="bottom"/>
          </w:tcPr>
          <w:p>
            <w:pPr>
              <w:ind w:left="20"/>
              <w:spacing w:after="0"/>
              <w:rPr>
                <w:sz w:val="20"/>
                <w:szCs w:val="20"/>
                <w:color w:val="auto"/>
              </w:rPr>
            </w:pPr>
            <w:r>
              <w:rPr>
                <w:rFonts w:ascii="Arial" w:cs="Arial" w:eastAsia="Arial" w:hAnsi="Arial"/>
                <w:sz w:val="16"/>
                <w:szCs w:val="16"/>
                <w:color w:val="auto"/>
              </w:rPr>
              <w:t>incurred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146,328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880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119,366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144,846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842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179,928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1,034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214,432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8"/>
                <w:szCs w:val="18"/>
                <w:color w:val="auto"/>
              </w:rPr>
            </w:pPr>
          </w:p>
        </w:tc>
      </w:tr>
      <w:tr>
        <w:trPr>
          <w:trHeight w:val="253"/>
        </w:trPr>
        <w:tc>
          <w:tcPr>
            <w:tcW w:w="1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(28,162 )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5,403</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(126,391 )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(48,417 )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r>
      <w:tr>
        <w:trPr>
          <w:trHeight w:val="223"/>
        </w:trPr>
        <w:tc>
          <w:tcPr>
            <w:tcW w:w="1740" w:type="dxa"/>
            <w:vAlign w:val="bottom"/>
          </w:tcPr>
          <w:p>
            <w:pPr>
              <w:ind w:left="20"/>
              <w:spacing w:after="0"/>
              <w:rPr>
                <w:sz w:val="20"/>
                <w:szCs w:val="20"/>
                <w:color w:val="auto"/>
              </w:rPr>
            </w:pPr>
            <w:r>
              <w:rPr>
                <w:rFonts w:ascii="Arial" w:cs="Arial" w:eastAsia="Arial" w:hAnsi="Arial"/>
                <w:sz w:val="16"/>
                <w:szCs w:val="16"/>
                <w:color w:val="auto"/>
              </w:rPr>
              <w:t>MCR</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89.4 %</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70.1 %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86.7 %</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109.3 %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107.6 %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bl>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late March and early April 2020, the COVID-19 pandemic caused an increase in our inpatient hospital costs as members started to experience admissions caused by the virus. The increase in hospital costs was ultimately more than fully offset by a reduction in outpatient and office-based utilization during the second quarter of 2020. In the second quarter of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In the fourth</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quarter of 2020 and the first quarter of 2021, we incurred additional net medical claims related to COVID-19 without experiencing the same offsetting reduction in outpatient and office-based utilization we experienced in the second quarter of 2020.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speed with which the COVID-19 situation is developing, the global breadth of its spread and the range of governmental and community reactions thereto, there remains uncertainty around its duration and ultimate impact, and the related financial impact on our business could change and cannot be accurately predicted at this time. For additional information regarding the risks to our business and results of operations related to the COVID-19 pandemic, see the section entitled "Risk Factors—Risks Related to Clover’s Business and Industry—We are subject to risks associated with the COVID-19 pandemic, which could have a material adverse effect on our business, results of operations, financial condition and financial performance" in the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line="222" w:lineRule="exact"/>
              <w:rPr>
                <w:sz w:val="20"/>
                <w:szCs w:val="20"/>
                <w:color w:val="auto"/>
              </w:rPr>
            </w:pPr>
            <w:r>
              <w:rPr>
                <w:rFonts w:ascii="Arial" w:cs="Arial" w:eastAsia="Arial" w:hAnsi="Arial"/>
                <w:sz w:val="18"/>
                <w:szCs w:val="18"/>
                <w:b w:val="1"/>
                <w:bCs w:val="1"/>
                <w:color w:val="auto"/>
                <w:w w:val="99"/>
              </w:rPr>
              <w:t xml:space="preserve">PMPM </w:t>
            </w:r>
            <w:r>
              <w:rPr>
                <w:rFonts w:ascii="Arial" w:cs="Arial" w:eastAsia="Arial" w:hAnsi="Arial"/>
                <w:sz w:val="24"/>
                <w:szCs w:val="24"/>
                <w:b w:val="1"/>
                <w:bCs w:val="1"/>
                <w:color w:val="auto"/>
                <w:w w:val="99"/>
                <w:vertAlign w:val="superscript"/>
              </w:rPr>
              <w:t>(1)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line="222" w:lineRule="exact"/>
              <w:rPr>
                <w:sz w:val="20"/>
                <w:szCs w:val="20"/>
                <w:color w:val="auto"/>
              </w:rPr>
            </w:pPr>
            <w:r>
              <w:rPr>
                <w:rFonts w:ascii="Arial" w:cs="Arial" w:eastAsia="Arial" w:hAnsi="Arial"/>
                <w:sz w:val="18"/>
                <w:szCs w:val="18"/>
                <w:b w:val="1"/>
                <w:bCs w:val="1"/>
                <w:color w:val="auto"/>
                <w:w w:val="99"/>
              </w:rPr>
              <w:t xml:space="preserve">PMPM </w:t>
            </w:r>
            <w:r>
              <w:rPr>
                <w:rFonts w:ascii="Arial" w:cs="Arial" w:eastAsia="Arial" w:hAnsi="Arial"/>
                <w:sz w:val="24"/>
                <w:szCs w:val="24"/>
                <w:b w:val="1"/>
                <w:bCs w:val="1"/>
                <w:color w:val="auto"/>
                <w:w w:val="99"/>
                <w:vertAlign w:val="superscript"/>
              </w:rPr>
              <w:t>(1)</w:t>
            </w:r>
          </w:p>
        </w:tc>
        <w:tc>
          <w:tcPr>
            <w:tcW w:w="100" w:type="dxa"/>
            <w:vAlign w:val="bottom"/>
          </w:tcPr>
          <w:p>
            <w:pPr>
              <w:spacing w:after="0"/>
              <w:rPr>
                <w:sz w:val="19"/>
                <w:szCs w:val="19"/>
                <w:color w:val="auto"/>
              </w:rPr>
            </w:pPr>
          </w:p>
        </w:tc>
      </w:tr>
      <w:tr>
        <w:trPr>
          <w:trHeight w:val="232"/>
        </w:trPr>
        <w:tc>
          <w:tcPr>
            <w:tcW w:w="3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99"/>
              </w:rPr>
              <w:t>(in</w:t>
            </w:r>
          </w:p>
        </w:tc>
        <w:tc>
          <w:tcPr>
            <w:tcW w:w="2760" w:type="dxa"/>
            <w:vAlign w:val="bottom"/>
            <w:gridSpan w:val="6"/>
          </w:tcPr>
          <w:p>
            <w:pPr>
              <w:spacing w:after="0"/>
              <w:rPr>
                <w:sz w:val="20"/>
                <w:szCs w:val="20"/>
                <w:color w:val="auto"/>
              </w:rPr>
            </w:pPr>
            <w:r>
              <w:rPr>
                <w:rFonts w:ascii="Arial" w:cs="Arial" w:eastAsia="Arial" w:hAnsi="Arial"/>
                <w:sz w:val="18"/>
                <w:szCs w:val="18"/>
                <w:b w:val="1"/>
                <w:bCs w:val="1"/>
                <w:color w:val="auto"/>
                <w:w w:val="90"/>
              </w:rPr>
              <w:t>thousands, except PMPM amounts)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Other Data:</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Medicare Advantage members as of period end</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66,348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56,268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r>
      <w:tr>
        <w:trPr>
          <w:trHeight w:val="24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Premiums earned, gross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199,500</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163,839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Premiums earned,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199,376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163,710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r>
      <w:tr>
        <w:trPr>
          <w:trHeight w:val="24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Medical claim expense incurred, gross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214,562</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146,421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Net medical claims incurred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214,432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146,328</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r>
      <w:tr>
        <w:trPr>
          <w:trHeight w:val="24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Medical care ratio, gross</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107.5 %</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89.4 %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Medical care ratio, net</w:t>
            </w:r>
          </w:p>
        </w:tc>
        <w:tc>
          <w:tcPr>
            <w:tcW w:w="22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107.6 %</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89.4 %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r>
      <w:tr>
        <w:trPr>
          <w:trHeight w:val="24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(48,417 )</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(28,162 )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21"/>
                <w:szCs w:val="21"/>
                <w:color w:val="auto"/>
              </w:rPr>
            </w:pPr>
          </w:p>
        </w:tc>
      </w:tr>
      <w:tr>
        <w:trPr>
          <w:trHeight w:val="121"/>
        </w:trPr>
        <w:tc>
          <w:tcPr>
            <w:tcW w:w="3740" w:type="dxa"/>
            <w:vAlign w:val="bottom"/>
            <w:tcBorders>
              <w:bottom w:val="single" w:sz="8" w:color="auto"/>
            </w:tcBorders>
          </w:tcPr>
          <w:p>
            <w:pPr>
              <w:spacing w:after="0"/>
              <w:rPr>
                <w:sz w:val="10"/>
                <w:szCs w:val="10"/>
                <w:color w:val="auto"/>
              </w:rPr>
            </w:pPr>
          </w:p>
        </w:tc>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35" w:lineRule="exact"/>
        <w:rPr>
          <w:sz w:val="20"/>
          <w:szCs w:val="20"/>
          <w:color w:val="auto"/>
        </w:rPr>
      </w:pPr>
    </w:p>
    <w:p>
      <w:pPr>
        <w:ind w:firstLine="8"/>
        <w:spacing w:after="0" w:line="215" w:lineRule="auto"/>
        <w:tabs>
          <w:tab w:leader="none" w:pos="159"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Calculated PMPM figures are based on the applicable amount divided by member months in the given period. Member months represents the number of months members are enrolled in a Clover Health plan in the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and Associated Premiums Earned and Medical Claim Expenses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Gross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 See the section entitled "Management’s Discussion and Analysis of Financial Condition and Results of Operations—Components of Our Results of Operations—Premiums Earned, Net."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as presented on our consolidated statement of operations in accordance with GAAP.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Gross Medical Claims Incurred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medical claims incurred excludes the effects of medical claims and associated costs ceded to reinsurers, and therefore should not be used as a substitute for net claims incurred, total expenses or any other measure presented in accordance with GAAP. See "Management’s Discussion and Analysis of Financial Condition and Results of Operations—Components of Our Results of Operations—Net Medical Claims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Net medical claims incurred consists of the costs of claims, including the costs incurred for claims net of amounts ceded to reinsurers as presented on our consolidated statement of operations in accordance with GAAP.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Ratio, Gross and Net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calculate our medical care ratio by dividing total net medical claim expenses incurred by premiums earned, in each case on a gross or net basis, as the case may be, in a given period. We believe our MCR is an indicator of our gross profit for our MA plans and the ability of our Clover Assistant platform to capture and analyze data over time to generate actionable insights for returning members to improve care and reduce medical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 (the "ACA").</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CMS.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 is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Other income primarily consists of income earned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 In addition, other income includes income generated from ceded allowances under reinsurance agreements, which are amounts paid by the reinsurers to help cover certain expenses incurred by the ceding party in relation to the ceded contracts, and an immaterial amount of other income from rental agreements with third parties for subleases of our leased office facilities.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income also includes interest earned from fixed-maturity securities, short-term securities and other investments, the gains or losses on sales and maturities of investments. Our cash and invested assets primarily 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medical claims incurred are our medical expenses and consists of the costs of claims, including the costs incurred for claims net of amounts ceded to reinsurers. We enter into reinsurance contracts to limit our exposure to potential losses as well as to provide additional capacity for growth. These expenses generally vary based on the total number of members and their utilization rate of our services.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Salaries and benefits consist of salaries, sales commissions, stock-based compensation expense, employee benefit costs, severance costs and payroll taxes for employees.</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expenses for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General and administrative expense consists of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membership-driven administrative costs, lease and occupancy costs, statutory and other fees and other overhead costs. Membership-driven administrative costs consist of enrollment-related costs, broker commissions and call center expenses.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the ACA, which established insurance industry assessments, including an annual health insurance industry fee. The annual health insurance industry fee was suspended in 2019. In 2020, the fee incurred and paid by the Corporation was approximately $8.0 million. The fee has been permanently repealed beginning in 2021.</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Premium deficiency reserves are established to the extent that the sum of expected future costs, claim adjustment expenses, and maintenance costs exceeds related future premiums under contracts without consideration of investment income. We assess the profitability of our contracts with CMS to identify those contracts where current operating results or forecasts indicate probable future losses. Premium deficiency reserve (benefit) expense is recognized in the period in which the losses are identified. Premium deficiency reserves are then amortized over the period in which losses were expected to occur. The amortization is expected to have an offsetting impact to the operating losses in that period. We may identify and recognize additional premium deficiency reserves depending on the rates that are paid to us by CMS based on our actuarial bids and the utilization of healthcare services by our members.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Other expense consists primarily of debt issuance costs incurred in connection with the issuance of an aggregate of $373.8 million initial principal amount of convertible securities ("Convertible Securities") in February, March, May, and August 2019. The Convertible Securities were converted into shares of the Corporation's Class B common stock upon the completion of the Business Combination on January 7, 2021.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Change in fair value of warrants payable is related to a mark-to-market adjustment associated with warrants to purchase our capital stock. In connection with the Closing, the warrants of Legacy Clover automatically converted into shares of Class B Common Stock, and we will no longer be required to re-measure the value of the warrants. Change in fair value of warrants payable for our Public Warrants and Private Placement Warrants acquired in the Business Combination reflects the mark-to-market adjustment associated with warrants to purchase our Class A Common Stock from the Closing date through the end of the reporting period.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Interest expense consists primarily of interest expense associated with our outstanding non-convertible notes under our term loan facility ("Term Loan Notes").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Amortization of notes and securities discounts consists of amortization of the debt discount associated with the Convertible Securities, warrants and debt issuance costs associated with the Term Loan Notes.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(Gain) loss on derivative consists of (gain) loss on embedded derivatives contained in the Convertible Securities. The embedded derivatives relate to the conversion features of the Convertible Securities, which reflect a premium above the principal and accrued interest thereon.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a gain or loss on derivative based on changes in fair value of the embedded derivatives contained in the Convertible Securities. The carrying amounts of these embedded derivatives are recorded at fair value at issuance, marked-to-market as of each balance sheet date, and changes in fair value are reported as either income or expense during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order to estimate the fair value attributable to these features, we estimate the value of the Convertible Securities (i) with the embedded derivatives and</w:t>
      </w:r>
    </w:p>
    <w:p>
      <w:pPr>
        <w:spacing w:after="0" w:line="46" w:lineRule="exact"/>
        <w:rPr>
          <w:sz w:val="20"/>
          <w:szCs w:val="20"/>
          <w:color w:val="auto"/>
        </w:rPr>
      </w:pPr>
    </w:p>
    <w:p>
      <w:pPr>
        <w:jc w:val="both"/>
        <w:ind w:right="20" w:firstLine="8"/>
        <w:spacing w:after="0" w:line="253" w:lineRule="auto"/>
        <w:tabs>
          <w:tab w:leader="none" w:pos="3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without the embedded derivatives. The incremental difference between the two values is then used to estimate the fair value of the embedded derivatives. A probability-weighted present value of expected future returns model is then used in order to estimate the value of the conversion features under various probable scenarios. The assumptions used to arrive at the estimated fair value generally include the stock price, strike price, volatility, risk-free rate, and time to maturity, among others.</w:t>
      </w:r>
    </w:p>
    <w:p>
      <w:pPr>
        <w:spacing w:after="0" w:line="19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January 7, 2021, in association with the Closing, the Convertible Securities converted to shares of the Corporation's common stock and the associated derivative liability was eliminated.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consolidated results of operations for the periods presented and as a percentage of our total revenues for those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Ended March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right"/>
              <w:ind w:right="49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w w:val="92"/>
              </w:rPr>
              <w:t>(dollars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20" w:type="dxa"/>
            <w:vAlign w:val="bottom"/>
            <w:gridSpan w:val="2"/>
          </w:tcPr>
          <w:p>
            <w:pPr>
              <w:ind w:left="260"/>
              <w:spacing w:after="0"/>
              <w:rPr>
                <w:sz w:val="20"/>
                <w:szCs w:val="20"/>
                <w:color w:val="auto"/>
              </w:rPr>
            </w:pPr>
            <w:r>
              <w:rPr>
                <w:rFonts w:ascii="Arial" w:cs="Arial" w:eastAsia="Arial" w:hAnsi="Arial"/>
                <w:sz w:val="18"/>
                <w:szCs w:val="18"/>
                <w:color w:val="auto"/>
                <w:w w:val="96"/>
              </w:rPr>
              <w:t>Premiums earned, net (Net of ceded premiums of $124 and $129 for the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20" w:type="dxa"/>
            <w:vAlign w:val="bottom"/>
            <w:gridSpan w:val="2"/>
          </w:tcPr>
          <w:p>
            <w:pPr>
              <w:ind w:left="260"/>
              <w:spacing w:after="0"/>
              <w:rPr>
                <w:sz w:val="20"/>
                <w:szCs w:val="20"/>
                <w:color w:val="auto"/>
              </w:rPr>
            </w:pPr>
            <w:r>
              <w:rPr>
                <w:rFonts w:ascii="Arial" w:cs="Arial" w:eastAsia="Arial" w:hAnsi="Arial"/>
                <w:sz w:val="18"/>
                <w:szCs w:val="18"/>
                <w:color w:val="auto"/>
              </w:rPr>
              <w:t>three months ended March 31, 2021 and 2020, respectively)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199,376</w:t>
            </w:r>
          </w:p>
        </w:tc>
        <w:tc>
          <w:tcPr>
            <w:tcW w:w="100" w:type="dxa"/>
            <w:vAlign w:val="bottom"/>
          </w:tcPr>
          <w:p>
            <w:pPr>
              <w:spacing w:after="0"/>
              <w:rPr>
                <w:sz w:val="20"/>
                <w:szCs w:val="20"/>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163,710</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35,666</w:t>
            </w:r>
          </w:p>
        </w:tc>
        <w:tc>
          <w:tcPr>
            <w:tcW w:w="26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6"/>
        </w:trPr>
        <w:tc>
          <w:tcPr>
            <w:tcW w:w="5820" w:type="dxa"/>
            <w:vAlign w:val="bottom"/>
            <w:gridSpan w:val="2"/>
            <w:shd w:val="clear" w:color="auto" w:fill="CFF0FC"/>
          </w:tcPr>
          <w:p>
            <w:pPr>
              <w:ind w:left="260"/>
              <w:spacing w:after="0" w:line="23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(846 )</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165,505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34,820</w:t>
            </w:r>
          </w:p>
        </w:tc>
        <w:tc>
          <w:tcPr>
            <w:tcW w:w="26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gridSpan w:val="2"/>
          </w:tcPr>
          <w:p>
            <w:pPr>
              <w:ind w:left="260"/>
              <w:spacing w:after="0"/>
              <w:rPr>
                <w:sz w:val="20"/>
                <w:szCs w:val="20"/>
                <w:color w:val="auto"/>
              </w:rPr>
            </w:pPr>
            <w:r>
              <w:rPr>
                <w:rFonts w:ascii="Arial" w:cs="Arial" w:eastAsia="Arial" w:hAnsi="Arial"/>
                <w:sz w:val="18"/>
                <w:szCs w:val="18"/>
                <w:color w:val="auto"/>
              </w:rPr>
              <w:t>Net medical claims incurred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146,328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68,104</w:t>
            </w:r>
          </w:p>
        </w:tc>
        <w:tc>
          <w:tcPr>
            <w:tcW w:w="26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9"/>
        </w:trPr>
        <w:tc>
          <w:tcPr>
            <w:tcW w:w="5820" w:type="dxa"/>
            <w:vAlign w:val="bottom"/>
            <w:gridSpan w:val="2"/>
            <w:shd w:val="clear" w:color="auto" w:fill="CFF0FC"/>
          </w:tcPr>
          <w:p>
            <w:pPr>
              <w:ind w:left="260"/>
              <w:spacing w:after="0" w:line="249" w:lineRule="exact"/>
              <w:rPr>
                <w:sz w:val="20"/>
                <w:szCs w:val="20"/>
                <w:color w:val="auto"/>
              </w:rPr>
            </w:pPr>
            <w:r>
              <w:rPr>
                <w:rFonts w:ascii="Arial" w:cs="Arial" w:eastAsia="Arial" w:hAnsi="Arial"/>
                <w:sz w:val="18"/>
                <w:szCs w:val="18"/>
                <w:color w:val="auto"/>
              </w:rPr>
              <w:t xml:space="preserve">Salaries and benefits </w:t>
            </w:r>
            <w:r>
              <w:rPr>
                <w:rFonts w:ascii="Arial" w:cs="Arial" w:eastAsia="Arial" w:hAnsi="Arial"/>
                <w:sz w:val="24"/>
                <w:szCs w:val="24"/>
                <w:color w:val="auto"/>
                <w:vertAlign w:val="superscript"/>
              </w:rPr>
              <w:t>(2)</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66,024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44,540</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37"/>
        </w:trPr>
        <w:tc>
          <w:tcPr>
            <w:tcW w:w="582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28,483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10,123</w:t>
            </w:r>
          </w:p>
        </w:tc>
        <w:tc>
          <w:tcPr>
            <w:tcW w:w="26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9"/>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Premium deficiency reserve benefit</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(4,282 )</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7"/>
        </w:trPr>
        <w:tc>
          <w:tcPr>
            <w:tcW w:w="58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192,135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127,278</w:t>
            </w:r>
          </w:p>
        </w:tc>
        <w:tc>
          <w:tcPr>
            <w:tcW w:w="26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(92,458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60"/>
              <w:spacing w:after="0"/>
              <w:rPr>
                <w:sz w:val="20"/>
                <w:szCs w:val="20"/>
                <w:color w:val="auto"/>
              </w:rPr>
            </w:pPr>
            <w:r>
              <w:rPr>
                <w:rFonts w:ascii="Arial" w:cs="Arial" w:eastAsia="Arial" w:hAnsi="Arial"/>
                <w:sz w:val="18"/>
                <w:szCs w:val="18"/>
                <w:color w:val="auto"/>
              </w:rPr>
              <w:t>Change in fair value of warrants payable</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(85,506 )</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(87,743 )</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(6,640 )</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7"/>
        </w:trPr>
        <w:tc>
          <w:tcPr>
            <w:tcW w:w="5820" w:type="dxa"/>
            <w:vAlign w:val="bottom"/>
            <w:gridSpan w:val="2"/>
          </w:tcPr>
          <w:p>
            <w:pPr>
              <w:ind w:left="260"/>
              <w:spacing w:after="0"/>
              <w:rPr>
                <w:sz w:val="20"/>
                <w:szCs w:val="20"/>
                <w:color w:val="auto"/>
              </w:rPr>
            </w:pPr>
            <w:r>
              <w:rPr>
                <w:rFonts w:ascii="Arial" w:cs="Arial" w:eastAsia="Arial" w:hAnsi="Arial"/>
                <w:sz w:val="18"/>
                <w:szCs w:val="18"/>
                <w:color w:val="auto"/>
              </w:rPr>
              <w:t>Amortization of notes and securities discount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7,948</w:t>
            </w:r>
          </w:p>
        </w:tc>
        <w:tc>
          <w:tcPr>
            <w:tcW w:w="26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36"/>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derivative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(14,232 )</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14,232</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(48,417 )</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(28,162 )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(20,255 )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74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-2428240</wp:posOffset>
            </wp:positionV>
            <wp:extent cx="171450" cy="4763"/>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-2428240</wp:posOffset>
            </wp:positionV>
            <wp:extent cx="154305" cy="4763"/>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-2428240</wp:posOffset>
            </wp:positionV>
            <wp:extent cx="154305" cy="4763"/>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-2428240</wp:posOffset>
            </wp:positionV>
            <wp:extent cx="171450" cy="4763"/>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-1193800</wp:posOffset>
            </wp:positionV>
            <wp:extent cx="171450" cy="4763"/>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-1193800</wp:posOffset>
            </wp:positionV>
            <wp:extent cx="154305" cy="4763"/>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-1193800</wp:posOffset>
            </wp:positionV>
            <wp:extent cx="154305" cy="4763"/>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-1193800</wp:posOffset>
            </wp:positionV>
            <wp:extent cx="171450" cy="4763"/>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-885190</wp:posOffset>
            </wp:positionV>
            <wp:extent cx="171450" cy="4763"/>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-885190</wp:posOffset>
            </wp:positionV>
            <wp:extent cx="154305" cy="4763"/>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-885190</wp:posOffset>
            </wp:positionV>
            <wp:extent cx="154305" cy="4763"/>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-885190</wp:posOffset>
            </wp:positionV>
            <wp:extent cx="171450" cy="4763"/>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-267970</wp:posOffset>
            </wp:positionV>
            <wp:extent cx="171450" cy="4763"/>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0" cy="4763"/>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-267970</wp:posOffset>
            </wp:positionV>
            <wp:extent cx="154305" cy="4763"/>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-267970</wp:posOffset>
            </wp:positionV>
            <wp:extent cx="154305" cy="4763"/>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4763"/>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-267970</wp:posOffset>
            </wp:positionV>
            <wp:extent cx="171450" cy="4763"/>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0" cy="4763"/>
                    </a:xfrm>
                    <a:prstGeom prst="rect">
                      <a:avLst/>
                    </a:prstGeom>
                    <a:noFill/>
                  </pic:spPr>
                </pic:pic>
              </a:graphicData>
            </a:graphic>
          </wp:anchor>
        </w:drawing>
      </w:r>
    </w:p>
    <w:p>
      <w:pPr>
        <w:spacing w:after="0" w:line="15" w:lineRule="exact"/>
        <w:rPr>
          <w:sz w:val="20"/>
          <w:szCs w:val="20"/>
          <w:color w:val="auto"/>
        </w:rPr>
      </w:pPr>
    </w:p>
    <w:p>
      <w:pPr>
        <w:ind w:firstLine="8"/>
        <w:spacing w:after="0" w:line="209" w:lineRule="auto"/>
        <w:tabs>
          <w:tab w:leader="none" w:pos="196"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2021, other income and investment income, net, were combined into a single line item for other income. Prior period balances have been revised to conform to the current period presentations.</w:t>
      </w:r>
    </w:p>
    <w:p>
      <w:pPr>
        <w:spacing w:after="0" w:line="15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Stock-based compensation expenses of $42.7 million and $2.1 million are included in salaries and benefits for the three months ended March 31, 2021 and 2020,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 Not presented as prior period amount is zero or line item is a change from a gain to a loss and thus yields a non-meaningful result.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Premiums earned, net increased $35.7 million, or 22%, to $199.4 million for the three months ended March 31, 2021, compared to the three months ended March 31, 2020. The increase was primarily due to membership growth of 18% from 56,268 Medicare Advantage members at March 31, 2020, to 66,348 Medicare Advantage members at March 31, 2021. There were no additional premiums earned during the three months ended March 31, 2021 and 2020 related to additional revenue from finalized risk adjustment payments related to 2020 and 2019 members,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income decreased $0.8 million, or 47%, to $0.9 million for the three months ended March 31, 2021, compared to the three months ended March 31, 2020. The decrease was primarily due to decreases in amortization of short term income of $0.4 million and interest income on bonds of $0.3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medical claims incurred increased $68.1 million, or 47%, to $214.4 million for the three months ended March 31, 2021, compared to the three months ended March 31, 2020. The increase was due in part to membership growth which increased from 56,268 Medicare Advantage members at March 31, 2020, to 66,348 Medicare Advantage members at March 31, 2021 and as well as the impact from the COVID-19 pandemic as discussed in further detail immediately below.</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spacing w:after="0" w:line="269" w:lineRule="auto"/>
        <w:rPr>
          <w:sz w:val="20"/>
          <w:szCs w:val="20"/>
          <w:color w:val="auto"/>
        </w:rPr>
      </w:pPr>
      <w:r>
        <w:rPr>
          <w:rFonts w:ascii="Arial" w:cs="Arial" w:eastAsia="Arial" w:hAnsi="Arial"/>
          <w:sz w:val="17"/>
          <w:szCs w:val="17"/>
          <w:color w:val="auto"/>
        </w:rPr>
        <w:t>Beginning in late March and early April 2020, the COVID-19 pandemic caused an increase in our inpatient hospital costs as members started to experience admissions related to the virus. The increase in hospital costs was ultimately more than fully offset by a reduction in outpatient and office-based utilization during the second quarter of 2020. In the second quarter of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In the fourth quarter of 2020 and the first quarter of 2021, we incurred additional net medical claims related to COVID-19 without experiencing the same offsetting reduction in outpatient and office-based utilization we experienced in the second quarter of 2020. In the first quarter of 2021, we incurred additional net medical claims related to COVID-19 without experiencing the same offsetting reduction in outpatient and office-based utilization we experienced in the second quarter of 2020. See also "—Impact of COVID-19" above. During the three months ended March 31, 2021, we experienced an increase in utilization across all settings, including inpatient hospital admissions, compared to the three months ended March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Salaries and benefits increased $44.5 million, or 207%, to $66.0 million for the three months ended March 31, 2021, compared to the three months ended March 31, 2020. The increase was primarily driven by higher stock-based compensation expense of $40.6 million and bonus expense of $5.5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increased $10.1 million, or 36%, to $38.6 million for the three months ended March 31, 2021, compared to the three months ended March 31, 2020. The increase was primarily driven by increases in legal and other professional fees related to becoming a public company. Software application expense also increased due to the continued build of platform and information technology capabilities within the organization. These increases were partially offset by a reduction in broker commissions, which are capitalized at the inception of the plan year and amortized over the plan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premium deficiency reserve amortization for the three months ended March 31, 2021 as there was no reserve recorded as of the end of fiscal year 2020 for fiscal year 2021. For the three months ended March 31, 2020, there was a benefit of $4.3 million for benefit amortization associated with a reserve deemed necessary as of the end of fiscal year 2019 for fiscal year 2020. The change was primarily due to management’s assessment of actual and anticipated experience related to the profitability of contracts.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 in fair value of warrants payable changed by $87.7 million with a gain of $85.5 million for the three months ended March 31, 2021, compared to a loss of $2.2 million for the three months ended March 31, 2020. The change was primarily due to the subsequent measurement of the Public Warrants and Private Placement Warrants as of March 31, 2021. See Note 5, "Fair value measurements," of the Notes to the Condensed Consolidated Financial Statements included in Part I, Item 1 of this Form 10-Q.</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decreased $6.6 million, or 85%, to $1.2 million for the three months ended March 31, 2021, compared to the three months ended March 31, 2020, primarily related to the conversion of the Convertible Securities to shares of the Corporation’s common stock due to the completion of the Business Combination on January 7, 2021. Interest expense associated with the Convertible Securities and the non-convertible securities decreased $6.5 million and $0.1 million for the three months ended March 31, 2021, and March 30, 2020,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Amortization of notes and securities discounts increased $7.9 million, or 139%, to $13.7 million for the three months ended March 31, 2021, compared to the three months ended March 31, 2020. The increase primarily relates to the completion of the Business Combination on January 7, 2021, whereby the unamortized discount associated with the August 2019 tranche of the Convertible Securities was accelerated. The increase is also driven by $0.6 million of amortization of debt discount associated with the Convertible Securities during the period from January 1, 2021 to January 7,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Gain on Derivative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 on derivative decreased by $14.2 million, or 100%, to none for the three months ended March 31, 2021. This decrease relates to the capital contribution treatment of the elimination of the derivative associated with the completion of the Business Combination during the three months ended March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cash, cash equivalents, and short-term investments of $683.6 million. Additionally, as of March 31, 2021, we had $36.5 million of available-for-sale and held-to-maturity investment securities, an outstanding balance of $20.8 million on our convertible notes and an outstanding balance of $26.1 million on our Term Loan Notes. Our cash equivalents, short-term investments, and investment securities consist primarily of money market funds and U.S. government debt securities.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inception, we have financed our operations primarily from the proceeds we received through private sales of equity securities, issuances of convertible notes, premiums earned under our MA plans, and borrowings under our term loan facility. We believe our existing cash, cash equivalents, short-term investments, and operating cash flows, taken together, will be sufficient to meet our projected operating and regulatory requirements for at least the next 12 months.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operating subsidiaries. Cash, cash equivalents, and short-term investments at the parent company was $587.9 million and $5.4 million as of March 31, 2021, and December 31, 2020, respectively. This increase at the parent company primarily reflects proceeds from the Business Combination offset by the capital contributions to insurance subsidiaries and repayment of debt. Our unregulated subsidiaries held $22.3 million and $44.6 million of cash, cash equivalents, and short-term investments as of March 31, 2021, and December 31, 2020, respectively. Our regulated insurance subsidiaries held $73.4 million and $46.4 million of cash, cash equivalents, and short-term investments as of March 31, 2021, and December 31, 2020, respectively. Additionally, our regulated insurance subsidiaries held $36.5 million and $54.7 million of available-for-sale and held-to-maturity investment securities as of March 31, 2021, and December 31, 2020, respectively. Our use of operating cash derived from our non-insurance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For additional information, please refer to the parent company financial statements and accompanying notes in Schedule II—Parent Company Financial Information contained in our Consolidated Financial Statements included in the Form 8-K/A</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discussion of our regulatory requirements, including aggregate statutory capital and surplus as well as dividends paid from the subsidiaries to the parent, please refer to Notes 22, 23, and 24 to our Consolidated Financial Statements included in the Form 8-K/A.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cash flows for the three months ended March 31, 2021 and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43"/>
        </w:trPr>
        <w:tc>
          <w:tcPr>
            <w:tcW w:w="46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32"/>
        </w:trPr>
        <w:tc>
          <w:tcPr>
            <w:tcW w:w="4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0"/>
              </w:rPr>
              <w:t>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3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380"/>
              <w:spacing w:after="0"/>
              <w:rPr>
                <w:sz w:val="20"/>
                <w:szCs w:val="20"/>
                <w:color w:val="auto"/>
              </w:rPr>
            </w:pPr>
            <w:r>
              <w:rPr>
                <w:rFonts w:ascii="Arial" w:cs="Arial" w:eastAsia="Arial" w:hAnsi="Arial"/>
                <w:sz w:val="18"/>
                <w:szCs w:val="18"/>
                <w:color w:val="auto"/>
              </w:rPr>
              <w:t>(92,869 )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(37,176 )</w:t>
            </w:r>
          </w:p>
        </w:tc>
      </w:tr>
      <w:tr>
        <w:trPr>
          <w:trHeight w:val="24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(257,476 )</w:t>
            </w: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82,510</w:t>
            </w:r>
          </w:p>
        </w:tc>
        <w:tc>
          <w:tcPr>
            <w:tcW w:w="100" w:type="dxa"/>
            <w:vAlign w:val="bottom"/>
            <w:shd w:val="clear" w:color="auto" w:fill="CFF0FC"/>
          </w:tcPr>
          <w:p>
            <w:pPr>
              <w:spacing w:after="0"/>
              <w:rPr>
                <w:sz w:val="21"/>
                <w:szCs w:val="2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662,504</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(438 )</w:t>
            </w:r>
          </w:p>
        </w:tc>
      </w:tr>
      <w:tr>
        <w:trPr>
          <w:trHeight w:val="445"/>
        </w:trPr>
        <w:tc>
          <w:tcPr>
            <w:tcW w:w="4600" w:type="dxa"/>
            <w:vAlign w:val="bottom"/>
          </w:tcPr>
          <w:p>
            <w:pPr>
              <w:spacing w:after="0"/>
              <w:rPr>
                <w:sz w:val="24"/>
                <w:szCs w:val="24"/>
                <w:color w:val="auto"/>
              </w:rPr>
            </w:pPr>
          </w:p>
        </w:tc>
        <w:tc>
          <w:tcPr>
            <w:tcW w:w="3120" w:type="dxa"/>
            <w:vAlign w:val="bottom"/>
          </w:tcPr>
          <w:p>
            <w:pPr>
              <w:jc w:val="right"/>
              <w:ind w:right="191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net cash used in operating activities was $92.9 million, which included net loss of $48.4 million. Non-cash activities primarily consisted of a $85.5 million gain as a result of the change in fair value of warrants payable and $42.7 million of stock-based compensation expense.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net cash used in operating activities was $37.2 million, which included a net loss of $28.2 million. Non-cash activities primarily consisted of a $14.2 million gain on derivative, $5.7 million in amortization of notes and securities discount, a $2.2 million loss on the change in fair value of warrants payable, and $2.0 million of stock-based compensation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2021 of $257.5 million was primarily due to $274.9 million used to purchase investment securities, offset by $17.5 million provided from the sale and maturity of investment securities.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investing activities for the three months ended March 31, 2020 of $82.5 million was primarily due to $102.1 million provided from the sale and maturity of investment securities, partially offset by $19.3 million used to purchase investment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2021 of $662.5 million was the result of $666.2 million in proceeds from the reverse capitalization in connection with the Business Combination, net of transaction costs, and $1.3 million in proceeds from the issuance of common stock, partially offset by $5.0 million in principal payments on our outstanding Term Loan Notes.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financing activities for the three months ended March 31, 2020 of $0.4 million was primarily the result of $4.5 million in principal payments on our outstanding Term Loan Notes, partially offset by $3.9 million from the acquisition of our noncontrolling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Notes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 loan and security agreement with a commercial lender in March 2017, which provided for term loans in an aggregate principal amount of up to $60.0 million. At that time, we borrowed $40.0 million as a term loan under the agreement which bears interest at 11.0% per annum, payable monthly, and has a maturity date of March 1, 2022. In October 2017, we borrowed the remaining $20.0 million as a term loan under the agreement which bears interest at 11.25% per annum, payable monthly, and has a maturity date of October 1, 2022. Each loan was payable in monthly installments of interest only for the first 24 months, and thereafter interest and principal are payable in 36 equal monthly installments. The loans are secured by substantially all of our assets, including our intellectual property, and equity interests in our unregulated subsidiaries.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loan and security agreement contains customary conditions to borrowing, events of default and covenants, including covenants that restrict our ability to incur indebtedness, grant liens, make certain distributions to our equity holders prior to a qualifying public offering of our securities, make investments or engage in transactions with our affiliates. Our loan and security agreement does not contain financial covenants. As of March 31, 2021, the aggregate principal amount outstanding under the Term Loan Notes was $26.1 million and we were in compliance with all covenants under our loan and security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Securities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a convertible securities purchase agreement with qualified institutional buyers, including entities affiliated with our Chief Executive Officer and other holders of more than 5% of our common stock, for an aggregate principal amount of up to $500.0 million. In February, March, May, and August 2019, we issued an aggregate of $373.8 million initial principal amount of convertible securities, or the Convertible Securities, under the agreement.</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and upon the closing of the Business Combination, the Convertible Securities mandatorily converted into 74,694,107 shares of the Corporation's Class B Common Stock. For additional information about the Convertible Securities and the conversion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the Convertible Securities upon the closing of the Business Combination, see Note 9, "Notes and securities payable" in the Notes to the Condensed Consolidated Financial Statements included in Part I, Item 1 of this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believe that funds from future operating cash flows, cash and investments will be sufficient for future operations and commitments, and for capital acquisitions and other strategic transactions.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material change to our contractual obligations and commitments as of March 31, 2021 as compared to the amounts disclosed in the Form 8-K/A as of December 31, 2020, was a result of the conversion of $373.8 million of the Convertible Securities into common stock of the Corporation, effective as of the completion of the Business Combination, as described in Note 9, "Notes and securities payable" in the Notes to the Condensed Consolidated Financial Statements included in Part I, Item 1 of this Form 10-Q. There were no other material changes to our contractual obligations and commitments as compared to those disclosed in the Form 8-K/A. For additional information regarding our remaining estimated contractual obligations and commitments, see Note 9, "Notes and securities payable," Note 11, "Derivative liabilities," and Note 18, "Commitments and contingencies," of the Notes to the Condensed Consolidated Financial Statements included in Part I, Item 1 of this Form 10-Q.</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physicians and other parties with respect to certain matters, including, but not limited to, claims that our platform and products infringe the intellectual property rights of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detailed description of our critical accounting estimates, see "Management’s Discussion and Analysis of Financial Condition and Results of Operations" in the Form 8-K/A. For a detailed discussion of our significant accounting policies, see Note 2 to the consolidated financial statements included in the Form 8-K/A and Note 2, "Summary of significant accounting policies" in the Notes to the Condensed Consolidated Financial Statements included in Part 1, Item 1 of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"Summary of significant accounting policies" in the Notes to the Condensed Consolidated Financial Statements included in Part 1, Item 1 of this Form 10-Q for a discussion of accounting pronouncements recently adopted and recently issued accounting pronouncements not yet adopted and their potential impact to our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56" w:lineRule="exact"/>
        <w:rPr>
          <w:sz w:val="20"/>
          <w:szCs w:val="20"/>
          <w:color w:val="auto"/>
        </w:rPr>
      </w:pPr>
    </w:p>
    <w:p>
      <w:pPr>
        <w:jc w:val="both"/>
        <w:ind w:right="100"/>
        <w:spacing w:after="0" w:line="285" w:lineRule="auto"/>
        <w:rPr>
          <w:sz w:val="20"/>
          <w:szCs w:val="20"/>
          <w:color w:val="auto"/>
        </w:rPr>
      </w:pPr>
      <w:r>
        <w:rPr>
          <w:rFonts w:ascii="Arial" w:cs="Arial" w:eastAsia="Arial" w:hAnsi="Arial"/>
          <w:sz w:val="16"/>
          <w:szCs w:val="16"/>
          <w:color w:val="auto"/>
        </w:rPr>
        <w:t>We have elected to be treated as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fixed maturities. We do not have material exposure to commodity risk.</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monitor our investment portfolio to ensure that credit risk does not exceed prudent levels. Our investment policy is focused on preservation of capital, liquidity and earning a modest yield. Our investment portfolio is invested in U.S. Treasury fixed maturity securities. As of March 31, 2021, none of our fixed maturity securities portfolio was unrated or rated below investment grade.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March 31, 2021, pursuant to Rule 13a-15(b) under the Securities Exchange Act of 1934, as amended (the "Exchange Act"). Based upon that evaluation, our Certifying Officers concluded that, as of March 31, 2021, our disclosure controls and procedures were effective.</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Remediation of Material Weakness — Technical Accounting Related to Derivative Accounting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preparation of the audited financial statements of Clover Health Investments, Corp. and its consolidated subsidiaries as of prior to the consummation of the Business Combination for the year ended December 31, 2020, we identified a material weakness in our internal control over financial reporting,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material weakness related specifically to our application of the FASB Accounting Standards Codification for derivatives (ASC 815) 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Corporation's press release announcing our financial results for the three months and year ended December 31,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spacing w:after="0" w:line="342" w:lineRule="auto"/>
        <w:rPr>
          <w:sz w:val="20"/>
          <w:szCs w:val="20"/>
          <w:color w:val="auto"/>
        </w:rPr>
      </w:pPr>
      <w:r>
        <w:rPr>
          <w:rFonts w:ascii="Arial" w:cs="Arial" w:eastAsia="Arial" w:hAnsi="Arial"/>
          <w:sz w:val="16"/>
          <w:szCs w:val="16"/>
          <w:color w:val="auto"/>
        </w:rPr>
        <w:t>2020 that we furnished in a Current Report on Form 8-K that was filed on March 1, 2020. Management has determined that the material weakness has been remediated due to the fact that the embedded derivative was extinguished upon the consummation of the Business Combination on January 7, 2021.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Arial" w:cs="Arial" w:eastAsia="Arial" w:hAnsi="Arial"/>
          <w:sz w:val="17"/>
          <w:szCs w:val="17"/>
          <w:color w:val="000000"/>
        </w:rPr>
        <w:t>results</w:t>
      </w:r>
      <w:r>
        <w:rPr>
          <w:rFonts w:ascii="Arial" w:cs="Arial" w:eastAsia="Arial" w:hAnsi="Arial"/>
          <w:sz w:val="17"/>
          <w:szCs w:val="17"/>
          <w:color w:val="231F20"/>
        </w:rPr>
        <w:t xml:space="preserve"> of operation.</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For example, in February 2021, Clover received a subpoena from the SEC as part of an investigation related to aspects of our business as well as certain matters described in an article issued on February 4, 2021, by Hindenburg Research LLC (the "Hindenburg article"). We are cooperating with the SEC's investigation. The Hindenburg article, which discussed, among other things, an ongoing 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concerning legal proceedings can be found in Note 18, "Commitments and contingencies," to the Condensed Consolidated Financial Statements included in Part I, Item 1 of this Form 10-Q, which information is incorporated by reference into this item.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00" w:type="dxa"/>
            <w:vAlign w:val="bottom"/>
            <w:gridSpan w:val="17"/>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70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10180" w:type="dxa"/>
            <w:vAlign w:val="bottom"/>
            <w:tcBorders>
              <w:top w:val="single" w:sz="8" w:color="auto"/>
            </w:tcBorders>
            <w:gridSpan w:val="23"/>
          </w:tcPr>
          <w:p>
            <w:pPr>
              <w:spacing w:after="0" w:line="169" w:lineRule="exact"/>
              <w:rPr>
                <w:rFonts w:ascii="Arial" w:cs="Arial" w:eastAsia="Arial" w:hAnsi="Arial"/>
                <w:sz w:val="18"/>
                <w:szCs w:val="18"/>
                <w:color w:val="0000FF"/>
                <w:w w:val="94"/>
              </w:rPr>
            </w:pPr>
            <w:hyperlink r:id="rId274">
              <w:r>
                <w:rPr>
                  <w:rFonts w:ascii="Arial" w:cs="Arial" w:eastAsia="Arial" w:hAnsi="Arial"/>
                  <w:sz w:val="18"/>
                  <w:szCs w:val="18"/>
                  <w:color w:val="0000FF"/>
                  <w:w w:val="94"/>
                </w:rPr>
                <w:t>Amended and Restated Certificate of Incorporation of the Registrant (incorporated by reference to Exhibit 3.1 of the Company's Current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74">
              <w:r>
                <w:rPr>
                  <w:rFonts w:ascii="Arial" w:cs="Arial" w:eastAsia="Arial" w:hAnsi="Arial"/>
                  <w:sz w:val="18"/>
                  <w:szCs w:val="18"/>
                  <w:color w:val="0000FF"/>
                </w:rPr>
                <w:t>Report on Form 8-K 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3"/>
              </w:rPr>
            </w:pPr>
            <w:hyperlink r:id="rId275">
              <w:r>
                <w:rPr>
                  <w:rFonts w:ascii="Arial" w:cs="Arial" w:eastAsia="Arial" w:hAnsi="Arial"/>
                  <w:sz w:val="18"/>
                  <w:szCs w:val="18"/>
                  <w:color w:val="0000FF"/>
                  <w:w w:val="93"/>
                </w:rPr>
                <w:t>Amended and Restated Bylaws of the Registrant (incorporated by reference to Exhibit 3.2 of the Company's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75">
              <w:r>
                <w:rPr>
                  <w:rFonts w:ascii="Arial" w:cs="Arial" w:eastAsia="Arial" w:hAnsi="Arial"/>
                  <w:sz w:val="18"/>
                  <w:szCs w:val="18"/>
                  <w:color w:val="0000FF"/>
                </w:rPr>
                <w:t>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2"/>
              </w:rPr>
            </w:pPr>
            <w:hyperlink r:id="rId276">
              <w:r>
                <w:rPr>
                  <w:rFonts w:ascii="Arial" w:cs="Arial" w:eastAsia="Arial" w:hAnsi="Arial"/>
                  <w:sz w:val="18"/>
                  <w:szCs w:val="18"/>
                  <w:color w:val="0000FF"/>
                  <w:w w:val="92"/>
                </w:rPr>
                <w:t>Amended and Restated Registration Rights Agreement, dated as of January 7, 2021, by and among the Registrant, SCH Sponsor III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w w:val="95"/>
              </w:rPr>
            </w:pPr>
            <w:hyperlink r:id="rId276">
              <w:r>
                <w:rPr>
                  <w:rFonts w:ascii="Arial" w:cs="Arial" w:eastAsia="Arial" w:hAnsi="Arial"/>
                  <w:sz w:val="18"/>
                  <w:szCs w:val="18"/>
                  <w:color w:val="0000FF"/>
                  <w:w w:val="95"/>
                </w:rPr>
                <w:t>certain former stockholders of Clover Health Investments, Corp., Dr. James Ryans, Jacqueline D. Reses and the other parties thereto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w w:val="98"/>
              </w:rPr>
            </w:pPr>
            <w:hyperlink r:id="rId276">
              <w:r>
                <w:rPr>
                  <w:rFonts w:ascii="Arial" w:cs="Arial" w:eastAsia="Arial" w:hAnsi="Arial"/>
                  <w:sz w:val="18"/>
                  <w:szCs w:val="18"/>
                  <w:color w:val="0000FF"/>
                  <w:w w:val="98"/>
                </w:rPr>
                <w:t>(incorporated by reference to Exhibit 10.1 of the Company's Current Report on Form 8-K 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2"/>
              </w:rPr>
            </w:pPr>
            <w:hyperlink r:id="rId277">
              <w:r>
                <w:rPr>
                  <w:rFonts w:ascii="Arial" w:cs="Arial" w:eastAsia="Arial" w:hAnsi="Arial"/>
                  <w:sz w:val="18"/>
                  <w:szCs w:val="18"/>
                  <w:color w:val="0000FF"/>
                  <w:w w:val="92"/>
                </w:rPr>
                <w:t>Form of Indemnification Agreement (incorporated by reference to Exhibit 10.2 of the Company's Current Report on Form 8-K filed with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77">
              <w:r>
                <w:rPr>
                  <w:rFonts w:ascii="Arial" w:cs="Arial" w:eastAsia="Arial" w:hAnsi="Arial"/>
                  <w:sz w:val="18"/>
                  <w:szCs w:val="18"/>
                  <w:color w:val="0000FF"/>
                </w:rPr>
                <w:t>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3"/>
              </w:rPr>
            </w:pPr>
            <w:hyperlink r:id="rId278">
              <w:r>
                <w:rPr>
                  <w:rFonts w:ascii="Arial" w:cs="Arial" w:eastAsia="Arial" w:hAnsi="Arial"/>
                  <w:sz w:val="18"/>
                  <w:szCs w:val="18"/>
                  <w:color w:val="0000FF"/>
                  <w:w w:val="93"/>
                </w:rPr>
                <w:t>Amended and Restated 2014 Equity Incentive Plan, and forms of agreement thereunder (incorporated by reference to Exhibit 10.3 of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78">
              <w:r>
                <w:rPr>
                  <w:rFonts w:ascii="Arial" w:cs="Arial" w:eastAsia="Arial" w:hAnsi="Arial"/>
                  <w:sz w:val="18"/>
                  <w:szCs w:val="18"/>
                  <w:color w:val="0000FF"/>
                </w:rPr>
                <w:t>Company's Current Report on Form 8-K 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1"/>
              </w:rPr>
            </w:pPr>
            <w:hyperlink r:id="rId279">
              <w:r>
                <w:rPr>
                  <w:rFonts w:ascii="Arial" w:cs="Arial" w:eastAsia="Arial" w:hAnsi="Arial"/>
                  <w:sz w:val="18"/>
                  <w:szCs w:val="18"/>
                  <w:color w:val="0000FF"/>
                  <w:w w:val="91"/>
                </w:rPr>
                <w:t>2020 Equity Incentive Plan, and forms of agreement thereunder (incorporated by reference to Exhibit 10.4 of the Company's Current Report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79">
              <w:r>
                <w:rPr>
                  <w:rFonts w:ascii="Arial" w:cs="Arial" w:eastAsia="Arial" w:hAnsi="Arial"/>
                  <w:sz w:val="18"/>
                  <w:szCs w:val="18"/>
                  <w:color w:val="0000FF"/>
                </w:rPr>
                <w:t>on Form 8-K 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1"/>
              </w:rPr>
            </w:pPr>
            <w:hyperlink r:id="rId280">
              <w:r>
                <w:rPr>
                  <w:rFonts w:ascii="Arial" w:cs="Arial" w:eastAsia="Arial" w:hAnsi="Arial"/>
                  <w:sz w:val="18"/>
                  <w:szCs w:val="18"/>
                  <w:color w:val="0000FF"/>
                  <w:w w:val="91"/>
                </w:rPr>
                <w:t>2020 Employee Stock Purchase Plan (incorporated by reference to Exhibit 10.5 of the Company's Current Report on Form 8-K filed with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80">
              <w:r>
                <w:rPr>
                  <w:rFonts w:ascii="Arial" w:cs="Arial" w:eastAsia="Arial" w:hAnsi="Arial"/>
                  <w:sz w:val="18"/>
                  <w:szCs w:val="18"/>
                  <w:color w:val="0000FF"/>
                </w:rPr>
                <w:t>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0"/>
              </w:rPr>
            </w:pPr>
            <w:hyperlink r:id="rId281">
              <w:r>
                <w:rPr>
                  <w:rFonts w:ascii="Arial" w:cs="Arial" w:eastAsia="Arial" w:hAnsi="Arial"/>
                  <w:sz w:val="18"/>
                  <w:szCs w:val="18"/>
                  <w:color w:val="0000FF"/>
                  <w:w w:val="90"/>
                </w:rPr>
                <w:t>Management Incentive Plan, and forms of agreement thereunder (incorporated by reference to Exhibit 10.6 of the Company's Current Report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81">
              <w:r>
                <w:rPr>
                  <w:rFonts w:ascii="Arial" w:cs="Arial" w:eastAsia="Arial" w:hAnsi="Arial"/>
                  <w:sz w:val="18"/>
                  <w:szCs w:val="18"/>
                  <w:color w:val="0000FF"/>
                </w:rPr>
                <w:t>on Form 8-K 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EE"/>
            </w:tcBorders>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1"/>
              </w:rPr>
            </w:pPr>
            <w:hyperlink r:id="rId282">
              <w:r>
                <w:rPr>
                  <w:rFonts w:ascii="Arial" w:cs="Arial" w:eastAsia="Arial" w:hAnsi="Arial"/>
                  <w:sz w:val="18"/>
                  <w:szCs w:val="18"/>
                  <w:color w:val="0000FF"/>
                  <w:w w:val="91"/>
                </w:rPr>
                <w:t>Executive Incentive Bonus Plan (incorporated by reference to Exhibit 10.7 of the Company's Current Report on Form 8-K filed with the SEC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82">
              <w:r>
                <w:rPr>
                  <w:rFonts w:ascii="Arial" w:cs="Arial" w:eastAsia="Arial" w:hAnsi="Arial"/>
                  <w:sz w:val="18"/>
                  <w:szCs w:val="18"/>
                  <w:color w:val="0000FF"/>
                </w:rPr>
                <w:t>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4"/>
              </w:rPr>
            </w:pPr>
            <w:hyperlink r:id="rId283">
              <w:r>
                <w:rPr>
                  <w:rFonts w:ascii="Arial" w:cs="Arial" w:eastAsia="Arial" w:hAnsi="Arial"/>
                  <w:sz w:val="18"/>
                  <w:szCs w:val="18"/>
                  <w:color w:val="0000FF"/>
                  <w:w w:val="94"/>
                </w:rPr>
                <w:t>Non-Employee Director Compensation Policy (incorporated by reference to Exhibit 10.8 of the Company's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83">
              <w:r>
                <w:rPr>
                  <w:rFonts w:ascii="Arial" w:cs="Arial" w:eastAsia="Arial" w:hAnsi="Arial"/>
                  <w:sz w:val="18"/>
                  <w:szCs w:val="18"/>
                  <w:color w:val="0000FF"/>
                </w:rPr>
                <w:t>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gridSpan w:val="3"/>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2"/>
              </w:rPr>
            </w:pPr>
            <w:hyperlink r:id="rId284">
              <w:r>
                <w:rPr>
                  <w:rFonts w:ascii="Arial" w:cs="Arial" w:eastAsia="Arial" w:hAnsi="Arial"/>
                  <w:sz w:val="18"/>
                  <w:szCs w:val="18"/>
                  <w:color w:val="0000FF"/>
                  <w:w w:val="92"/>
                </w:rPr>
                <w:t>Employment Agreement dated as of December 31, 2020, by and between the Registrant and Vivek Garipalli (incorporated by reference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84">
              <w:r>
                <w:rPr>
                  <w:rFonts w:ascii="Arial" w:cs="Arial" w:eastAsia="Arial" w:hAnsi="Arial"/>
                  <w:sz w:val="18"/>
                  <w:szCs w:val="18"/>
                  <w:color w:val="0000FF"/>
                </w:rPr>
                <w:t>Exhibit 10.9 of the Company's Current Report on Form 8-K 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4"/>
              </w:rPr>
            </w:pPr>
            <w:hyperlink r:id="rId285">
              <w:r>
                <w:rPr>
                  <w:rFonts w:ascii="Arial" w:cs="Arial" w:eastAsia="Arial" w:hAnsi="Arial"/>
                  <w:sz w:val="18"/>
                  <w:szCs w:val="18"/>
                  <w:color w:val="0000FF"/>
                  <w:w w:val="94"/>
                </w:rPr>
                <w:t>Employment Agreement dated as of December 31, 2020, by and between the Registrant and Andrew Toy (incorporated by reference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85">
              <w:r>
                <w:rPr>
                  <w:rFonts w:ascii="Arial" w:cs="Arial" w:eastAsia="Arial" w:hAnsi="Arial"/>
                  <w:sz w:val="18"/>
                  <w:szCs w:val="18"/>
                  <w:color w:val="0000FF"/>
                </w:rPr>
                <w:t>Exhibit 10.10 of the Company's Current Report on Form 8-K 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2"/>
              </w:rPr>
            </w:pPr>
            <w:hyperlink r:id="rId286">
              <w:r>
                <w:rPr>
                  <w:rFonts w:ascii="Arial" w:cs="Arial" w:eastAsia="Arial" w:hAnsi="Arial"/>
                  <w:sz w:val="18"/>
                  <w:szCs w:val="18"/>
                  <w:color w:val="0000FF"/>
                  <w:w w:val="92"/>
                </w:rPr>
                <w:t>Offer Letter dated as of December 20, 2018, by and between the Registrant and Gia Lee (incorporated by reference to Exhibit 10.11 of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4600" w:type="dxa"/>
            <w:vAlign w:val="bottom"/>
            <w:gridSpan w:val="6"/>
            <w:shd w:val="clear" w:color="auto" w:fill="0000FF"/>
          </w:tcPr>
          <w:p>
            <w:pPr>
              <w:spacing w:after="0" w:line="20" w:lineRule="exact"/>
              <w:rPr>
                <w:sz w:val="1"/>
                <w:szCs w:val="1"/>
                <w:color w:val="auto"/>
              </w:rPr>
            </w:pPr>
          </w:p>
        </w:tc>
        <w:tc>
          <w:tcPr>
            <w:tcW w:w="38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286">
              <w:r>
                <w:rPr>
                  <w:rFonts w:ascii="Arial" w:cs="Arial" w:eastAsia="Arial" w:hAnsi="Arial"/>
                  <w:sz w:val="18"/>
                  <w:szCs w:val="18"/>
                  <w:color w:val="0000FF"/>
                </w:rPr>
                <w:t>Company's Current Report on Form 8-K filed with the SEC on January 12,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6"/>
              </w:rPr>
            </w:pPr>
            <w:hyperlink w:anchor="page43">
              <w:r>
                <w:rPr>
                  <w:rFonts w:ascii="Arial" w:cs="Arial" w:eastAsia="Arial" w:hAnsi="Arial"/>
                  <w:sz w:val="18"/>
                  <w:szCs w:val="18"/>
                  <w:color w:val="0000FF"/>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4600" w:type="dxa"/>
            <w:vAlign w:val="bottom"/>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40" w:type="dxa"/>
            <w:vAlign w:val="bottom"/>
            <w:gridSpan w:val="12"/>
            <w:shd w:val="clear" w:color="auto" w:fill="0000FF"/>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5020" w:type="dxa"/>
            <w:vAlign w:val="bottom"/>
            <w:gridSpan w:val="1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9060" w:type="dxa"/>
            <w:vAlign w:val="bottom"/>
            <w:gridSpan w:val="19"/>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0180" w:type="dxa"/>
            <w:vAlign w:val="bottom"/>
            <w:gridSpan w:val="2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980" w:type="dxa"/>
            <w:vAlign w:val="bottom"/>
            <w:gridSpan w:val="20"/>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Act of 2002.</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0180" w:type="dxa"/>
            <w:vAlign w:val="bottom"/>
            <w:gridSpan w:val="23"/>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8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420" w:firstLine="21"/>
        <w:spacing w:after="0" w:line="586" w:lineRule="auto"/>
        <w:tabs>
          <w:tab w:leader="none" w:pos="10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95123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Clover Health Investments, Corp.</w:t>
      </w:r>
    </w:p>
    <w:p>
      <w:pPr>
        <w:spacing w:after="0" w:line="202" w:lineRule="exact"/>
        <w:rPr>
          <w:sz w:val="20"/>
          <w:szCs w:val="20"/>
          <w:color w:val="auto"/>
        </w:rPr>
      </w:pPr>
    </w:p>
    <w:p>
      <w:pPr>
        <w:ind w:left="20"/>
        <w:spacing w:after="0"/>
        <w:tabs>
          <w:tab w:leader="none" w:pos="5660" w:val="left"/>
          <w:tab w:leader="none" w:pos="798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32"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Executive Officer</w:t>
      </w:r>
    </w:p>
    <w:p>
      <w:pPr>
        <w:spacing w:after="0" w:line="251" w:lineRule="exact"/>
        <w:rPr>
          <w:sz w:val="20"/>
          <w:szCs w:val="20"/>
          <w:color w:val="auto"/>
        </w:rPr>
      </w:pPr>
    </w:p>
    <w:p>
      <w:pPr>
        <w:ind w:left="20"/>
        <w:spacing w:after="0"/>
        <w:tabs>
          <w:tab w:leader="none" w:pos="5660" w:val="left"/>
          <w:tab w:leader="none" w:pos="800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Wagner</w:t>
      </w:r>
    </w:p>
    <w:p>
      <w:pPr>
        <w:spacing w:after="0" w:line="32"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 and Principal Accounting Officer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Vivek Garipalli, certify that:</w:t>
      </w:r>
    </w:p>
    <w:p>
      <w:pPr>
        <w:spacing w:after="0" w:line="225"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Clover Health Investments, Corp. for the quarter ended March 31, 2021;</w:t>
      </w:r>
    </w:p>
    <w:p>
      <w:pPr>
        <w:spacing w:after="0" w:line="225" w:lineRule="exact"/>
        <w:rPr>
          <w:rFonts w:ascii="Arial" w:cs="Arial" w:eastAsia="Arial" w:hAnsi="Arial"/>
          <w:sz w:val="18"/>
          <w:szCs w:val="18"/>
          <w:color w:val="auto"/>
        </w:rPr>
      </w:pPr>
    </w:p>
    <w:p>
      <w:pPr>
        <w:jc w:val="both"/>
        <w:ind w:left="440" w:right="320" w:hanging="432"/>
        <w:spacing w:after="0" w:line="263"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280" w:hanging="432"/>
        <w:spacing w:after="0" w:line="308"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340" w:hanging="432"/>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60" w:right="80" w:hanging="441"/>
        <w:spacing w:after="0" w:line="26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60" w:right="560" w:hanging="441"/>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60" w:right="100" w:hanging="441"/>
        <w:spacing w:after="0" w:line="26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right="40" w:hanging="432"/>
        <w:spacing w:after="0" w:line="308"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60" w:right="800" w:hanging="441"/>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60" w:right="500" w:hanging="441"/>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5660" w:val="left"/>
          <w:tab w:leader="none" w:pos="794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-127635</wp:posOffset>
            </wp:positionV>
            <wp:extent cx="33261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Wagner, certify that:</w:t>
      </w:r>
    </w:p>
    <w:p>
      <w:pPr>
        <w:spacing w:after="0" w:line="225"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Clover Health Investments, Corp. for the quarter ended March 31, 2021;</w:t>
      </w:r>
    </w:p>
    <w:p>
      <w:pPr>
        <w:spacing w:after="0" w:line="225" w:lineRule="exact"/>
        <w:rPr>
          <w:rFonts w:ascii="Arial" w:cs="Arial" w:eastAsia="Arial" w:hAnsi="Arial"/>
          <w:sz w:val="18"/>
          <w:szCs w:val="18"/>
          <w:color w:val="auto"/>
        </w:rPr>
      </w:pPr>
    </w:p>
    <w:p>
      <w:pPr>
        <w:jc w:val="both"/>
        <w:ind w:left="440" w:right="320" w:hanging="432"/>
        <w:spacing w:after="0" w:line="263"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280" w:hanging="432"/>
        <w:spacing w:after="0" w:line="308"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340" w:hanging="432"/>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60" w:right="80" w:hanging="441"/>
        <w:spacing w:after="0" w:line="263"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60" w:right="560" w:hanging="441"/>
        <w:spacing w:after="0" w:line="342"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60" w:right="100" w:hanging="441"/>
        <w:spacing w:after="0" w:line="263"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right="40" w:hanging="432"/>
        <w:spacing w:after="0" w:line="308"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60" w:right="800" w:hanging="441"/>
        <w:spacing w:after="0" w:line="342"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60" w:right="500" w:hanging="441"/>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5660" w:val="left"/>
          <w:tab w:leader="none" w:pos="794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Wagner</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-127635</wp:posOffset>
            </wp:positionV>
            <wp:extent cx="33261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connection with the Quarterly Report of Clover Health Investments, Corp.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41"/>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680" w:hanging="441"/>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ind w:left="20"/>
        <w:spacing w:after="0"/>
        <w:tabs>
          <w:tab w:leader="none" w:pos="5660" w:val="left"/>
          <w:tab w:leader="none" w:pos="794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-127635</wp:posOffset>
            </wp:positionV>
            <wp:extent cx="33261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connection with the Quarterly Report of Clover Health Investments, Corp.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41"/>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680" w:hanging="441"/>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ind w:left="20"/>
        <w:spacing w:after="0"/>
        <w:tabs>
          <w:tab w:leader="none" w:pos="5660" w:val="left"/>
          <w:tab w:leader="none" w:pos="794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Wagner</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-127635</wp:posOffset>
            </wp:positionV>
            <wp:extent cx="33261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Roman"/>
      <w:start w:val="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274" Type="http://schemas.openxmlformats.org/officeDocument/2006/relationships/hyperlink" Target="https://www.sec.gov/Archives/edgar/data/1801170/000119312521007348/d63659dex31.htm" TargetMode="External"/><Relationship Id="rId275" Type="http://schemas.openxmlformats.org/officeDocument/2006/relationships/hyperlink" Target="https://www.sec.gov/Archives/edgar/data/1801170/000119312521007348/d63659dex32.htm" TargetMode="External"/><Relationship Id="rId276" Type="http://schemas.openxmlformats.org/officeDocument/2006/relationships/hyperlink" Target="https://www.sec.gov/Archives/edgar/data/1801170/000119312521007348/d63659dex101.htm" TargetMode="External"/><Relationship Id="rId277" Type="http://schemas.openxmlformats.org/officeDocument/2006/relationships/hyperlink" Target="https://www.sec.gov/Archives/edgar/data/1801170/000119312521007348/d63659dex102.htm" TargetMode="External"/><Relationship Id="rId278" Type="http://schemas.openxmlformats.org/officeDocument/2006/relationships/hyperlink" Target="https://www.sec.gov/Archives/edgar/data/1801170/000119312521007348/d63659dex103.htm" TargetMode="External"/><Relationship Id="rId279" Type="http://schemas.openxmlformats.org/officeDocument/2006/relationships/hyperlink" Target="https://www.sec.gov/Archives/edgar/data/1801170/000119312521007348/d63659dex104.htm" TargetMode="External"/><Relationship Id="rId280" Type="http://schemas.openxmlformats.org/officeDocument/2006/relationships/hyperlink" Target="https://www.sec.gov/Archives/edgar/data/1801170/000119312521007348/d63659dex105.htm" TargetMode="External"/><Relationship Id="rId281" Type="http://schemas.openxmlformats.org/officeDocument/2006/relationships/hyperlink" Target="https://www.sec.gov/Archives/edgar/data/1801170/000119312521007348/d63659dex106.htm" TargetMode="External"/><Relationship Id="rId282" Type="http://schemas.openxmlformats.org/officeDocument/2006/relationships/hyperlink" Target="https://www.sec.gov/Archives/edgar/data/1801170/000119312521007348/d63659dex107.htm" TargetMode="External"/><Relationship Id="rId283" Type="http://schemas.openxmlformats.org/officeDocument/2006/relationships/hyperlink" Target="https://www.sec.gov/Archives/edgar/data/1801170/000119312521007348/d63659dex108.htm" TargetMode="External"/><Relationship Id="rId284" Type="http://schemas.openxmlformats.org/officeDocument/2006/relationships/hyperlink" Target="https://www.sec.gov/Archives/edgar/data/1801170/000119312521007348/d63659dex109.htm" TargetMode="External"/><Relationship Id="rId285" Type="http://schemas.openxmlformats.org/officeDocument/2006/relationships/hyperlink" Target="https://www.sec.gov/Archives/edgar/data/1801170/000119312521007348/d63659dex1010.htm" TargetMode="External"/><Relationship Id="rId286" Type="http://schemas.openxmlformats.org/officeDocument/2006/relationships/hyperlink" Target="https://www.sec.gov/Archives/edgar/data/1801170/000119312521007348/d63659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2021-05-17T18:30:59Z</dcterms:created>
  <dcterms:modified xsi:type="dcterms:W3CDTF">2021-05-17T18:30:59Z</dcterms:modified>
</cp:coreProperties>
</file>