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Reynoso Jamie 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80"/>
        <w:spacing w:after="0" w:line="365" w:lineRule="auto"/>
        <w:rPr>
          <w:sz w:val="20"/>
          <w:szCs w:val="20"/>
          <w:color w:val="auto"/>
        </w:rPr>
      </w:pPr>
      <w:r>
        <w:rPr>
          <w:rFonts w:ascii="Times New Roman" w:cs="Times New Roman" w:eastAsia="Times New Roman" w:hAnsi="Times New Roman"/>
          <w:sz w:val="17"/>
          <w:szCs w:val="17"/>
          <w:color w:val="0000FF"/>
        </w:rPr>
        <w:t>C/O CLOVER HEALTH INVESTMENTS, CORP. NOT APPLICABLE</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WILMINGTON DE</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19801</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CLOVER HEALTH INVESTMENTS,</w:t>
              </w:r>
            </w:hyperlink>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980" w:type="dxa"/>
            <w:vAlign w:val="bottom"/>
            <w:tcBorders>
              <w:bottom w:val="single" w:sz="8" w:color="0000EE"/>
            </w:tcBorders>
          </w:tcPr>
          <w:p>
            <w:pPr>
              <w:spacing w:after="0"/>
              <w:rPr>
                <w:sz w:val="3"/>
                <w:szCs w:val="3"/>
                <w:color w:val="auto"/>
              </w:rPr>
            </w:pPr>
          </w:p>
        </w:tc>
        <w:tc>
          <w:tcPr>
            <w:tcW w:w="2340" w:type="dxa"/>
            <w:vAlign w:val="bottom"/>
            <w:tcBorders>
              <w:bottom w:val="single" w:sz="8" w:color="0000EE"/>
            </w:tcBorders>
          </w:tcPr>
          <w:p>
            <w:pPr>
              <w:spacing w:after="0"/>
              <w:rPr>
                <w:sz w:val="3"/>
                <w:szCs w:val="3"/>
                <w:color w:val="auto"/>
              </w:rPr>
            </w:pPr>
          </w:p>
        </w:tc>
        <w:tc>
          <w:tcPr>
            <w:tcW w:w="42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3740" w:type="dxa"/>
            <w:vAlign w:val="bottom"/>
            <w:gridSpan w:val="3"/>
            <w:vMerge w:val="restart"/>
          </w:tcPr>
          <w:p>
            <w:pPr>
              <w:spacing w:after="0" w:line="220"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CORP. /DE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CLOV</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18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80" w:type="dxa"/>
            <w:vAlign w:val="bottom"/>
          </w:tcPr>
          <w:p>
            <w:pPr>
              <w:spacing w:after="0"/>
              <w:rPr>
                <w:sz w:val="7"/>
                <w:szCs w:val="7"/>
                <w:color w:val="auto"/>
              </w:rPr>
            </w:pPr>
          </w:p>
        </w:tc>
        <w:tc>
          <w:tcPr>
            <w:tcW w:w="3740" w:type="dxa"/>
            <w:vAlign w:val="bottom"/>
            <w:gridSpan w:val="3"/>
            <w:vMerge w:val="continue"/>
          </w:tcPr>
          <w:p>
            <w:pPr>
              <w:spacing w:after="0"/>
              <w:rPr>
                <w:sz w:val="7"/>
                <w:szCs w:val="7"/>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1"/>
        </w:trPr>
        <w:tc>
          <w:tcPr>
            <w:tcW w:w="80" w:type="dxa"/>
            <w:vAlign w:val="bottom"/>
          </w:tcPr>
          <w:p>
            <w:pPr>
              <w:spacing w:after="0"/>
              <w:rPr>
                <w:sz w:val="5"/>
                <w:szCs w:val="5"/>
                <w:color w:val="auto"/>
              </w:rPr>
            </w:pPr>
          </w:p>
        </w:tc>
        <w:tc>
          <w:tcPr>
            <w:tcW w:w="980" w:type="dxa"/>
            <w:vAlign w:val="bottom"/>
            <w:tcBorders>
              <w:top w:val="single" w:sz="8" w:color="0000EE"/>
            </w:tcBorders>
          </w:tcPr>
          <w:p>
            <w:pPr>
              <w:spacing w:after="0"/>
              <w:rPr>
                <w:sz w:val="5"/>
                <w:szCs w:val="5"/>
                <w:color w:val="auto"/>
              </w:rPr>
            </w:pPr>
          </w:p>
        </w:tc>
        <w:tc>
          <w:tcPr>
            <w:tcW w:w="2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6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80" w:type="dxa"/>
            <w:vAlign w:val="bottom"/>
            <w:tcBorders>
              <w:bottom w:val="single" w:sz="8" w:color="2C2C2C"/>
            </w:tcBorders>
          </w:tcPr>
          <w:p>
            <w:pPr>
              <w:spacing w:after="0"/>
              <w:rPr>
                <w:sz w:val="15"/>
                <w:szCs w:val="15"/>
                <w:color w:val="auto"/>
              </w:rPr>
            </w:pPr>
          </w:p>
        </w:tc>
        <w:tc>
          <w:tcPr>
            <w:tcW w:w="980" w:type="dxa"/>
            <w:vAlign w:val="bottom"/>
            <w:tcBorders>
              <w:bottom w:val="single" w:sz="8" w:color="2C2C2C"/>
            </w:tcBorders>
          </w:tcPr>
          <w:p>
            <w:pPr>
              <w:spacing w:after="0"/>
              <w:rPr>
                <w:sz w:val="15"/>
                <w:szCs w:val="15"/>
                <w:color w:val="auto"/>
              </w:rPr>
            </w:pPr>
          </w:p>
        </w:tc>
        <w:tc>
          <w:tcPr>
            <w:tcW w:w="23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80" w:type="dxa"/>
            <w:vAlign w:val="bottom"/>
          </w:tcPr>
          <w:p>
            <w:pPr>
              <w:spacing w:after="0"/>
              <w:rPr>
                <w:sz w:val="16"/>
                <w:szCs w:val="16"/>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3. Date of Earliest Transaction (Month/Day/Year)</w:t>
            </w:r>
          </w:p>
        </w:tc>
        <w:tc>
          <w:tcPr>
            <w:tcW w:w="3300" w:type="dxa"/>
            <w:vAlign w:val="bottom"/>
            <w:gridSpan w:val="2"/>
          </w:tcPr>
          <w:p>
            <w:pPr>
              <w:ind w:left="720"/>
              <w:spacing w:after="0" w:line="185" w:lineRule="exact"/>
              <w:rPr>
                <w:sz w:val="20"/>
                <w:szCs w:val="20"/>
                <w:color w:val="auto"/>
              </w:rPr>
            </w:pPr>
            <w:r>
              <w:rPr>
                <w:rFonts w:ascii="Times New Roman" w:cs="Times New Roman" w:eastAsia="Times New Roman" w:hAnsi="Times New Roman"/>
                <w:sz w:val="17"/>
                <w:szCs w:val="17"/>
                <w:color w:val="0000FF"/>
              </w:rPr>
              <w:t>CEO, Medicare Advantage</w:t>
            </w:r>
          </w:p>
        </w:tc>
        <w:tc>
          <w:tcPr>
            <w:tcW w:w="0" w:type="dxa"/>
            <w:vAlign w:val="bottom"/>
          </w:tcPr>
          <w:p>
            <w:pPr>
              <w:spacing w:after="0"/>
              <w:rPr>
                <w:sz w:val="1"/>
                <w:szCs w:val="1"/>
                <w:color w:val="auto"/>
              </w:rPr>
            </w:pPr>
          </w:p>
        </w:tc>
      </w:tr>
      <w:tr>
        <w:trPr>
          <w:trHeight w:val="226"/>
        </w:trPr>
        <w:tc>
          <w:tcPr>
            <w:tcW w:w="10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06/11/2026</w:t>
            </w:r>
          </w:p>
        </w:tc>
        <w:tc>
          <w:tcPr>
            <w:tcW w:w="2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80" w:type="dxa"/>
            <w:vAlign w:val="bottom"/>
            <w:tcBorders>
              <w:bottom w:val="single" w:sz="8" w:color="2C2C2C"/>
            </w:tcBorders>
          </w:tcPr>
          <w:p>
            <w:pPr>
              <w:spacing w:after="0"/>
              <w:rPr>
                <w:sz w:val="15"/>
                <w:szCs w:val="15"/>
                <w:color w:val="auto"/>
              </w:rPr>
            </w:pPr>
          </w:p>
        </w:tc>
        <w:tc>
          <w:tcPr>
            <w:tcW w:w="980" w:type="dxa"/>
            <w:vAlign w:val="bottom"/>
            <w:tcBorders>
              <w:bottom w:val="single" w:sz="8" w:color="2C2C2C"/>
            </w:tcBorders>
          </w:tcPr>
          <w:p>
            <w:pPr>
              <w:spacing w:after="0"/>
              <w:rPr>
                <w:sz w:val="15"/>
                <w:szCs w:val="15"/>
                <w:color w:val="auto"/>
              </w:rPr>
            </w:pPr>
          </w:p>
        </w:tc>
        <w:tc>
          <w:tcPr>
            <w:tcW w:w="23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330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06/11/2026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7,289</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4.91</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2,849,921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in this Form 4 was effected pursuant to a Rule 10b5-1 trading plan adopted by the Reporting Person on March 12, 2026. The price reported in Column 4 is a weighted average price. These shares were sold in multiple transactions at prices ranging from $4.79 to $5.15, inclusive. The Reporting Person undertakes to provide to the SEC staff, the issuer, or any security holder of the issuer, upon request, full information regarding the number of shares sold at each separate price within the ranges set forth in this footnote. Remarks:</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/s/Peter J. Rivas as attorney-</w:t>
            </w:r>
          </w:p>
        </w:tc>
        <w:tc>
          <w:tcPr>
            <w:tcW w:w="120" w:type="dxa"/>
            <w:vAlign w:val="bottom"/>
            <w:gridSpan w:val="2"/>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06/11/2026</w:t>
            </w:r>
          </w:p>
        </w:tc>
        <w:tc>
          <w:tcPr>
            <w:tcW w:w="0" w:type="dxa"/>
            <w:vAlign w:val="bottom"/>
          </w:tcPr>
          <w:p>
            <w:pPr>
              <w:spacing w:after="0"/>
              <w:rPr>
                <w:sz w:val="1"/>
                <w:szCs w:val="1"/>
                <w:color w:val="auto"/>
              </w:rPr>
            </w:pPr>
          </w:p>
        </w:tc>
      </w:tr>
      <w:tr>
        <w:trPr>
          <w:trHeight w:val="87"/>
        </w:trPr>
        <w:tc>
          <w:tcPr>
            <w:tcW w:w="2000" w:type="dxa"/>
            <w:vAlign w:val="bottom"/>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Jamie L. Reynoso</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000" w:type="dxa"/>
            <w:vAlign w:val="bottom"/>
            <w:tcBorders>
              <w:bottom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39066" TargetMode="External"/><Relationship Id="rId14" Type="http://schemas.openxmlformats.org/officeDocument/2006/relationships/hyperlink" Target="http://www.sec.gov/cgi-bin/browse-edgar?action=getcompany&amp;CIK=00018011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2026-06-11T16:46:22Z</dcterms:created>
  <dcterms:modified xsi:type="dcterms:W3CDTF">2026-06-11T16:46:22Z</dcterms:modified>
</cp:coreProperties>
</file>