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40" w:hanging="414"/>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001-39252</w:t>
      </w:r>
    </w:p>
    <w:p>
      <w:pPr>
        <w:spacing w:after="0" w:line="2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Clover Health Investments,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128"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4260" w:type="dxa"/>
            <w:vAlign w:val="bottom"/>
          </w:tcPr>
          <w:p>
            <w:pPr>
              <w:jc w:val="center"/>
              <w:ind w:right="1904"/>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98-1515192</w:t>
            </w:r>
          </w:p>
        </w:tc>
      </w:tr>
      <w:tr>
        <w:trPr>
          <w:trHeight w:val="157"/>
        </w:trPr>
        <w:tc>
          <w:tcPr>
            <w:tcW w:w="4260" w:type="dxa"/>
            <w:vAlign w:val="bottom"/>
          </w:tcPr>
          <w:p>
            <w:pPr>
              <w:jc w:val="center"/>
              <w:ind w:right="1924"/>
              <w:spacing w:after="0"/>
              <w:rPr>
                <w:sz w:val="20"/>
                <w:szCs w:val="20"/>
                <w:color w:val="auto"/>
              </w:rPr>
            </w:pPr>
            <w:r>
              <w:rPr>
                <w:rFonts w:ascii="Arial" w:cs="Arial" w:eastAsia="Arial" w:hAnsi="Arial"/>
                <w:sz w:val="13"/>
                <w:szCs w:val="13"/>
                <w:b w:val="1"/>
                <w:bCs w:val="1"/>
                <w:color w:val="auto"/>
                <w:w w:val="88"/>
              </w:rPr>
              <w:t>(State or other jurisdiction of</w:t>
            </w:r>
          </w:p>
        </w:tc>
        <w:tc>
          <w:tcPr>
            <w:tcW w:w="2980" w:type="dxa"/>
            <w:vAlign w:val="bottom"/>
          </w:tcPr>
          <w:p>
            <w:pPr>
              <w:jc w:val="center"/>
              <w:ind w:left="1926"/>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4260" w:type="dxa"/>
            <w:vAlign w:val="bottom"/>
          </w:tcPr>
          <w:p>
            <w:pPr>
              <w:jc w:val="center"/>
              <w:ind w:right="1904"/>
              <w:spacing w:after="0"/>
              <w:rPr>
                <w:sz w:val="20"/>
                <w:szCs w:val="20"/>
                <w:color w:val="auto"/>
              </w:rPr>
            </w:pPr>
            <w:r>
              <w:rPr>
                <w:rFonts w:ascii="Arial" w:cs="Arial" w:eastAsia="Arial" w:hAnsi="Arial"/>
                <w:sz w:val="13"/>
                <w:szCs w:val="13"/>
                <w:b w:val="1"/>
                <w:bCs w:val="1"/>
                <w:color w:val="auto"/>
                <w:w w:val="88"/>
              </w:rPr>
              <w:t>incorporation or organization)</w:t>
            </w:r>
          </w:p>
        </w:tc>
        <w:tc>
          <w:tcPr>
            <w:tcW w:w="2980" w:type="dxa"/>
            <w:vAlign w:val="bottom"/>
          </w:tcPr>
          <w:p>
            <w:pPr>
              <w:jc w:val="center"/>
              <w:ind w:left="1926"/>
              <w:spacing w:after="0"/>
              <w:rPr>
                <w:sz w:val="20"/>
                <w:szCs w:val="20"/>
                <w:color w:val="auto"/>
              </w:rPr>
            </w:pPr>
            <w:r>
              <w:rPr>
                <w:rFonts w:ascii="Arial" w:cs="Arial" w:eastAsia="Arial" w:hAnsi="Arial"/>
                <w:sz w:val="13"/>
                <w:szCs w:val="13"/>
                <w:b w:val="1"/>
                <w:bCs w:val="1"/>
                <w:color w:val="auto"/>
                <w:w w:val="89"/>
              </w:rPr>
              <w:t>Identification No.)</w:t>
            </w:r>
          </w:p>
        </w:tc>
      </w:tr>
      <w:tr>
        <w:trPr>
          <w:trHeight w:val="607"/>
        </w:trPr>
        <w:tc>
          <w:tcPr>
            <w:tcW w:w="4260" w:type="dxa"/>
            <w:vAlign w:val="bottom"/>
          </w:tcPr>
          <w:p>
            <w:pPr>
              <w:jc w:val="center"/>
              <w:ind w:right="1904"/>
              <w:spacing w:after="0"/>
              <w:rPr>
                <w:sz w:val="20"/>
                <w:szCs w:val="20"/>
                <w:color w:val="auto"/>
              </w:rPr>
            </w:pPr>
            <w:r>
              <w:rPr>
                <w:rFonts w:ascii="Arial" w:cs="Arial" w:eastAsia="Arial" w:hAnsi="Arial"/>
                <w:sz w:val="18"/>
                <w:szCs w:val="18"/>
                <w:b w:val="1"/>
                <w:bCs w:val="1"/>
                <w:color w:val="auto"/>
                <w:w w:val="93"/>
              </w:rPr>
              <w:t>3401 Mallory Lane</w:t>
            </w:r>
            <w:r>
              <w:rPr>
                <w:rFonts w:ascii="Arial" w:cs="Arial" w:eastAsia="Arial" w:hAnsi="Arial"/>
                <w:sz w:val="21"/>
                <w:szCs w:val="21"/>
                <w:color w:val="auto"/>
                <w:w w:val="93"/>
              </w:rPr>
              <w:t>,</w:t>
            </w:r>
            <w:r>
              <w:rPr>
                <w:rFonts w:ascii="Arial" w:cs="Arial" w:eastAsia="Arial" w:hAnsi="Arial"/>
                <w:sz w:val="18"/>
                <w:szCs w:val="18"/>
                <w:b w:val="1"/>
                <w:bCs w:val="1"/>
                <w:color w:val="auto"/>
                <w:w w:val="93"/>
              </w:rPr>
              <w:t xml:space="preserve"> Suite 210</w:t>
            </w:r>
          </w:p>
        </w:tc>
        <w:tc>
          <w:tcPr>
            <w:tcW w:w="2980" w:type="dxa"/>
            <w:vAlign w:val="bottom"/>
          </w:tcPr>
          <w:p>
            <w:pPr>
              <w:spacing w:after="0"/>
              <w:rPr>
                <w:sz w:val="24"/>
                <w:szCs w:val="24"/>
                <w:color w:val="auto"/>
              </w:rPr>
            </w:pPr>
          </w:p>
        </w:tc>
      </w:tr>
      <w:tr>
        <w:trPr>
          <w:trHeight w:val="296"/>
        </w:trPr>
        <w:tc>
          <w:tcPr>
            <w:tcW w:w="4260" w:type="dxa"/>
            <w:vAlign w:val="bottom"/>
          </w:tcPr>
          <w:p>
            <w:pPr>
              <w:jc w:val="center"/>
              <w:ind w:right="1904"/>
              <w:spacing w:after="0"/>
              <w:rPr>
                <w:sz w:val="20"/>
                <w:szCs w:val="20"/>
                <w:color w:val="auto"/>
              </w:rPr>
            </w:pPr>
            <w:r>
              <w:rPr>
                <w:rFonts w:ascii="Arial" w:cs="Arial" w:eastAsia="Arial" w:hAnsi="Arial"/>
                <w:sz w:val="18"/>
                <w:szCs w:val="18"/>
                <w:b w:val="1"/>
                <w:bCs w:val="1"/>
                <w:color w:val="auto"/>
                <w:w w:val="89"/>
              </w:rPr>
              <w:t>Franklin</w:t>
            </w:r>
            <w:r>
              <w:rPr>
                <w:rFonts w:ascii="Arial" w:cs="Arial" w:eastAsia="Arial" w:hAnsi="Arial"/>
                <w:sz w:val="21"/>
                <w:szCs w:val="21"/>
                <w:color w:val="auto"/>
                <w:w w:val="89"/>
              </w:rPr>
              <w:t>,</w:t>
            </w:r>
            <w:r>
              <w:rPr>
                <w:rFonts w:ascii="Arial" w:cs="Arial" w:eastAsia="Arial" w:hAnsi="Arial"/>
                <w:sz w:val="18"/>
                <w:szCs w:val="18"/>
                <w:b w:val="1"/>
                <w:bCs w:val="1"/>
                <w:color w:val="auto"/>
                <w:w w:val="89"/>
              </w:rPr>
              <w:t xml:space="preserve"> Tennessee</w:t>
            </w:r>
          </w:p>
        </w:tc>
        <w:tc>
          <w:tcPr>
            <w:tcW w:w="2980" w:type="dxa"/>
            <w:vAlign w:val="bottom"/>
          </w:tcPr>
          <w:p>
            <w:pPr>
              <w:jc w:val="right"/>
              <w:ind w:right="186"/>
              <w:spacing w:after="0"/>
              <w:rPr>
                <w:sz w:val="20"/>
                <w:szCs w:val="20"/>
                <w:color w:val="auto"/>
              </w:rPr>
            </w:pPr>
            <w:r>
              <w:rPr>
                <w:rFonts w:ascii="Arial" w:cs="Arial" w:eastAsia="Arial" w:hAnsi="Arial"/>
                <w:sz w:val="18"/>
                <w:szCs w:val="18"/>
                <w:b w:val="1"/>
                <w:bCs w:val="1"/>
                <w:color w:val="auto"/>
              </w:rPr>
              <w:t>37067</w:t>
            </w:r>
          </w:p>
        </w:tc>
      </w:tr>
      <w:tr>
        <w:trPr>
          <w:trHeight w:val="164"/>
        </w:trPr>
        <w:tc>
          <w:tcPr>
            <w:tcW w:w="4260" w:type="dxa"/>
            <w:vAlign w:val="bottom"/>
          </w:tcPr>
          <w:p>
            <w:pPr>
              <w:jc w:val="center"/>
              <w:ind w:right="190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80" w:type="dxa"/>
            <w:vAlign w:val="bottom"/>
          </w:tcPr>
          <w:p>
            <w:pPr>
              <w:jc w:val="center"/>
              <w:ind w:left="1926"/>
              <w:spacing w:after="0"/>
              <w:rPr>
                <w:sz w:val="20"/>
                <w:szCs w:val="20"/>
                <w:color w:val="auto"/>
              </w:rPr>
            </w:pPr>
            <w:r>
              <w:rPr>
                <w:rFonts w:ascii="Arial" w:cs="Arial" w:eastAsia="Arial" w:hAnsi="Arial"/>
                <w:sz w:val="13"/>
                <w:szCs w:val="13"/>
                <w:b w:val="1"/>
                <w:bCs w:val="1"/>
                <w:color w:val="auto"/>
                <w:w w:val="90"/>
              </w:rPr>
              <w:t>(Zip Code)</w:t>
            </w:r>
          </w:p>
        </w:tc>
      </w:tr>
    </w:tbl>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(201) 432-2133</w:t>
      </w:r>
    </w:p>
    <w:p>
      <w:pPr>
        <w:spacing w:after="0" w:line="132"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________________________________________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Trading</w:t>
            </w:r>
          </w:p>
        </w:tc>
        <w:tc>
          <w:tcPr>
            <w:tcW w:w="4500" w:type="dxa"/>
            <w:vAlign w:val="bottom"/>
          </w:tcPr>
          <w:p>
            <w:pPr>
              <w:spacing w:after="0"/>
              <w:rPr>
                <w:sz w:val="14"/>
                <w:szCs w:val="14"/>
                <w:color w:val="auto"/>
              </w:rPr>
            </w:pPr>
          </w:p>
        </w:tc>
      </w:tr>
      <w:tr>
        <w:trPr>
          <w:trHeight w:val="206"/>
        </w:trPr>
        <w:tc>
          <w:tcPr>
            <w:tcW w:w="4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8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CLOV</w:t>
            </w:r>
          </w:p>
        </w:tc>
        <w:tc>
          <w:tcPr>
            <w:tcW w:w="80" w:type="dxa"/>
            <w:vAlign w:val="bottom"/>
          </w:tcPr>
          <w:p>
            <w:pPr>
              <w:spacing w:after="0"/>
              <w:rPr>
                <w:sz w:val="18"/>
                <w:szCs w:val="18"/>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The NASDAQ Stock Market LLC</w:t>
            </w:r>
          </w:p>
        </w:tc>
      </w:tr>
    </w:tbl>
    <w:p>
      <w:pPr>
        <w:spacing w:after="0" w:line="185" w:lineRule="exact"/>
        <w:rPr>
          <w:sz w:val="24"/>
          <w:szCs w:val="24"/>
          <w:color w:val="auto"/>
        </w:rPr>
      </w:pPr>
    </w:p>
    <w:p>
      <w:pPr>
        <w:jc w:val="both"/>
        <w:ind w:firstLine="648"/>
        <w:spacing w:after="0" w:line="29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tabs>
          <w:tab w:leader="none" w:pos="700" w:val="left"/>
        </w:tabs>
        <w:rPr>
          <w:sz w:val="20"/>
          <w:szCs w:val="20"/>
          <w:color w:val="auto"/>
        </w:rPr>
      </w:pPr>
      <w:r>
        <w:rPr>
          <w:rFonts w:ascii="Arial" w:cs="Arial" w:eastAsia="Arial" w:hAnsi="Arial"/>
          <w:sz w:val="16"/>
          <w:szCs w:val="16"/>
          <w:color w:val="auto"/>
        </w:rPr>
        <w:t>Yes x</w:t>
        <w:tab/>
        <w:t>No o</w:t>
      </w:r>
    </w:p>
    <w:p>
      <w:pPr>
        <w:spacing w:after="0" w:line="101" w:lineRule="exact"/>
        <w:rPr>
          <w:sz w:val="24"/>
          <w:szCs w:val="24"/>
          <w:color w:val="auto"/>
        </w:rPr>
      </w:pPr>
    </w:p>
    <w:p>
      <w:pPr>
        <w:ind w:right="40" w:firstLine="648"/>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40" w:lineRule="exact"/>
        <w:rPr>
          <w:sz w:val="24"/>
          <w:szCs w:val="24"/>
          <w:color w:val="auto"/>
        </w:rPr>
      </w:pPr>
    </w:p>
    <w:p>
      <w:pPr>
        <w:ind w:right="220"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vMerge w:val="restart"/>
          </w:tcPr>
          <w:p>
            <w:pPr>
              <w:ind w:left="340"/>
              <w:spacing w:after="0"/>
              <w:rPr>
                <w:sz w:val="20"/>
                <w:szCs w:val="20"/>
                <w:color w:val="auto"/>
              </w:rPr>
            </w:pPr>
            <w:r>
              <w:rPr>
                <w:rFonts w:ascii="Arial" w:cs="Arial" w:eastAsia="Arial" w:hAnsi="Arial"/>
                <w:sz w:val="16"/>
                <w:szCs w:val="16"/>
                <w:color w:val="auto"/>
              </w:rPr>
              <w:t>x</w:t>
            </w:r>
          </w:p>
        </w:tc>
        <w:tc>
          <w:tcPr>
            <w:tcW w:w="510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5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340"/>
              <w:spacing w:after="0"/>
              <w:rPr>
                <w:sz w:val="20"/>
                <w:szCs w:val="20"/>
                <w:color w:val="auto"/>
              </w:rPr>
            </w:pPr>
            <w:r>
              <w:rPr>
                <w:rFonts w:ascii="Arial" w:cs="Arial" w:eastAsia="Arial" w:hAnsi="Arial"/>
                <w:sz w:val="16"/>
                <w:szCs w:val="16"/>
                <w:color w:val="auto"/>
              </w:rPr>
              <w:t>o</w:t>
            </w:r>
          </w:p>
        </w:tc>
        <w:tc>
          <w:tcPr>
            <w:tcW w:w="510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20" w:type="dxa"/>
            <w:vAlign w:val="bottom"/>
          </w:tcPr>
          <w:p>
            <w:pPr>
              <w:ind w:left="340"/>
              <w:spacing w:after="0"/>
              <w:rPr>
                <w:sz w:val="20"/>
                <w:szCs w:val="20"/>
                <w:color w:val="auto"/>
              </w:rPr>
            </w:pPr>
            <w:r>
              <w:rPr>
                <w:rFonts w:ascii="Arial" w:cs="Arial" w:eastAsia="Arial" w:hAnsi="Arial"/>
                <w:sz w:val="16"/>
                <w:szCs w:val="16"/>
                <w:color w:val="auto"/>
              </w:rPr>
              <w:t>o</w:t>
            </w:r>
          </w:p>
        </w:tc>
        <w:tc>
          <w:tcPr>
            <w:tcW w:w="5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ind w:right="44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p>
      <w:pPr>
        <w:ind w:left="660"/>
        <w:spacing w:after="0"/>
        <w:tabs>
          <w:tab w:leader="none" w:pos="8200" w:val="left"/>
          <w:tab w:leader="none" w:pos="87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No x</w:t>
      </w:r>
    </w:p>
    <w:p>
      <w:pPr>
        <w:spacing w:after="0" w:line="113" w:lineRule="exact"/>
        <w:rPr>
          <w:sz w:val="24"/>
          <w:szCs w:val="24"/>
          <w:color w:val="auto"/>
        </w:rPr>
      </w:pPr>
    </w:p>
    <w:p>
      <w:pPr>
        <w:ind w:right="140" w:firstLine="648"/>
        <w:spacing w:after="0" w:line="275" w:lineRule="auto"/>
        <w:rPr>
          <w:sz w:val="20"/>
          <w:szCs w:val="20"/>
          <w:color w:val="auto"/>
        </w:rPr>
      </w:pPr>
      <w:r>
        <w:rPr>
          <w:rFonts w:ascii="Arial" w:cs="Arial" w:eastAsia="Arial" w:hAnsi="Arial"/>
          <w:sz w:val="16"/>
          <w:szCs w:val="16"/>
          <w:color w:val="auto"/>
        </w:rPr>
        <w:t>As of August 2, 2022, the registrant had 383,247,718 shares of Class A Common Stock, $0.0001 par value per share, and 94,395,168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60" w:type="dxa"/>
            <w:vAlign w:val="bottom"/>
            <w:gridSpan w:val="4"/>
          </w:tcPr>
          <w:p>
            <w:pPr>
              <w:ind w:left="1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621"/>
        </w:trPr>
        <w:tc>
          <w:tcPr>
            <w:tcW w:w="640" w:type="dxa"/>
            <w:vAlign w:val="bottom"/>
            <w:tcBorders>
              <w:bottom w:val="single" w:sz="8" w:color="0000FF"/>
            </w:tcBorders>
            <w:gridSpan w:val="3"/>
          </w:tcPr>
          <w:p>
            <w:pPr>
              <w:spacing w:after="0"/>
              <w:rPr>
                <w:rFonts w:ascii="Arial" w:cs="Arial" w:eastAsia="Arial" w:hAnsi="Arial"/>
                <w:sz w:val="18"/>
                <w:szCs w:val="18"/>
                <w:b w:val="1"/>
                <w:bCs w:val="1"/>
                <w:color w:val="0000FF"/>
                <w:w w:val="96"/>
              </w:rPr>
            </w:pPr>
            <w:hyperlink w:anchor="page5">
              <w:r>
                <w:rPr>
                  <w:rFonts w:ascii="Arial" w:cs="Arial" w:eastAsia="Arial" w:hAnsi="Arial"/>
                  <w:sz w:val="18"/>
                  <w:szCs w:val="18"/>
                  <w:b w:val="1"/>
                  <w:bCs w:val="1"/>
                  <w:color w:val="0000FF"/>
                  <w:w w:val="96"/>
                </w:rPr>
                <w:t>PART I.</w:t>
              </w:r>
            </w:hyperlink>
          </w:p>
        </w:tc>
        <w:tc>
          <w:tcPr>
            <w:tcW w:w="400" w:type="dxa"/>
            <w:vAlign w:val="bottom"/>
            <w:gridSpan w:val="2"/>
          </w:tcPr>
          <w:p>
            <w:pPr>
              <w:spacing w:after="0"/>
              <w:rPr>
                <w:sz w:val="24"/>
                <w:szCs w:val="24"/>
                <w:color w:val="auto"/>
              </w:rPr>
            </w:pPr>
          </w:p>
        </w:tc>
        <w:tc>
          <w:tcPr>
            <w:tcW w:w="240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FINANCIAL INFORMATION</w:t>
              </w:r>
            </w:hyperlink>
          </w:p>
        </w:tc>
        <w:tc>
          <w:tcPr>
            <w:tcW w:w="5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520" w:type="dxa"/>
            <w:vAlign w:val="bottom"/>
            <w:gridSpan w:val="4"/>
          </w:tcPr>
          <w:p>
            <w:pPr>
              <w:spacing w:after="0"/>
              <w:rPr>
                <w:sz w:val="24"/>
                <w:szCs w:val="24"/>
                <w:color w:val="auto"/>
              </w:rPr>
            </w:pPr>
          </w:p>
        </w:tc>
        <w:tc>
          <w:tcPr>
            <w:tcW w:w="758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Condensed Consolidated Balance Sheets</w:t>
              </w:r>
            </w:hyperlink>
          </w:p>
        </w:tc>
        <w:tc>
          <w:tcPr>
            <w:tcW w:w="46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58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5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Changes in Convertible Preferred Stock and Stockholders' Equity</w:t>
              </w:r>
            </w:hyperlink>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Condensed Consolidated Statements of Cash Flows</w:t>
              </w:r>
            </w:hyperlink>
          </w:p>
        </w:tc>
        <w:tc>
          <w:tcPr>
            <w:tcW w:w="38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Notes to Unaudited Condensed Consolidated Financial Statements</w:t>
              </w:r>
            </w:hyperlink>
          </w:p>
        </w:tc>
        <w:tc>
          <w:tcPr>
            <w:tcW w:w="2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FF"/>
                <w:w w:val="94"/>
              </w:rPr>
            </w:pPr>
            <w:hyperlink w:anchor="page32">
              <w:r>
                <w:rPr>
                  <w:rFonts w:ascii="Arial" w:cs="Arial" w:eastAsia="Arial" w:hAnsi="Arial"/>
                  <w:sz w:val="18"/>
                  <w:szCs w:val="18"/>
                  <w:color w:val="0000FF"/>
                  <w:w w:val="94"/>
                </w:rPr>
                <w:t>Item 2.</w:t>
              </w:r>
            </w:hyperlink>
          </w:p>
        </w:tc>
        <w:tc>
          <w:tcPr>
            <w:tcW w:w="500" w:type="dxa"/>
            <w:vAlign w:val="bottom"/>
            <w:gridSpan w:val="3"/>
          </w:tcPr>
          <w:p>
            <w:pPr>
              <w:spacing w:after="0"/>
              <w:rPr>
                <w:sz w:val="19"/>
                <w:szCs w:val="19"/>
                <w:color w:val="auto"/>
              </w:rPr>
            </w:pPr>
          </w:p>
        </w:tc>
        <w:tc>
          <w:tcPr>
            <w:tcW w:w="7580" w:type="dxa"/>
            <w:vAlign w:val="bottom"/>
            <w:gridSpan w:val="16"/>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gridSpan w:val="2"/>
          </w:tcPr>
          <w:p>
            <w:pPr>
              <w:spacing w:after="0"/>
              <w:rPr>
                <w:rFonts w:ascii="Arial" w:cs="Arial" w:eastAsia="Arial" w:hAnsi="Arial"/>
                <w:sz w:val="18"/>
                <w:szCs w:val="18"/>
                <w:color w:val="0000FF"/>
                <w:w w:val="94"/>
              </w:rPr>
            </w:pPr>
            <w:hyperlink w:anchor="page44">
              <w:r>
                <w:rPr>
                  <w:rFonts w:ascii="Arial" w:cs="Arial" w:eastAsia="Arial" w:hAnsi="Arial"/>
                  <w:sz w:val="18"/>
                  <w:szCs w:val="18"/>
                  <w:color w:val="0000FF"/>
                  <w:w w:val="94"/>
                </w:rPr>
                <w:t>Item 3.</w:t>
              </w:r>
            </w:hyperlink>
          </w:p>
        </w:tc>
        <w:tc>
          <w:tcPr>
            <w:tcW w:w="500" w:type="dxa"/>
            <w:vAlign w:val="bottom"/>
            <w:gridSpan w:val="3"/>
          </w:tcPr>
          <w:p>
            <w:pPr>
              <w:spacing w:after="0"/>
              <w:rPr>
                <w:sz w:val="21"/>
                <w:szCs w:val="21"/>
                <w:color w:val="auto"/>
              </w:rPr>
            </w:pPr>
          </w:p>
        </w:tc>
        <w:tc>
          <w:tcPr>
            <w:tcW w:w="6440" w:type="dxa"/>
            <w:vAlign w:val="bottom"/>
            <w:tcBorders>
              <w:top w:val="single" w:sz="8" w:color="0000FF"/>
            </w:tcBorders>
            <w:gridSpan w:val="15"/>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4.</w:t>
              </w:r>
            </w:hyperlink>
          </w:p>
        </w:tc>
        <w:tc>
          <w:tcPr>
            <w:tcW w:w="20" w:type="dxa"/>
            <w:vAlign w:val="bottom"/>
            <w:tcBorders>
              <w:top w:val="single" w:sz="8" w:color="0000FF"/>
            </w:tcBorders>
          </w:tcPr>
          <w:p>
            <w:pPr>
              <w:spacing w:after="0"/>
              <w:rPr>
                <w:sz w:val="21"/>
                <w:szCs w:val="21"/>
                <w:color w:val="auto"/>
              </w:rPr>
            </w:pPr>
          </w:p>
        </w:tc>
        <w:tc>
          <w:tcPr>
            <w:tcW w:w="500" w:type="dxa"/>
            <w:vAlign w:val="bottom"/>
            <w:gridSpan w:val="3"/>
          </w:tcPr>
          <w:p>
            <w:pPr>
              <w:spacing w:after="0"/>
              <w:rPr>
                <w:sz w:val="21"/>
                <w:szCs w:val="21"/>
                <w:color w:val="auto"/>
              </w:rPr>
            </w:pPr>
          </w:p>
        </w:tc>
        <w:tc>
          <w:tcPr>
            <w:tcW w:w="17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8"/>
          </w:tcPr>
          <w:p>
            <w:pPr>
              <w:spacing w:after="0"/>
              <w:rPr>
                <w:sz w:val="21"/>
                <w:szCs w:val="21"/>
                <w:color w:val="auto"/>
              </w:rPr>
            </w:pPr>
          </w:p>
        </w:tc>
        <w:tc>
          <w:tcPr>
            <w:tcW w:w="32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1040" w:type="dxa"/>
            <w:vAlign w:val="bottom"/>
            <w:gridSpan w:val="5"/>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PART II.</w:t>
              </w:r>
            </w:hyperlink>
          </w:p>
        </w:tc>
        <w:tc>
          <w:tcPr>
            <w:tcW w:w="7580" w:type="dxa"/>
            <w:vAlign w:val="bottom"/>
            <w:gridSpan w:val="16"/>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OTHER INFORMATION</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Item 1.</w:t>
              </w:r>
            </w:hyperlink>
          </w:p>
        </w:tc>
        <w:tc>
          <w:tcPr>
            <w:tcW w:w="220" w:type="dxa"/>
            <w:vAlign w:val="bottom"/>
            <w:tcBorders>
              <w:top w:val="single" w:sz="8" w:color="0000FF"/>
            </w:tcBorders>
            <w:gridSpan w:val="2"/>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Legal Proceedings</w:t>
              </w:r>
            </w:hyperlink>
          </w:p>
        </w:tc>
        <w:tc>
          <w:tcPr>
            <w:tcW w:w="680" w:type="dxa"/>
            <w:vAlign w:val="bottom"/>
            <w:tcBorders>
              <w:top w:val="single" w:sz="8" w:color="0000FF"/>
            </w:tcBorders>
            <w:gridSpan w:val="2"/>
          </w:tcPr>
          <w:p>
            <w:pPr>
              <w:spacing w:after="0"/>
              <w:rPr>
                <w:sz w:val="24"/>
                <w:szCs w:val="24"/>
                <w:color w:val="auto"/>
              </w:rPr>
            </w:pPr>
          </w:p>
        </w:tc>
        <w:tc>
          <w:tcPr>
            <w:tcW w:w="5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1A.</w:t>
              </w:r>
            </w:hyperlink>
          </w:p>
        </w:tc>
        <w:tc>
          <w:tcPr>
            <w:tcW w:w="7580" w:type="dxa"/>
            <w:vAlign w:val="bottom"/>
            <w:gridSpan w:val="16"/>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2.</w:t>
              </w:r>
            </w:hyperlink>
          </w:p>
        </w:tc>
        <w:tc>
          <w:tcPr>
            <w:tcW w:w="120" w:type="dxa"/>
            <w:vAlign w:val="bottom"/>
            <w:gridSpan w:val="2"/>
          </w:tcPr>
          <w:p>
            <w:pPr>
              <w:spacing w:after="0"/>
              <w:rPr>
                <w:sz w:val="24"/>
                <w:szCs w:val="24"/>
                <w:color w:val="auto"/>
              </w:rPr>
            </w:pPr>
          </w:p>
        </w:tc>
        <w:tc>
          <w:tcPr>
            <w:tcW w:w="400" w:type="dxa"/>
            <w:vAlign w:val="bottom"/>
            <w:gridSpan w:val="2"/>
          </w:tcPr>
          <w:p>
            <w:pPr>
              <w:spacing w:after="0"/>
              <w:rPr>
                <w:sz w:val="24"/>
                <w:szCs w:val="24"/>
                <w:color w:val="auto"/>
              </w:rPr>
            </w:pPr>
          </w:p>
        </w:tc>
        <w:tc>
          <w:tcPr>
            <w:tcW w:w="4360" w:type="dxa"/>
            <w:vAlign w:val="bottom"/>
            <w:gridSpan w:val="13"/>
            <w:vMerge w:val="restart"/>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Unregistered Sales of Equity Securities and Use of Proceeds</w:t>
              </w:r>
            </w:hyperlink>
          </w:p>
        </w:tc>
        <w:tc>
          <w:tcPr>
            <w:tcW w:w="322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040" w:type="dxa"/>
            <w:vAlign w:val="bottom"/>
            <w:gridSpan w:val="5"/>
            <w:vMerge w:val="restart"/>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3.</w:t>
              </w:r>
            </w:hyperlink>
          </w:p>
        </w:tc>
        <w:tc>
          <w:tcPr>
            <w:tcW w:w="4360" w:type="dxa"/>
            <w:vAlign w:val="bottom"/>
            <w:tcBorders>
              <w:bottom w:val="single" w:sz="8" w:color="0000FF"/>
            </w:tcBorders>
            <w:gridSpan w:val="13"/>
            <w:vMerge w:val="continue"/>
          </w:tcPr>
          <w:p>
            <w:pPr>
              <w:spacing w:after="0"/>
              <w:rPr>
                <w:sz w:val="12"/>
                <w:szCs w:val="12"/>
                <w:color w:val="auto"/>
              </w:rPr>
            </w:pPr>
          </w:p>
        </w:tc>
        <w:tc>
          <w:tcPr>
            <w:tcW w:w="3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1040" w:type="dxa"/>
            <w:vAlign w:val="bottom"/>
            <w:gridSpan w:val="5"/>
            <w:vMerge w:val="continue"/>
          </w:tcPr>
          <w:p>
            <w:pPr>
              <w:spacing w:after="0"/>
              <w:rPr>
                <w:sz w:val="24"/>
                <w:szCs w:val="24"/>
                <w:color w:val="auto"/>
              </w:rPr>
            </w:pPr>
          </w:p>
        </w:tc>
        <w:tc>
          <w:tcPr>
            <w:tcW w:w="7580" w:type="dxa"/>
            <w:vAlign w:val="bottom"/>
            <w:gridSpan w:val="16"/>
            <w:vMerge w:val="restart"/>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Defaults Upon Senior Securities</w:t>
              </w:r>
            </w:hyperlink>
          </w:p>
        </w:tc>
        <w:tc>
          <w:tcPr>
            <w:tcW w:w="0" w:type="dxa"/>
            <w:vAlign w:val="bottom"/>
          </w:tcPr>
          <w:p>
            <w:pPr>
              <w:spacing w:after="0"/>
              <w:rPr>
                <w:sz w:val="1"/>
                <w:szCs w:val="1"/>
                <w:color w:val="auto"/>
              </w:rPr>
            </w:pPr>
          </w:p>
        </w:tc>
      </w:tr>
      <w:tr>
        <w:trPr>
          <w:trHeight w:val="142"/>
        </w:trPr>
        <w:tc>
          <w:tcPr>
            <w:tcW w:w="5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580" w:type="dxa"/>
            <w:vAlign w:val="bottom"/>
            <w:gridSpan w:val="1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Item 4.</w:t>
              </w:r>
            </w:hyperlink>
          </w:p>
        </w:tc>
        <w:tc>
          <w:tcPr>
            <w:tcW w:w="500" w:type="dxa"/>
            <w:vAlign w:val="bottom"/>
            <w:gridSpan w:val="3"/>
          </w:tcPr>
          <w:p>
            <w:pPr>
              <w:spacing w:after="0"/>
              <w:rPr>
                <w:sz w:val="20"/>
                <w:szCs w:val="20"/>
                <w:color w:val="auto"/>
              </w:rPr>
            </w:pPr>
          </w:p>
        </w:tc>
        <w:tc>
          <w:tcPr>
            <w:tcW w:w="17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Mine Safety Disclosures</w:t>
              </w:r>
            </w:hyperlink>
          </w:p>
        </w:tc>
        <w:tc>
          <w:tcPr>
            <w:tcW w:w="540" w:type="dxa"/>
            <w:vAlign w:val="bottom"/>
            <w:tcBorders>
              <w:top w:val="single" w:sz="8" w:color="0000FF"/>
            </w:tcBorders>
            <w:gridSpan w:val="2"/>
          </w:tcPr>
          <w:p>
            <w:pPr>
              <w:spacing w:after="0"/>
              <w:rPr>
                <w:sz w:val="20"/>
                <w:szCs w:val="20"/>
                <w:color w:val="auto"/>
              </w:rPr>
            </w:pPr>
          </w:p>
        </w:tc>
        <w:tc>
          <w:tcPr>
            <w:tcW w:w="526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Item 5.</w:t>
              </w:r>
            </w:hyperlink>
          </w:p>
        </w:tc>
        <w:tc>
          <w:tcPr>
            <w:tcW w:w="500" w:type="dxa"/>
            <w:vAlign w:val="bottom"/>
            <w:gridSpan w:val="3"/>
          </w:tcPr>
          <w:p>
            <w:pPr>
              <w:spacing w:after="0"/>
              <w:rPr>
                <w:sz w:val="18"/>
                <w:szCs w:val="18"/>
                <w:color w:val="auto"/>
              </w:rPr>
            </w:pPr>
          </w:p>
        </w:tc>
        <w:tc>
          <w:tcPr>
            <w:tcW w:w="132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Other Information</w:t>
              </w:r>
            </w:hyperlink>
          </w:p>
        </w:tc>
        <w:tc>
          <w:tcPr>
            <w:tcW w:w="626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gridSpan w:val="2"/>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Item 6.</w:t>
              </w:r>
            </w:hyperlink>
          </w:p>
        </w:tc>
        <w:tc>
          <w:tcPr>
            <w:tcW w:w="500" w:type="dxa"/>
            <w:vAlign w:val="bottom"/>
            <w:gridSpan w:val="3"/>
          </w:tcPr>
          <w:p>
            <w:pPr>
              <w:spacing w:after="0"/>
              <w:rPr>
                <w:sz w:val="18"/>
                <w:szCs w:val="18"/>
                <w:color w:val="auto"/>
              </w:rPr>
            </w:pPr>
          </w:p>
        </w:tc>
        <w:tc>
          <w:tcPr>
            <w:tcW w:w="7580" w:type="dxa"/>
            <w:vAlign w:val="bottom"/>
            <w:gridSpan w:val="16"/>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40" w:type="dxa"/>
            <w:vAlign w:val="bottom"/>
            <w:gridSpan w:val="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38100</wp:posOffset>
            </wp:positionV>
            <wp:extent cx="574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53" w:lineRule="exact"/>
        <w:rPr>
          <w:sz w:val="20"/>
          <w:szCs w:val="20"/>
          <w:color w:val="auto"/>
        </w:rPr>
      </w:pPr>
    </w:p>
    <w:p>
      <w:pPr>
        <w:ind w:left="1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25" w:lineRule="exact"/>
        <w:rPr>
          <w:sz w:val="20"/>
          <w:szCs w:val="20"/>
          <w:color w:val="auto"/>
        </w:rPr>
      </w:pPr>
    </w:p>
    <w:p>
      <w:pPr>
        <w:ind w:left="1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3" w:lineRule="exact"/>
        <w:rPr>
          <w:sz w:val="20"/>
          <w:szCs w:val="20"/>
          <w:color w:val="auto"/>
        </w:rPr>
      </w:pPr>
    </w:p>
    <w:p>
      <w:pPr>
        <w:ind w:left="1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23" w:lineRule="exact"/>
        <w:rPr>
          <w:sz w:val="20"/>
          <w:szCs w:val="20"/>
          <w:color w:val="auto"/>
        </w:rPr>
      </w:pPr>
    </w:p>
    <w:p>
      <w:pPr>
        <w:ind w:left="1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p>
      <w:pPr>
        <w:spacing w:after="0" w:line="23" w:lineRule="exact"/>
        <w:rPr>
          <w:sz w:val="20"/>
          <w:szCs w:val="20"/>
          <w:color w:val="auto"/>
        </w:rPr>
      </w:pPr>
    </w:p>
    <w:p>
      <w:pPr>
        <w:ind w:left="1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p>
      <w:pPr>
        <w:spacing w:after="0" w:line="23" w:lineRule="exact"/>
        <w:rPr>
          <w:sz w:val="20"/>
          <w:szCs w:val="20"/>
          <w:color w:val="auto"/>
        </w:rPr>
      </w:pPr>
    </w:p>
    <w:p>
      <w:pPr>
        <w:ind w:left="6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10</w:t>
        </w:r>
      </w:hyperlink>
    </w:p>
    <w:p>
      <w:pPr>
        <w:spacing w:after="0" w:line="23" w:lineRule="exact"/>
        <w:rPr>
          <w:sz w:val="20"/>
          <w:szCs w:val="20"/>
          <w:color w:val="auto"/>
        </w:rPr>
      </w:pPr>
    </w:p>
    <w:p>
      <w:pPr>
        <w:ind w:left="6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p>
      <w:pPr>
        <w:spacing w:after="0" w:line="62" w:lineRule="exact"/>
        <w:rPr>
          <w:sz w:val="20"/>
          <w:szCs w:val="20"/>
          <w:color w:val="auto"/>
        </w:rPr>
      </w:pPr>
    </w:p>
    <w:p>
      <w:pPr>
        <w:ind w:left="6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32</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43</w:t>
        </w:r>
      </w:hyperlink>
    </w:p>
    <w:p>
      <w:pPr>
        <w:spacing w:after="0" w:line="63" w:lineRule="exact"/>
        <w:rPr>
          <w:sz w:val="20"/>
          <w:szCs w:val="20"/>
          <w:color w:val="auto"/>
        </w:rPr>
      </w:pPr>
    </w:p>
    <w:p>
      <w:pPr>
        <w:ind w:left="6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43</w:t>
        </w:r>
      </w:hyperlink>
    </w:p>
    <w:p>
      <w:pPr>
        <w:spacing w:after="0" w:line="225" w:lineRule="exact"/>
        <w:rPr>
          <w:sz w:val="20"/>
          <w:szCs w:val="20"/>
          <w:color w:val="auto"/>
        </w:rPr>
      </w:pPr>
    </w:p>
    <w:p>
      <w:pPr>
        <w:ind w:left="6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p>
      <w:pPr>
        <w:spacing w:after="0" w:line="225" w:lineRule="exact"/>
        <w:rPr>
          <w:sz w:val="20"/>
          <w:szCs w:val="20"/>
          <w:color w:val="auto"/>
        </w:rPr>
      </w:pPr>
    </w:p>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p>
      <w:pPr>
        <w:spacing w:after="0" w:line="23" w:lineRule="exact"/>
        <w:rPr>
          <w:sz w:val="20"/>
          <w:szCs w:val="20"/>
          <w:color w:val="auto"/>
        </w:rPr>
      </w:pPr>
    </w:p>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p>
      <w:pPr>
        <w:spacing w:after="0" w:line="386" w:lineRule="exact"/>
        <w:rPr>
          <w:sz w:val="20"/>
          <w:szCs w:val="20"/>
          <w:color w:val="auto"/>
        </w:rPr>
      </w:pPr>
    </w:p>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p>
      <w:pPr>
        <w:spacing w:after="0" w:line="387" w:lineRule="exact"/>
        <w:rPr>
          <w:sz w:val="20"/>
          <w:szCs w:val="20"/>
          <w:color w:val="auto"/>
        </w:rPr>
      </w:pPr>
    </w:p>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p>
      <w:pPr>
        <w:spacing w:after="0" w:line="23" w:lineRule="exact"/>
        <w:rPr>
          <w:sz w:val="20"/>
          <w:szCs w:val="20"/>
          <w:color w:val="auto"/>
        </w:rPr>
      </w:pPr>
    </w:p>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p>
      <w:pPr>
        <w:spacing w:after="0" w:line="23" w:lineRule="exact"/>
        <w:rPr>
          <w:sz w:val="20"/>
          <w:szCs w:val="20"/>
          <w:color w:val="auto"/>
        </w:rPr>
      </w:pPr>
    </w:p>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p>
      <w:pPr>
        <w:spacing w:after="0" w:line="23" w:lineRule="exact"/>
        <w:rPr>
          <w:sz w:val="20"/>
          <w:szCs w:val="20"/>
          <w:color w:val="auto"/>
        </w:rPr>
      </w:pPr>
    </w:p>
    <w:p>
      <w:pPr>
        <w:ind w:left="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46</w:t>
        </w:r>
      </w:hyperlink>
    </w:p>
    <w:p>
      <w:pPr>
        <w:sectPr>
          <w:pgSz w:w="11900" w:h="16838" w:orient="portrait"/>
          <w:cols w:equalWidth="0" w:num="2">
            <w:col w:w="9900" w:space="720"/>
            <w:col w:w="300"/>
          </w:cols>
          <w:pgMar w:left="340" w:top="985" w:right="639" w:bottom="1440" w:gutter="0" w:footer="0" w:header="0"/>
        </w:sectPr>
      </w:pPr>
    </w:p>
    <w:bookmarkStart w:id="2" w:name="page3"/>
    <w:bookmarkEnd w:id="2"/>
    <w:p>
      <w:pPr>
        <w:jc w:val="both"/>
        <w:spacing w:after="0" w:line="246" w:lineRule="auto"/>
        <w:rPr>
          <w:sz w:val="20"/>
          <w:szCs w:val="20"/>
          <w:color w:val="auto"/>
        </w:rPr>
      </w:pPr>
      <w:r>
        <w:rPr>
          <w:rFonts w:ascii="Arial" w:cs="Arial" w:eastAsia="Arial" w:hAnsi="Arial"/>
          <w:sz w:val="18"/>
          <w:szCs w:val="18"/>
          <w:i w:val="1"/>
          <w:iCs w:val="1"/>
          <w:color w:val="auto"/>
        </w:rPr>
        <w:t>As used in this report, "Company," "Clover," "Clover Health," "we," "us," "our," and similar terms refer to Clover Health Investments, Corp. and its consolidated subsidiaries, unless otherwise noted or the context otherwise requires.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document contains forward-looking statements within the meaning of Section 27A of the Securities Act of 1933, as amended (the "Securities Act"), and Section 21E of the Securities Exchange Act of 1934, as amended (the "Exchange Act"). All statements contained in this document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our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document may not occur, and actual results could differ materially and adversely from those anticipated or implied in the forward-looking statements. Forward-looking statements contained in this document involve a number of judgments, risks and uncertainties, including, without limitation, risks related to:</w:t>
      </w:r>
    </w:p>
    <w:p>
      <w:pPr>
        <w:spacing w:after="0" w:line="20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results of operations, financial condition, and cash flows;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and expansion of our Insurance and Non-Insurance businesses;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new service markets and manage our operations;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in the markets in which we operate;</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beneficiary base and provider network;</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increase adoption and use of Clover Assistant;</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anticipated benefits associated with the use of Clover Assistant, including our ability to utilize the platform to manage our medical care ratios;</w:t>
      </w:r>
    </w:p>
    <w:p>
      <w:pPr>
        <w:spacing w:after="0" w:line="5" w:lineRule="exact"/>
        <w:rPr>
          <w:rFonts w:ascii="Arial" w:cs="Arial" w:eastAsia="Arial" w:hAnsi="Arial"/>
          <w:sz w:val="16"/>
          <w:szCs w:val="16"/>
          <w:color w:val="auto"/>
        </w:rPr>
      </w:pP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features and functionality that meet market needs and achieve market acceptance;</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hire necessary employees and staff our operations appropriately;</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 of certain investments in growth;</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on our business, results of operations, and financial condition;</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ind w:left="660" w:hanging="328"/>
        <w:spacing w:after="0" w:line="21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current, pending, or future legislation, regulations or policies that could have a negative effect on our revenue and businesses, including rules, regulations, and policies relating to healthcare and Medicare;</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our Star Ratings or otherwise continue to improve the financial performance of our business;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ind w:left="660" w:hanging="328"/>
        <w:spacing w:after="0" w:line="23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including the societal and economic impact of the COVID-19 pandemic and its variants, and geopolitical uncertainty and instability.</w:t>
      </w:r>
    </w:p>
    <w:p>
      <w:pPr>
        <w:spacing w:after="0" w:line="20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document or to conform these statements to actual results or revised expectations.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document contains estimates, projections, and other information concerning our industry, our business, and the markets for our products. We obtained the industry, market, and similar data set forth in this document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3" w:name="page4"/>
    <w:bookmarkEnd w:id="3"/>
    <w:p>
      <w:pPr>
        <w:jc w:val="both"/>
        <w:spacing w:after="0" w:line="231" w:lineRule="auto"/>
        <w:rPr>
          <w:sz w:val="20"/>
          <w:szCs w:val="20"/>
          <w:color w:val="auto"/>
        </w:rPr>
      </w:pPr>
      <w:r>
        <w:rPr>
          <w:rFonts w:ascii="Arial" w:cs="Arial" w:eastAsia="Arial" w:hAnsi="Arial"/>
          <w:sz w:val="18"/>
          <w:szCs w:val="18"/>
          <w:color w:val="auto"/>
        </w:rPr>
        <w:t>As a result of a number of known and unknown risks and uncertainties, including without limitation, the important factors described in our reports filed with the SEC, including the discussion under "Risk Factors" in our Annual Report on Form 10-K for the year ended December 31, 2021, as filed with the SEC and available on its website at www.sec.gov, our actual results or performance may be materially different from those expressed or implied by these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website address is www.cloverhealth.com. Our filings with the SEC are posted on our website and available free of charge as soon as reasonably practical after they are electronically filed with, or furnished to, the SEC. The SEC's website, www.sec.gov, contains reports, proxy statements and other information regarding issuers that file electronically with the SEC. The content on our website or on any other website referred to in this document is not incorporated by reference in this document. Further, the Company's references to website URLs are intended to be inactive textual references only.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Investors and others should note that we routinely announce material information to investors and the marketplace using filings with the SEC, press releases, public conference calls, presentations, webcasts, and the investor relations page of our website. We use the investor relations page of our website for purposes of compliance with Regulation FD and as a routine channel for distribution of important information, including news releases, analyst presentations, financial information, and corporate governance practices. We also intend to use certain social media channels as a means of disclosing information about the Company and our products to our customers, investors, and the public, including @CloverHealth and #CloverHealth on Twitter, and the LinkedIn account of our President, Andrew Toy.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at the "Investors" link located at the bottom of our webpage at https://investors.cloverhealth.com/investor-relations and to sign up for and regularly follow our social media accounts. Users may automatically receive email alerts and other information about the Company when enrolling an email address by visiting "Email Alerts" in the "Investor Resources" section of our website at https://investors.cloverhealth.com/investor-relations.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share amounts)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 2022</w:t>
            </w:r>
          </w:p>
        </w:tc>
        <w:tc>
          <w:tcPr>
            <w:tcW w:w="1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189"/>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6"/>
                <w:szCs w:val="16"/>
                <w:color w:val="auto"/>
              </w:rPr>
            </w:pPr>
          </w:p>
        </w:tc>
        <w:tc>
          <w:tcPr>
            <w:tcW w:w="1260" w:type="dxa"/>
            <w:vAlign w:val="bottom"/>
          </w:tcPr>
          <w:p>
            <w:pPr>
              <w:jc w:val="right"/>
              <w:ind w:right="430"/>
              <w:spacing w:after="0" w:line="189" w:lineRule="exact"/>
              <w:rPr>
                <w:sz w:val="20"/>
                <w:szCs w:val="20"/>
                <w:color w:val="auto"/>
              </w:rPr>
            </w:pPr>
            <w:r>
              <w:rPr>
                <w:rFonts w:ascii="Arial" w:cs="Arial" w:eastAsia="Arial" w:hAnsi="Arial"/>
                <w:sz w:val="18"/>
                <w:szCs w:val="18"/>
                <w:b w:val="1"/>
                <w:bCs w:val="1"/>
                <w:color w:val="auto"/>
              </w:rPr>
              <w:t>2021</w:t>
            </w:r>
          </w:p>
        </w:tc>
      </w:tr>
      <w:tr>
        <w:trPr>
          <w:trHeight w:val="209"/>
        </w:trPr>
        <w:tc>
          <w:tcPr>
            <w:tcW w:w="8400" w:type="dxa"/>
            <w:vAlign w:val="bottom"/>
            <w:tcBorders>
              <w:top w:val="single" w:sz="8" w:color="CCEEFF"/>
            </w:tcBorders>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299,968</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104,005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293,851</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securities, available-for-sale (Amortized cost: 2022: $80,608; 2021: $21,142)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21,131</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Investment securities, held-to-maturity (Fair value: 2022: $0; 2021: $307)</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retrospective premiums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34,923</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14,282</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Healthcare receivable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48,042</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Non-Insurance performance year receivable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1,164,682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Surety bonds and deposits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12,613</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9,409</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 current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18,022</w:t>
            </w:r>
          </w:p>
        </w:tc>
      </w:tr>
      <w:tr>
        <w:trPr>
          <w:trHeight w:val="223"/>
        </w:trPr>
        <w:tc>
          <w:tcPr>
            <w:tcW w:w="8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1,861,046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752,546</w:t>
            </w:r>
          </w:p>
        </w:tc>
      </w:tr>
      <w:tr>
        <w:trPr>
          <w:trHeight w:val="75"/>
        </w:trPr>
        <w:tc>
          <w:tcPr>
            <w:tcW w:w="8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Investment securities, available-for-sale (Amortized cost: 2022: $181,788; 2021: $177,527)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174,046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175,604</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securities, held-to-maturity (Fair value: 2022: $361; 2021: $364)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Equity method investment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5,367</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r>
      <w:tr>
        <w:trPr>
          <w:trHeight w:val="229"/>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assets, non-current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10,432</w:t>
            </w:r>
          </w:p>
        </w:tc>
      </w:tr>
      <w:tr>
        <w:trPr>
          <w:trHeight w:val="248"/>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2,063,206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950,804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share amounts)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 2022</w:t>
            </w:r>
          </w:p>
        </w:tc>
        <w:tc>
          <w:tcPr>
            <w:tcW w:w="14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89"/>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6"/>
                <w:szCs w:val="16"/>
                <w:color w:val="auto"/>
              </w:rPr>
            </w:pPr>
          </w:p>
        </w:tc>
        <w:tc>
          <w:tcPr>
            <w:tcW w:w="1220" w:type="dxa"/>
            <w:vAlign w:val="bottom"/>
          </w:tcPr>
          <w:p>
            <w:pPr>
              <w:jc w:val="right"/>
              <w:ind w:right="410"/>
              <w:spacing w:after="0" w:line="189"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tcBorders>
            <w:shd w:val="clear" w:color="auto" w:fill="CCEEFF"/>
          </w:tcPr>
          <w:p>
            <w:pPr>
              <w:ind w:left="28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claims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138,604</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Due to related parties, net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performance year obligation, current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1,214,312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36,891</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Non-Insurance payable</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120,365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37,773</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28,129</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Accrued salaries and benefits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15,147</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Premium deficiency reserve</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55,314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110,628</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 current</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1,598,666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372,624</w:t>
            </w:r>
          </w:p>
        </w:tc>
        <w:tc>
          <w:tcPr>
            <w:tcW w:w="0" w:type="dxa"/>
            <w:vAlign w:val="bottom"/>
          </w:tcPr>
          <w:p>
            <w:pPr>
              <w:spacing w:after="0"/>
              <w:rPr>
                <w:sz w:val="1"/>
                <w:szCs w:val="1"/>
                <w:color w:val="auto"/>
              </w:rPr>
            </w:pPr>
          </w:p>
        </w:tc>
      </w:tr>
      <w:tr>
        <w:trPr>
          <w:trHeight w:val="128"/>
        </w:trPr>
        <w:tc>
          <w:tcPr>
            <w:tcW w:w="8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Notes and securities payable, net of discounts and deferred issuance costs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19,938</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 non-current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1,636,284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411,487</w:t>
            </w:r>
          </w:p>
        </w:tc>
        <w:tc>
          <w:tcPr>
            <w:tcW w:w="0" w:type="dxa"/>
            <w:vAlign w:val="bottom"/>
          </w:tcPr>
          <w:p>
            <w:pPr>
              <w:spacing w:after="0"/>
              <w:rPr>
                <w:sz w:val="1"/>
                <w:szCs w:val="1"/>
                <w:color w:val="auto"/>
              </w:rPr>
            </w:pPr>
          </w:p>
        </w:tc>
      </w:tr>
      <w:tr>
        <w:trPr>
          <w:trHeight w:val="209"/>
        </w:trPr>
        <w:tc>
          <w:tcPr>
            <w:tcW w:w="846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140"/>
              <w:spacing w:after="0" w:line="176" w:lineRule="exact"/>
              <w:rPr>
                <w:sz w:val="20"/>
                <w:szCs w:val="20"/>
                <w:color w:val="auto"/>
              </w:rPr>
            </w:pPr>
            <w:r>
              <w:rPr>
                <w:rFonts w:ascii="Arial" w:cs="Arial" w:eastAsia="Arial" w:hAnsi="Arial"/>
                <w:sz w:val="18"/>
                <w:szCs w:val="18"/>
                <w:color w:val="auto"/>
              </w:rPr>
              <w:t>Class A Common Stock, $0.0001 par value; 2,500,000,000 shares authorized as of June 30, 2022, and</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140"/>
              <w:spacing w:after="0" w:line="176" w:lineRule="exact"/>
              <w:rPr>
                <w:sz w:val="20"/>
                <w:szCs w:val="20"/>
                <w:color w:val="auto"/>
              </w:rPr>
            </w:pPr>
            <w:r>
              <w:rPr>
                <w:rFonts w:ascii="Arial" w:cs="Arial" w:eastAsia="Arial" w:hAnsi="Arial"/>
                <w:sz w:val="18"/>
                <w:szCs w:val="18"/>
                <w:color w:val="auto"/>
                <w:w w:val="90"/>
              </w:rPr>
              <w:t>December 31, 2021; 383,008,614 and 352,645,626 issued and outstanding as of June 30, 2022, and December 31,</w:t>
            </w: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2021, respectively</w:t>
            </w: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Class B Common Stock, $0.0001 par value; 500,000,000 shares authorized as of June 30, 2022, and December 31,</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2021; 94,395,168 and 118,206,768 issued and outstanding as of June 30, 2022, and December 31, 2021,</w:t>
            </w: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2,237,648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2,154,187</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(1,796,228)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(1,616,738)</w:t>
            </w:r>
          </w:p>
        </w:tc>
        <w:tc>
          <w:tcPr>
            <w:tcW w:w="0" w:type="dxa"/>
            <w:vAlign w:val="bottom"/>
          </w:tcPr>
          <w:p>
            <w:pPr>
              <w:spacing w:after="0"/>
              <w:rPr>
                <w:sz w:val="1"/>
                <w:szCs w:val="1"/>
                <w:color w:val="auto"/>
              </w:rPr>
            </w:pPr>
          </w:p>
        </w:tc>
      </w:tr>
      <w:tr>
        <w:trPr>
          <w:trHeight w:val="215"/>
        </w:trPr>
        <w:tc>
          <w:tcPr>
            <w:tcW w:w="8460" w:type="dxa"/>
            <w:vAlign w:val="bottom"/>
            <w:shd w:val="clear" w:color="auto" w:fill="CCEEFF"/>
          </w:tcPr>
          <w:p>
            <w:pPr>
              <w:ind w:left="140"/>
              <w:spacing w:after="0" w:line="215" w:lineRule="exact"/>
              <w:rPr>
                <w:sz w:val="20"/>
                <w:szCs w:val="20"/>
                <w:color w:val="auto"/>
              </w:rPr>
            </w:pPr>
            <w:r>
              <w:rPr>
                <w:rFonts w:ascii="Arial" w:cs="Arial" w:eastAsia="Arial" w:hAnsi="Arial"/>
                <w:sz w:val="18"/>
                <w:szCs w:val="18"/>
                <w:color w:val="auto"/>
                <w:w w:val="93"/>
              </w:rPr>
              <w:t>Less: Treasury stock, at cost; 1,931,537 and 14,730 shares held as of June 30, 2022</w:t>
            </w:r>
            <w:r>
              <w:rPr>
                <w:rFonts w:ascii="Arial" w:cs="Arial" w:eastAsia="Arial" w:hAnsi="Arial"/>
                <w:sz w:val="21"/>
                <w:szCs w:val="21"/>
                <w:color w:val="auto"/>
                <w:w w:val="93"/>
              </w:rPr>
              <w:t>,</w:t>
            </w:r>
            <w:r>
              <w:rPr>
                <w:rFonts w:ascii="Arial" w:cs="Arial" w:eastAsia="Arial" w:hAnsi="Arial"/>
                <w:sz w:val="18"/>
                <w:szCs w:val="18"/>
                <w:color w:val="auto"/>
                <w:w w:val="93"/>
              </w:rPr>
              <w:t xml:space="preserve"> and December 31, 2021,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8460" w:type="dxa"/>
            <w:vAlign w:val="bottom"/>
          </w:tcPr>
          <w:p>
            <w:pPr>
              <w:ind w:left="240"/>
              <w:spacing w:after="0"/>
              <w:rPr>
                <w:sz w:val="20"/>
                <w:szCs w:val="20"/>
                <w:color w:val="auto"/>
              </w:rPr>
            </w:pPr>
            <w:r>
              <w:rPr>
                <w:rFonts w:ascii="Arial" w:cs="Arial" w:eastAsia="Arial" w:hAnsi="Arial"/>
                <w:sz w:val="18"/>
                <w:szCs w:val="18"/>
                <w:color w:val="auto"/>
              </w:rPr>
              <w:t>Clover stockholders' equity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426,922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535,414</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426,922</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539,317</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2,063,206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950,804</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 xml:space="preserve">CONDENSED CONSOLIDATED STATEMENTS OF OPERATIONS AND COMPREHENSIVE LOSS </w:t>
      </w:r>
      <w:r>
        <w:rPr>
          <w:rFonts w:ascii="Arial" w:cs="Arial" w:eastAsia="Arial" w:hAnsi="Arial"/>
          <w:sz w:val="14"/>
          <w:szCs w:val="14"/>
          <w:color w:val="231F20"/>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per share and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9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w w:val="95"/>
              </w:rPr>
              <w:t>Premiums earned, net (Net of ceded premiums of $119 and $126 for the three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w w:val="94"/>
              </w:rPr>
              <w:t>months ended June 30, 2022 and 2021, respectively; net of ceded premiums of</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tcPr>
          <w:p>
            <w:pPr>
              <w:ind w:left="20"/>
              <w:spacing w:after="0"/>
              <w:rPr>
                <w:sz w:val="20"/>
                <w:szCs w:val="20"/>
                <w:color w:val="auto"/>
              </w:rPr>
            </w:pPr>
            <w:r>
              <w:rPr>
                <w:rFonts w:ascii="Arial" w:cs="Arial" w:eastAsia="Arial" w:hAnsi="Arial"/>
                <w:sz w:val="18"/>
                <w:szCs w:val="18"/>
                <w:color w:val="auto"/>
                <w:w w:val="93"/>
              </w:rPr>
              <w:t>$238 and $250 for the six months ended June 30, 2022 and 2021, 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268,505</w:t>
            </w:r>
          </w:p>
        </w:tc>
        <w:tc>
          <w:tcPr>
            <w:tcW w:w="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195,357</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546,674</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394,733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revenue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1,172,268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846,700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412,472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1,721,079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612,797</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Net medical claims incurred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858,786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458,503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1,720,508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672,923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benefits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128,191</w:t>
            </w: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104,737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84,264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 deficiency reserve (benefit) expense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949,246</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594,334</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1,910,925</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913,747</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(300,950)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warrants payable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49,006</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notes and securities discounts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13,686</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Loss (gain) on investment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(366,028)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data:</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tcPr>
          <w:p>
            <w:pPr>
              <w:ind w:left="20"/>
              <w:spacing w:after="0" w:line="176" w:lineRule="exact"/>
              <w:rPr>
                <w:sz w:val="20"/>
                <w:szCs w:val="20"/>
                <w:color w:val="auto"/>
              </w:rPr>
            </w:pPr>
            <w:r>
              <w:rPr>
                <w:rFonts w:ascii="Arial" w:cs="Arial" w:eastAsia="Arial" w:hAnsi="Arial"/>
                <w:sz w:val="18"/>
                <w:szCs w:val="18"/>
                <w:color w:val="auto"/>
                <w:w w:val="95"/>
              </w:rPr>
              <w:t>Net loss per share attributable to Class A and Class B common stockholders –</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(0.78)</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23"/>
                <w:szCs w:val="23"/>
                <w:color w:val="auto"/>
                <w:vertAlign w:val="superscript"/>
              </w:rPr>
              <w:t>(1)</w:t>
            </w:r>
          </w:p>
        </w:tc>
        <w:tc>
          <w:tcPr>
            <w:tcW w:w="2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w w:val="96"/>
              </w:rPr>
              <w:t>Basic and diluted weighted average number of Class A and Class B common</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80" w:type="dxa"/>
            <w:vAlign w:val="bottom"/>
          </w:tcPr>
          <w:p>
            <w:pPr>
              <w:ind w:left="20"/>
              <w:spacing w:after="0" w:line="263" w:lineRule="exact"/>
              <w:rPr>
                <w:sz w:val="20"/>
                <w:szCs w:val="20"/>
                <w:color w:val="auto"/>
              </w:rPr>
            </w:pPr>
            <w:r>
              <w:rPr>
                <w:rFonts w:ascii="Arial" w:cs="Arial" w:eastAsia="Arial" w:hAnsi="Arial"/>
                <w:sz w:val="18"/>
                <w:szCs w:val="18"/>
                <w:color w:val="auto"/>
              </w:rPr>
              <w:t xml:space="preserve">shares and common share equivalents outstanding </w:t>
            </w:r>
            <w:r>
              <w:rPr>
                <w:rFonts w:ascii="Arial" w:cs="Arial" w:eastAsia="Arial" w:hAnsi="Arial"/>
                <w:sz w:val="23"/>
                <w:szCs w:val="23"/>
                <w:color w:val="auto"/>
                <w:vertAlign w:val="superscript"/>
              </w:rPr>
              <w:t>(1)</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476,061,809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408,156,682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474,553,609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395,422,849</w:t>
            </w:r>
          </w:p>
        </w:tc>
        <w:tc>
          <w:tcPr>
            <w:tcW w:w="0" w:type="dxa"/>
            <w:vAlign w:val="bottom"/>
          </w:tcPr>
          <w:p>
            <w:pPr>
              <w:spacing w:after="0"/>
              <w:rPr>
                <w:sz w:val="1"/>
                <w:szCs w:val="1"/>
                <w:color w:val="auto"/>
              </w:rPr>
            </w:pPr>
          </w:p>
        </w:tc>
      </w:tr>
      <w:tr>
        <w:trPr>
          <w:trHeight w:val="162"/>
        </w:trPr>
        <w:tc>
          <w:tcPr>
            <w:tcW w:w="59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Net unrealized (loss) gain on available-for-sale investments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(105,276)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(317,541)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(185,909)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(366,451)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-4834255</wp:posOffset>
            </wp:positionV>
            <wp:extent cx="51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jc w:val="both"/>
        <w:ind w:left="180" w:hanging="172"/>
        <w:spacing w:after="0" w:line="224" w:lineRule="auto"/>
        <w:tabs>
          <w:tab w:leader="none" w:pos="164"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Because the Company had a net loss during the three and six months ended June 30, 2022 and 2021, the Company's potentially dilutive securities, which include stock options, restricted stock, preferred stock, and warrants to purchase shares of common stock and preferred stock, have been excluded from the computation of diluted net loss per share, as the effect would be anti-dilutive.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CLOVER HEALTH INVESTMENTS,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 xml:space="preserve">CONDENSED </w:t>
      </w:r>
      <w:r>
        <w:rPr>
          <w:rFonts w:ascii="Arial" w:cs="Arial" w:eastAsia="Arial" w:hAnsi="Arial"/>
          <w:sz w:val="17"/>
          <w:szCs w:val="17"/>
          <w:color w:val="000000"/>
        </w:rPr>
        <w:t>CONSOLIDATED STATEMENTS OF CHANGES IN CONVERTIBLE PREFERRED STOCK AND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share amounts)</w:t>
      </w:r>
    </w:p>
    <w:p>
      <w:pPr>
        <w:spacing w:after="0" w:line="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660" w:type="dxa"/>
            <w:vAlign w:val="bottom"/>
            <w:tcBorders>
              <w:right w:val="single" w:sz="8" w:color="auto"/>
            </w:tcBorders>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4"/>
              </w:rPr>
              <w:t>Convertible Preferred</w:t>
            </w:r>
          </w:p>
        </w:tc>
        <w:tc>
          <w:tcPr>
            <w:tcW w:w="60" w:type="dxa"/>
            <w:vAlign w:val="bottom"/>
          </w:tcPr>
          <w:p>
            <w:pPr>
              <w:spacing w:after="0"/>
              <w:rPr>
                <w:sz w:val="11"/>
                <w:szCs w:val="11"/>
                <w:color w:val="auto"/>
              </w:rPr>
            </w:pPr>
          </w:p>
        </w:tc>
        <w:tc>
          <w:tcPr>
            <w:tcW w:w="150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Class A and Class B</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660" w:type="dxa"/>
            <w:vAlign w:val="bottom"/>
            <w:tcBorders>
              <w:right w:val="single" w:sz="8" w:color="auto"/>
            </w:tcBorders>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gridSpan w:val="5"/>
            <w:vMerge w:val="continue"/>
          </w:tcPr>
          <w:p>
            <w:pPr>
              <w:spacing w:after="0"/>
              <w:rPr>
                <w:sz w:val="11"/>
                <w:szCs w:val="11"/>
                <w:color w:val="auto"/>
              </w:rPr>
            </w:pPr>
          </w:p>
        </w:tc>
        <w:tc>
          <w:tcPr>
            <w:tcW w:w="128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continue"/>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10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940" w:type="dxa"/>
            <w:vAlign w:val="bottom"/>
            <w:tcBorders>
              <w:bottom w:val="single" w:sz="8" w:color="auto"/>
            </w:tcBorders>
            <w:gridSpan w:val="3"/>
          </w:tcPr>
          <w:p>
            <w:pPr>
              <w:jc w:val="center"/>
              <w:ind w:left="548"/>
              <w:spacing w:after="0"/>
              <w:rPr>
                <w:sz w:val="20"/>
                <w:szCs w:val="20"/>
                <w:color w:val="auto"/>
              </w:rPr>
            </w:pPr>
            <w:r>
              <w:rPr>
                <w:rFonts w:ascii="Arial" w:cs="Arial" w:eastAsia="Arial" w:hAnsi="Arial"/>
                <w:sz w:val="14"/>
                <w:szCs w:val="14"/>
                <w:b w:val="1"/>
                <w:bCs w:val="1"/>
                <w:color w:val="auto"/>
                <w:w w:val="87"/>
              </w:rPr>
              <w:t>stock</w:t>
            </w: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bottom w:val="single" w:sz="8" w:color="auto"/>
            </w:tcBorders>
            <w:gridSpan w:val="3"/>
          </w:tcPr>
          <w:p>
            <w:pPr>
              <w:jc w:val="center"/>
              <w:ind w:left="148"/>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Shares</w:t>
            </w:r>
          </w:p>
        </w:tc>
        <w:tc>
          <w:tcPr>
            <w:tcW w:w="72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December 31,</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139,444,346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$447,747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89,206,266</w:t>
            </w:r>
          </w:p>
        </w:tc>
        <w:tc>
          <w:tcPr>
            <w:tcW w:w="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411,867</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(1,028,982)</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(613,193)</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Stock issuance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for exercise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stock options,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net of early</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exercise</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761,480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1,282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rPr>
              <w:t>liability</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Stock-based</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42,713</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Unrealized</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holdings loss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on investment</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securities,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available-for-</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rPr>
              <w:t>sale</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Preferred stock</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(139,444,346)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(447,747)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139,444,346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14</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447,733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447,747</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conversion</w:t>
            </w: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Issuance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common stock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related to</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exercises of</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7,205,490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97,781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97,782</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w w:val="93"/>
              </w:rPr>
              <w:t>legacy warrants</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w w:val="98"/>
              </w:rPr>
              <w:t>Convertible debt</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w w:val="96"/>
              </w:rPr>
              <w:t>conversion and</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75,084,703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16,052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16,059</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other issuances</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Issuance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common stock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in connection</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with Business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Combination</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and PIPE</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96,398,800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89"/>
              </w:rPr>
              <w:t>10</w:t>
            </w:r>
          </w:p>
        </w:tc>
        <w:tc>
          <w:tcPr>
            <w:tcW w:w="8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666,232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666,242</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rPr>
              <w:t>offering</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Capital</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w w:val="99"/>
              </w:rPr>
              <w:t>contribution for</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w w:val="97"/>
              </w:rPr>
              <w:t>extinguishment</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126,795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126,795</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debt</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Acquisition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Public and</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Private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Placement</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4"/>
                <w:szCs w:val="14"/>
                <w:color w:val="auto"/>
                <w:w w:val="93"/>
              </w:rPr>
              <w:t>(147,582)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(147,582)</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rPr>
              <w:t>Warrants</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(48,417)</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(48,417)</w:t>
            </w:r>
          </w:p>
        </w:tc>
        <w:tc>
          <w:tcPr>
            <w:tcW w:w="0" w:type="dxa"/>
            <w:vAlign w:val="bottom"/>
          </w:tcPr>
          <w:p>
            <w:pPr>
              <w:spacing w:after="0"/>
              <w:rPr>
                <w:sz w:val="1"/>
                <w:szCs w:val="1"/>
                <w:color w:val="auto"/>
              </w:rPr>
            </w:pPr>
          </w:p>
        </w:tc>
      </w:tr>
      <w:tr>
        <w:trPr>
          <w:trHeight w:val="115"/>
        </w:trPr>
        <w:tc>
          <w:tcPr>
            <w:tcW w:w="1140" w:type="dxa"/>
            <w:vAlign w:val="bottom"/>
          </w:tcPr>
          <w:p>
            <w:pPr>
              <w:ind w:left="20"/>
              <w:spacing w:after="0" w:line="115" w:lineRule="exact"/>
              <w:rPr>
                <w:sz w:val="20"/>
                <w:szCs w:val="20"/>
                <w:color w:val="auto"/>
              </w:rPr>
            </w:pPr>
            <w:r>
              <w:rPr>
                <w:rFonts w:ascii="Arial" w:cs="Arial" w:eastAsia="Arial" w:hAnsi="Arial"/>
                <w:sz w:val="13"/>
                <w:szCs w:val="13"/>
                <w:color w:val="auto"/>
              </w:rPr>
              <w:t>Balance, March</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408,101,085</w:t>
            </w:r>
          </w:p>
        </w:tc>
        <w:tc>
          <w:tcPr>
            <w:tcW w:w="80" w:type="dxa"/>
            <w:vAlign w:val="bottom"/>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89"/>
              </w:rPr>
              <w:t>41</w:t>
            </w:r>
          </w:p>
        </w:tc>
        <w:tc>
          <w:tcPr>
            <w:tcW w:w="8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89"/>
              </w:rPr>
              <w:t>1,662,873</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4"/>
              </w:rPr>
              <w:t>(1,077,399)</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(483)</w:t>
            </w:r>
          </w:p>
        </w:tc>
        <w:tc>
          <w:tcPr>
            <w:tcW w:w="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588,935</w:t>
            </w: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4"/>
                <w:szCs w:val="14"/>
                <w:color w:val="auto"/>
              </w:rPr>
              <w:t>31, 2021</w:t>
            </w:r>
          </w:p>
        </w:tc>
        <w:tc>
          <w:tcPr>
            <w:tcW w:w="940" w:type="dxa"/>
            <w:vAlign w:val="bottom"/>
            <w:gridSpan w:val="3"/>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8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40" w:type="dxa"/>
            <w:vAlign w:val="bottom"/>
            <w:shd w:val="clear" w:color="auto" w:fill="CCEEFF"/>
          </w:tcPr>
          <w:p>
            <w:pPr>
              <w:ind w:left="120"/>
              <w:spacing w:after="0" w:line="102" w:lineRule="exact"/>
              <w:rPr>
                <w:sz w:val="20"/>
                <w:szCs w:val="20"/>
                <w:color w:val="auto"/>
              </w:rPr>
            </w:pPr>
            <w:r>
              <w:rPr>
                <w:rFonts w:ascii="Arial" w:cs="Arial" w:eastAsia="Arial" w:hAnsi="Arial"/>
                <w:sz w:val="11"/>
                <w:szCs w:val="11"/>
                <w:color w:val="auto"/>
              </w:rPr>
              <w:t>Stock issuance</w:t>
            </w: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for exercise of</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stock options,</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net of early</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exercise</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204,366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liability</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Stock-based</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43,026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43,026</w:t>
            </w:r>
          </w:p>
        </w:tc>
        <w:tc>
          <w:tcPr>
            <w:tcW w:w="0" w:type="dxa"/>
            <w:vAlign w:val="bottom"/>
          </w:tcPr>
          <w:p>
            <w:pPr>
              <w:spacing w:after="0"/>
              <w:rPr>
                <w:sz w:val="1"/>
                <w:szCs w:val="1"/>
                <w:color w:val="auto"/>
              </w:rPr>
            </w:pPr>
          </w:p>
        </w:tc>
      </w:tr>
      <w:tr>
        <w:trPr>
          <w:trHeight w:val="186"/>
        </w:trPr>
        <w:tc>
          <w:tcPr>
            <w:tcW w:w="114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Unrealized</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holdings gain</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on investment</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securities,</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available-for-</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sale</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(317,611)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(317,611)</w:t>
            </w:r>
          </w:p>
        </w:tc>
        <w:tc>
          <w:tcPr>
            <w:tcW w:w="0" w:type="dxa"/>
            <w:vAlign w:val="bottom"/>
          </w:tcPr>
          <w:p>
            <w:pPr>
              <w:spacing w:after="0"/>
              <w:rPr>
                <w:sz w:val="1"/>
                <w:szCs w:val="1"/>
                <w:color w:val="auto"/>
              </w:rPr>
            </w:pPr>
          </w:p>
        </w:tc>
      </w:tr>
      <w:tr>
        <w:trPr>
          <w:trHeight w:val="118"/>
        </w:trPr>
        <w:tc>
          <w:tcPr>
            <w:tcW w:w="11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June 30,</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408,305,451</w:t>
            </w:r>
          </w:p>
        </w:tc>
        <w:tc>
          <w:tcPr>
            <w:tcW w:w="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41</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1,706,334</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(1,395,010)</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314,855</w:t>
            </w:r>
          </w:p>
        </w:tc>
        <w:tc>
          <w:tcPr>
            <w:tcW w:w="0" w:type="dxa"/>
            <w:vAlign w:val="bottom"/>
          </w:tcPr>
          <w:p>
            <w:pPr>
              <w:spacing w:after="0"/>
              <w:rPr>
                <w:sz w:val="1"/>
                <w:szCs w:val="1"/>
                <w:color w:val="auto"/>
              </w:rPr>
            </w:pPr>
          </w:p>
        </w:tc>
      </w:tr>
      <w:tr>
        <w:trPr>
          <w:trHeight w:val="182"/>
        </w:trPr>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940" w:type="dxa"/>
            <w:vAlign w:val="bottom"/>
            <w:gridSpan w:val="3"/>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48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December 31,</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470,852,394</w:t>
            </w:r>
          </w:p>
        </w:tc>
        <w:tc>
          <w:tcPr>
            <w:tcW w:w="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46</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14,730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2,154,187</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(1,616,738)</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(1,934)</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539,317</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Stock issuance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for exercise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stock options,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net of early</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exercise</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151,620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rPr>
              <w:t>liability</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Stock-based</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40,640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40,640</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w w:val="95"/>
              </w:rPr>
              <w:t>Vested restricted</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2,074,756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rPr>
              <w:t>stock units</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Vested</w:t>
            </w: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performance</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w w:val="97"/>
              </w:rPr>
              <w:t>restricted stock</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8,951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units</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Unrealized</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holdings loss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on investment</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securities,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available-for-</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(5,324)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(5,324)</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rPr>
              <w:t>sale</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Treasury stock</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1,879,063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(5,939)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(5,939)</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acquired</w:t>
            </w:r>
          </w:p>
        </w:tc>
        <w:tc>
          <w:tcPr>
            <w:tcW w:w="940" w:type="dxa"/>
            <w:vAlign w:val="bottom"/>
            <w:gridSpan w:val="3"/>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Issuance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common stock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w w:val="98"/>
              </w:rPr>
              <w:t>under Employee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120"/>
              <w:spacing w:after="0" w:line="135" w:lineRule="exact"/>
              <w:rPr>
                <w:sz w:val="20"/>
                <w:szCs w:val="20"/>
                <w:color w:val="auto"/>
              </w:rPr>
            </w:pPr>
            <w:r>
              <w:rPr>
                <w:rFonts w:ascii="Arial" w:cs="Arial" w:eastAsia="Arial" w:hAnsi="Arial"/>
                <w:sz w:val="14"/>
                <w:szCs w:val="14"/>
                <w:color w:val="auto"/>
              </w:rPr>
              <w:t>Stock Purchase</w:t>
            </w: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214,797</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140" w:type="dxa"/>
            <w:vAlign w:val="bottom"/>
          </w:tcPr>
          <w:p>
            <w:pPr>
              <w:ind w:left="120"/>
              <w:spacing w:after="0"/>
              <w:rPr>
                <w:sz w:val="20"/>
                <w:szCs w:val="20"/>
                <w:color w:val="auto"/>
              </w:rPr>
            </w:pPr>
            <w:r>
              <w:rPr>
                <w:rFonts w:ascii="Arial" w:cs="Arial" w:eastAsia="Arial" w:hAnsi="Arial"/>
                <w:sz w:val="14"/>
                <w:szCs w:val="14"/>
                <w:color w:val="auto"/>
              </w:rPr>
              <w:t>Plan</w:t>
            </w:r>
          </w:p>
        </w:tc>
        <w:tc>
          <w:tcPr>
            <w:tcW w:w="9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140" w:type="dxa"/>
            <w:vAlign w:val="bottom"/>
            <w:shd w:val="clear" w:color="auto" w:fill="CCEEFF"/>
          </w:tcPr>
          <w:p>
            <w:pPr>
              <w:ind w:left="120"/>
              <w:spacing w:after="0" w:line="60" w:lineRule="exact"/>
              <w:rPr>
                <w:sz w:val="20"/>
                <w:szCs w:val="20"/>
                <w:color w:val="auto"/>
              </w:rPr>
            </w:pPr>
            <w:r>
              <w:rPr>
                <w:rFonts w:ascii="Arial" w:cs="Arial" w:eastAsia="Arial" w:hAnsi="Arial"/>
                <w:sz w:val="6"/>
                <w:szCs w:val="6"/>
                <w:color w:val="auto"/>
              </w:rPr>
              <w:t>Derecognition of</w:t>
            </w: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tcBorders>
              <w:right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0720"/>
          </w:cols>
          <w:pgMar w:left="580" w:top="989" w:right="5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noncontrolling</w:t>
            </w:r>
          </w:p>
        </w:tc>
        <w:tc>
          <w:tcPr>
            <w:tcW w:w="1180" w:type="dxa"/>
            <w:vAlign w:val="bottom"/>
            <w:gridSpan w:val="3"/>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auto"/>
            </w:tcBorders>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w w:val="94"/>
              </w:rPr>
              <w:t>(3,903)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w:t>
            </w:r>
          </w:p>
        </w:tc>
        <w:tc>
          <w:tcPr>
            <w:tcW w:w="1180" w:type="dxa"/>
            <w:vAlign w:val="bottom"/>
            <w:gridSpan w:val="3"/>
            <w:vMerge w:val="continue"/>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(75,309)</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(75,309)</w:t>
            </w:r>
          </w:p>
        </w:tc>
        <w:tc>
          <w:tcPr>
            <w:tcW w:w="0" w:type="dxa"/>
            <w:vAlign w:val="bottom"/>
          </w:tcPr>
          <w:p>
            <w:pPr>
              <w:spacing w:after="0"/>
              <w:rPr>
                <w:sz w:val="1"/>
                <w:szCs w:val="1"/>
                <w:color w:val="auto"/>
              </w:rPr>
            </w:pPr>
          </w:p>
        </w:tc>
      </w:tr>
      <w:tr>
        <w:trPr>
          <w:trHeight w:val="118"/>
        </w:trPr>
        <w:tc>
          <w:tcPr>
            <w:tcW w:w="11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March</w:t>
            </w:r>
          </w:p>
        </w:tc>
        <w:tc>
          <w:tcPr>
            <w:tcW w:w="1180" w:type="dxa"/>
            <w:vAlign w:val="bottom"/>
            <w:gridSpan w:val="3"/>
            <w:vMerge w:val="restart"/>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480" w:type="dxa"/>
            <w:vAlign w:val="bottom"/>
            <w:tcBorders>
              <w:right w:val="single" w:sz="8" w:color="auto"/>
            </w:tcBorders>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473,302,518</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1,893,793</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2"/>
              </w:rPr>
              <w:t>$ (6,086)</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$2,195,158</w:t>
            </w: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 (1,692,047)</w:t>
            </w:r>
          </w:p>
        </w:tc>
        <w:tc>
          <w:tcPr>
            <w:tcW w:w="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w w:val="99"/>
              </w:rPr>
              <w:t>(7,258)</w:t>
            </w:r>
          </w:p>
        </w:tc>
        <w:tc>
          <w:tcPr>
            <w:tcW w:w="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gridSpan w:val="3"/>
            <w:vMerge w:val="restart"/>
            <w:shd w:val="clear" w:color="auto" w:fill="CCEEFF"/>
          </w:tcPr>
          <w:p>
            <w:pPr>
              <w:ind w:left="460"/>
              <w:spacing w:after="0"/>
              <w:rPr>
                <w:sz w:val="20"/>
                <w:szCs w:val="20"/>
                <w:color w:val="auto"/>
              </w:rPr>
            </w:pPr>
            <w:r>
              <w:rPr>
                <w:rFonts w:ascii="Arial" w:cs="Arial" w:eastAsia="Arial" w:hAnsi="Arial"/>
                <w:sz w:val="14"/>
                <w:szCs w:val="14"/>
                <w:color w:val="auto"/>
              </w:rPr>
              <w:t>—  $</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489,813</w:t>
            </w:r>
          </w:p>
        </w:tc>
        <w:tc>
          <w:tcPr>
            <w:tcW w:w="0" w:type="dxa"/>
            <w:vAlign w:val="bottom"/>
          </w:tcPr>
          <w:p>
            <w:pPr>
              <w:spacing w:after="0"/>
              <w:rPr>
                <w:sz w:val="1"/>
                <w:szCs w:val="1"/>
                <w:color w:val="auto"/>
              </w:rPr>
            </w:pPr>
          </w:p>
        </w:tc>
      </w:tr>
      <w:tr>
        <w:trPr>
          <w:trHeight w:val="182"/>
        </w:trPr>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31, 2022</w:t>
            </w:r>
          </w:p>
        </w:tc>
        <w:tc>
          <w:tcPr>
            <w:tcW w:w="1180" w:type="dxa"/>
            <w:vAlign w:val="bottom"/>
            <w:gridSpan w:val="3"/>
            <w:vMerge w:val="continue"/>
            <w:shd w:val="clear" w:color="auto" w:fill="CCEEFF"/>
          </w:tcPr>
          <w:p>
            <w:pPr>
              <w:spacing w:after="0"/>
              <w:rPr>
                <w:sz w:val="15"/>
                <w:szCs w:val="15"/>
                <w:color w:val="auto"/>
              </w:rPr>
            </w:pPr>
          </w:p>
        </w:tc>
        <w:tc>
          <w:tcPr>
            <w:tcW w:w="48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CCEEFF"/>
            </w:tcBorders>
            <w:vMerge w:val="restart"/>
          </w:tcPr>
          <w:p>
            <w:pPr>
              <w:ind w:left="120"/>
              <w:spacing w:after="0" w:line="122" w:lineRule="exact"/>
              <w:rPr>
                <w:sz w:val="20"/>
                <w:szCs w:val="20"/>
                <w:color w:val="auto"/>
              </w:rPr>
            </w:pPr>
            <w:r>
              <w:rPr>
                <w:rFonts w:ascii="Arial" w:cs="Arial" w:eastAsia="Arial" w:hAnsi="Arial"/>
                <w:sz w:val="14"/>
                <w:szCs w:val="14"/>
                <w:color w:val="auto"/>
              </w:rPr>
              <w:t>Stock issuance</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1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for exercise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stock options,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net of early</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0"/>
              <w:spacing w:after="0" w:line="135" w:lineRule="exact"/>
              <w:rPr>
                <w:sz w:val="20"/>
                <w:szCs w:val="20"/>
                <w:color w:val="auto"/>
              </w:rPr>
            </w:pPr>
            <w:r>
              <w:rPr>
                <w:rFonts w:ascii="Arial" w:cs="Arial" w:eastAsia="Arial" w:hAnsi="Arial"/>
                <w:sz w:val="14"/>
                <w:szCs w:val="14"/>
                <w:color w:val="auto"/>
              </w:rPr>
              <w:t>exercise</w:t>
            </w:r>
          </w:p>
        </w:tc>
        <w:tc>
          <w:tcPr>
            <w:tcW w:w="1180" w:type="dxa"/>
            <w:vAlign w:val="bottom"/>
            <w:gridSpan w:val="3"/>
            <w:vMerge w:val="restart"/>
          </w:tcPr>
          <w:p>
            <w:pPr>
              <w:ind w:left="640"/>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4,016,336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563</w:t>
            </w:r>
          </w:p>
        </w:tc>
        <w:tc>
          <w:tcPr>
            <w:tcW w:w="8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74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960" w:type="dxa"/>
            <w:vAlign w:val="bottom"/>
            <w:gridSpan w:val="3"/>
            <w:vMerge w:val="restart"/>
          </w:tcPr>
          <w:p>
            <w:pPr>
              <w:ind w:left="4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Arial" w:cs="Arial" w:eastAsia="Arial" w:hAnsi="Arial"/>
                <w:sz w:val="14"/>
                <w:szCs w:val="14"/>
                <w:color w:val="auto"/>
              </w:rPr>
              <w:t>liability</w:t>
            </w:r>
          </w:p>
        </w:tc>
        <w:tc>
          <w:tcPr>
            <w:tcW w:w="1180" w:type="dxa"/>
            <w:vAlign w:val="bottom"/>
            <w:gridSpan w:val="3"/>
            <w:vMerge w:val="continue"/>
          </w:tcPr>
          <w:p>
            <w:pPr>
              <w:spacing w:after="0"/>
              <w:rPr>
                <w:sz w:val="16"/>
                <w:szCs w:val="16"/>
                <w:color w:val="auto"/>
              </w:rPr>
            </w:pPr>
          </w:p>
        </w:tc>
        <w:tc>
          <w:tcPr>
            <w:tcW w:w="4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Stock-based</w:t>
            </w:r>
          </w:p>
        </w:tc>
        <w:tc>
          <w:tcPr>
            <w:tcW w:w="1180" w:type="dxa"/>
            <w:vAlign w:val="bottom"/>
            <w:gridSpan w:val="3"/>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auto"/>
            </w:tcBorders>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41,927</w:t>
            </w: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41,927</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1180" w:type="dxa"/>
            <w:vAlign w:val="bottom"/>
            <w:gridSpan w:val="3"/>
            <w:vMerge w:val="continue"/>
            <w:shd w:val="clear" w:color="auto" w:fill="CCEEFF"/>
          </w:tcPr>
          <w:p>
            <w:pPr>
              <w:spacing w:after="0"/>
              <w:rPr>
                <w:sz w:val="16"/>
                <w:szCs w:val="16"/>
                <w:color w:val="auto"/>
              </w:rPr>
            </w:pPr>
          </w:p>
        </w:tc>
        <w:tc>
          <w:tcPr>
            <w:tcW w:w="4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gridSpan w:val="3"/>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720" w:top="140" w:right="7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1880" w:type="dxa"/>
            <w:vAlign w:val="bottom"/>
          </w:tcPr>
          <w:p>
            <w:pPr>
              <w:ind w:left="140"/>
              <w:spacing w:after="0"/>
              <w:rPr>
                <w:sz w:val="20"/>
                <w:szCs w:val="20"/>
                <w:color w:val="auto"/>
              </w:rPr>
            </w:pPr>
            <w:r>
              <w:rPr>
                <w:rFonts w:ascii="Arial" w:cs="Arial" w:eastAsia="Arial" w:hAnsi="Arial"/>
                <w:sz w:val="14"/>
                <w:szCs w:val="14"/>
                <w:color w:val="auto"/>
                <w:w w:val="98"/>
              </w:rPr>
              <w:t>Vested restricted stock units</w:t>
            </w: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84,928</w:t>
            </w:r>
          </w:p>
        </w:tc>
        <w:tc>
          <w:tcPr>
            <w:tcW w:w="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acquired</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37,744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5"/>
        </w:trPr>
        <w:tc>
          <w:tcPr>
            <w:tcW w:w="1880" w:type="dxa"/>
            <w:vAlign w:val="bottom"/>
          </w:tcPr>
          <w:p>
            <w:pPr>
              <w:ind w:left="140"/>
              <w:spacing w:after="0" w:line="135" w:lineRule="exact"/>
              <w:rPr>
                <w:sz w:val="20"/>
                <w:szCs w:val="20"/>
                <w:color w:val="auto"/>
              </w:rPr>
            </w:pPr>
            <w:r>
              <w:rPr>
                <w:rFonts w:ascii="Arial" w:cs="Arial" w:eastAsia="Arial" w:hAnsi="Arial"/>
                <w:sz w:val="14"/>
                <w:szCs w:val="14"/>
                <w:color w:val="auto"/>
                <w:w w:val="99"/>
              </w:rPr>
              <w:t>Unrealized holdings gain on</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220"/>
              <w:spacing w:after="0" w:line="135" w:lineRule="exact"/>
              <w:rPr>
                <w:sz w:val="20"/>
                <w:szCs w:val="20"/>
                <w:color w:val="auto"/>
              </w:rPr>
            </w:pPr>
            <w:r>
              <w:rPr>
                <w:rFonts w:ascii="Arial" w:cs="Arial" w:eastAsia="Arial" w:hAnsi="Arial"/>
                <w:sz w:val="14"/>
                <w:szCs w:val="14"/>
                <w:color w:val="auto"/>
              </w:rPr>
              <w:t>investment securities,</w:t>
            </w: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(1,095)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2"/>
            <w:vMerge w:val="restart"/>
          </w:tcPr>
          <w:p>
            <w:pPr>
              <w:ind w:left="20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86"/>
        </w:trPr>
        <w:tc>
          <w:tcPr>
            <w:tcW w:w="1880" w:type="dxa"/>
            <w:vAlign w:val="bottom"/>
          </w:tcPr>
          <w:p>
            <w:pPr>
              <w:ind w:left="220"/>
              <w:spacing w:after="0"/>
              <w:rPr>
                <w:sz w:val="20"/>
                <w:szCs w:val="20"/>
                <w:color w:val="auto"/>
              </w:rPr>
            </w:pPr>
            <w:r>
              <w:rPr>
                <w:rFonts w:ascii="Arial" w:cs="Arial" w:eastAsia="Arial" w:hAnsi="Arial"/>
                <w:sz w:val="14"/>
                <w:szCs w:val="14"/>
                <w:color w:val="auto"/>
              </w:rPr>
              <w:t>available-for-sale</w:t>
            </w:r>
          </w:p>
        </w:tc>
        <w:tc>
          <w:tcPr>
            <w:tcW w:w="660" w:type="dxa"/>
            <w:vAlign w:val="bottom"/>
            <w:gridSpan w:val="2"/>
            <w:vMerge w:val="continue"/>
          </w:tcPr>
          <w:p>
            <w:pPr>
              <w:spacing w:after="0"/>
              <w:rPr>
                <w:sz w:val="16"/>
                <w:szCs w:val="16"/>
                <w:color w:val="auto"/>
              </w:rPr>
            </w:pPr>
          </w:p>
        </w:tc>
        <w:tc>
          <w:tcPr>
            <w:tcW w:w="5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(104,181)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(104,181)</w:t>
            </w:r>
          </w:p>
        </w:tc>
        <w:tc>
          <w:tcPr>
            <w:tcW w:w="0" w:type="dxa"/>
            <w:vAlign w:val="bottom"/>
          </w:tcPr>
          <w:p>
            <w:pPr>
              <w:spacing w:after="0"/>
              <w:rPr>
                <w:sz w:val="1"/>
                <w:szCs w:val="1"/>
                <w:color w:val="auto"/>
              </w:rPr>
            </w:pPr>
          </w:p>
        </w:tc>
      </w:tr>
      <w:tr>
        <w:trPr>
          <w:trHeight w:val="219"/>
        </w:trPr>
        <w:tc>
          <w:tcPr>
            <w:tcW w:w="1880" w:type="dxa"/>
            <w:vAlign w:val="bottom"/>
          </w:tcPr>
          <w:p>
            <w:pPr>
              <w:ind w:left="20"/>
              <w:spacing w:after="0"/>
              <w:rPr>
                <w:sz w:val="20"/>
                <w:szCs w:val="20"/>
                <w:color w:val="auto"/>
              </w:rPr>
            </w:pPr>
            <w:r>
              <w:rPr>
                <w:rFonts w:ascii="Arial" w:cs="Arial" w:eastAsia="Arial" w:hAnsi="Arial"/>
                <w:sz w:val="14"/>
                <w:szCs w:val="14"/>
                <w:color w:val="auto"/>
              </w:rPr>
              <w:t>Balance, June 30, 2022</w:t>
            </w:r>
          </w:p>
        </w:tc>
        <w:tc>
          <w:tcPr>
            <w:tcW w:w="5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477,403,782</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46</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1,931,537</w:t>
            </w: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 (6,191)</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$2,237,648</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$(1,796,228)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(8,353)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  426,922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980" w:top="814" w:right="99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color w:val="auto"/>
        </w:rPr>
        <w:t>CLOVER HEALTH INVESTMENTS,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231F20"/>
        </w:rPr>
        <w:t xml:space="preserve">CONDENSED </w:t>
      </w:r>
      <w:r>
        <w:rPr>
          <w:rFonts w:ascii="Arial" w:cs="Arial" w:eastAsia="Arial" w:hAnsi="Arial"/>
          <w:sz w:val="16"/>
          <w:szCs w:val="16"/>
          <w:color w:val="000000"/>
        </w:rPr>
        <w:t>CONSOLIDATED STATEMENTS OF CASH FLOWS</w:t>
      </w:r>
      <w:r>
        <w:rPr>
          <w:rFonts w:ascii="Arial" w:cs="Arial" w:eastAsia="Arial" w:hAnsi="Arial"/>
          <w:sz w:val="16"/>
          <w:szCs w:val="16"/>
          <w:color w:val="231F20"/>
        </w:rPr>
        <w:t xml:space="preserve"> </w:t>
      </w:r>
      <w:r>
        <w:rPr>
          <w:rFonts w:ascii="Arial" w:cs="Arial" w:eastAsia="Arial" w:hAnsi="Arial"/>
          <w:sz w:val="14"/>
          <w:szCs w:val="14"/>
          <w:color w:val="000000"/>
        </w:rPr>
        <w:t>(Unaudited)</w:t>
      </w:r>
    </w:p>
    <w:p>
      <w:pPr>
        <w:jc w:val="center"/>
        <w:spacing w:after="0"/>
        <w:rPr>
          <w:sz w:val="20"/>
          <w:szCs w:val="20"/>
          <w:color w:val="auto"/>
        </w:rPr>
      </w:pPr>
      <w:r>
        <w:rPr>
          <w:rFonts w:ascii="Arial" w:cs="Arial" w:eastAsia="Arial" w:hAnsi="Arial"/>
          <w:sz w:val="14"/>
          <w:szCs w:val="14"/>
          <w:color w:val="auto"/>
        </w:rPr>
        <w:t>(Dollars in thousands)</w:t>
      </w:r>
    </w:p>
    <w:p>
      <w:pPr>
        <w:spacing w:after="0" w:line="30" w:lineRule="exact"/>
        <w:rPr>
          <w:sz w:val="20"/>
          <w:szCs w:val="20"/>
          <w:color w:val="auto"/>
        </w:rPr>
      </w:pPr>
    </w:p>
    <w:p>
      <w:pPr>
        <w:jc w:val="center"/>
        <w:ind w:left="8300"/>
        <w:spacing w:after="0"/>
        <w:rPr>
          <w:sz w:val="20"/>
          <w:szCs w:val="20"/>
          <w:color w:val="auto"/>
        </w:rPr>
      </w:pPr>
      <w:r>
        <w:rPr>
          <w:rFonts w:ascii="Arial" w:cs="Arial" w:eastAsia="Arial" w:hAnsi="Arial"/>
          <w:sz w:val="16"/>
          <w:szCs w:val="16"/>
          <w:b w:val="1"/>
          <w:bCs w:val="1"/>
          <w:color w:val="auto"/>
        </w:rPr>
        <w:t>Six Months Ended</w:t>
      </w:r>
    </w:p>
    <w:p>
      <w:pPr>
        <w:jc w:val="center"/>
        <w:ind w:left="8300"/>
        <w:spacing w:after="0"/>
        <w:rPr>
          <w:sz w:val="20"/>
          <w:szCs w:val="20"/>
          <w:color w:val="auto"/>
        </w:rPr>
      </w:pPr>
      <w:r>
        <w:rPr>
          <w:rFonts w:ascii="Arial" w:cs="Arial" w:eastAsia="Arial" w:hAnsi="Arial"/>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83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(179,490)</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(366,028)</w:t>
            </w:r>
          </w:p>
        </w:tc>
      </w:tr>
      <w:tr>
        <w:trPr>
          <w:trHeight w:val="219"/>
        </w:trPr>
        <w:tc>
          <w:tcPr>
            <w:tcW w:w="8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notes and securities discounts and debt issuance costs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13,686</w:t>
            </w: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82,567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85,739</w:t>
            </w: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fair value of warrants payable and amortization of warrants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49,006</w:t>
            </w: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Accretion, net of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realized losses on investment securities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Gain on investment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Premium deficiency reserve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27,900</w:t>
            </w: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Accrued retrospective premiums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w:t>
            </w:r>
          </w:p>
        </w:tc>
      </w:tr>
      <w:tr>
        <w:trPr>
          <w:trHeight w:val="213"/>
        </w:trPr>
        <w:tc>
          <w:tcPr>
            <w:tcW w:w="8320" w:type="dxa"/>
            <w:vAlign w:val="bottom"/>
          </w:tcPr>
          <w:p>
            <w:pPr>
              <w:ind w:left="560"/>
              <w:spacing w:after="0"/>
              <w:rPr>
                <w:sz w:val="20"/>
                <w:szCs w:val="20"/>
                <w:color w:val="auto"/>
              </w:rPr>
            </w:pPr>
            <w:r>
              <w:rPr>
                <w:rFonts w:ascii="Arial" w:cs="Arial" w:eastAsia="Arial" w:hAnsi="Arial"/>
                <w:sz w:val="16"/>
                <w:szCs w:val="16"/>
                <w:color w:val="auto"/>
              </w:rPr>
              <w:t>Other receivables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(12,289)</w:t>
            </w: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Performance year receivable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20" w:type="dxa"/>
            <w:vAlign w:val="bottom"/>
          </w:tcPr>
          <w:p>
            <w:pPr>
              <w:ind w:left="560"/>
              <w:spacing w:after="0"/>
              <w:rPr>
                <w:sz w:val="20"/>
                <w:szCs w:val="20"/>
                <w:color w:val="auto"/>
              </w:rPr>
            </w:pPr>
            <w:r>
              <w:rPr>
                <w:rFonts w:ascii="Arial" w:cs="Arial" w:eastAsia="Arial" w:hAnsi="Arial"/>
                <w:sz w:val="16"/>
                <w:szCs w:val="16"/>
                <w:color w:val="auto"/>
              </w:rPr>
              <w:t>Surety bonds and deposits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(15,578)</w:t>
            </w: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Prepaid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(6,705)</w:t>
            </w:r>
          </w:p>
        </w:tc>
      </w:tr>
      <w:tr>
        <w:trPr>
          <w:trHeight w:val="213"/>
        </w:trPr>
        <w:tc>
          <w:tcPr>
            <w:tcW w:w="8320" w:type="dxa"/>
            <w:vAlign w:val="bottom"/>
          </w:tcPr>
          <w:p>
            <w:pPr>
              <w:ind w:left="56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(4,600)</w:t>
            </w: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Healthcare receivables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6,887</w:t>
            </w:r>
          </w:p>
        </w:tc>
      </w:tr>
      <w:tr>
        <w:trPr>
          <w:trHeight w:val="213"/>
        </w:trPr>
        <w:tc>
          <w:tcPr>
            <w:tcW w:w="8320" w:type="dxa"/>
            <w:vAlign w:val="bottom"/>
          </w:tcPr>
          <w:p>
            <w:pPr>
              <w:ind w:left="56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1,720</w:t>
            </w: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Unpaid claims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28,752</w:t>
            </w:r>
          </w:p>
        </w:tc>
      </w:tr>
      <w:tr>
        <w:trPr>
          <w:trHeight w:val="213"/>
        </w:trPr>
        <w:tc>
          <w:tcPr>
            <w:tcW w:w="8320" w:type="dxa"/>
            <w:vAlign w:val="bottom"/>
          </w:tcPr>
          <w:p>
            <w:pPr>
              <w:ind w:left="56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(1,978)</w:t>
            </w: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Accrued salaries and benefits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6,272</w:t>
            </w:r>
          </w:p>
        </w:tc>
      </w:tr>
      <w:tr>
        <w:trPr>
          <w:trHeight w:val="213"/>
        </w:trPr>
        <w:tc>
          <w:tcPr>
            <w:tcW w:w="8320" w:type="dxa"/>
            <w:vAlign w:val="bottom"/>
          </w:tcPr>
          <w:p>
            <w:pPr>
              <w:ind w:left="56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870</w:t>
            </w: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Performance year obligation</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18,809</w:t>
            </w:r>
          </w:p>
        </w:tc>
      </w:tr>
      <w:tr>
        <w:trPr>
          <w:trHeight w:val="213"/>
        </w:trPr>
        <w:tc>
          <w:tcPr>
            <w:tcW w:w="8320" w:type="dxa"/>
            <w:vAlign w:val="bottom"/>
          </w:tcPr>
          <w:p>
            <w:pPr>
              <w:ind w:left="560"/>
              <w:spacing w:after="0"/>
              <w:rPr>
                <w:sz w:val="20"/>
                <w:szCs w:val="20"/>
                <w:color w:val="auto"/>
              </w:rPr>
            </w:pPr>
            <w:r>
              <w:rPr>
                <w:rFonts w:ascii="Arial" w:cs="Arial" w:eastAsia="Arial" w:hAnsi="Arial"/>
                <w:sz w:val="16"/>
                <w:szCs w:val="16"/>
                <w:color w:val="auto"/>
              </w:rPr>
              <w:t>Non-Insurance payable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82,592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14,530</w:t>
            </w:r>
          </w:p>
        </w:tc>
      </w:tr>
      <w:tr>
        <w:trPr>
          <w:trHeight w:val="219"/>
        </w:trPr>
        <w:tc>
          <w:tcPr>
            <w:tcW w:w="83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w:t>
            </w:r>
          </w:p>
        </w:tc>
      </w:tr>
      <w:tr>
        <w:trPr>
          <w:trHeight w:val="206"/>
        </w:trPr>
        <w:tc>
          <w:tcPr>
            <w:tcW w:w="83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(96,213)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(157,024)</w:t>
            </w:r>
          </w:p>
        </w:tc>
      </w:tr>
      <w:tr>
        <w:trPr>
          <w:trHeight w:val="19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Purchases of short-term investments, available-for-sale, and held-to-maturity securities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(169,889)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(323,451)</w:t>
            </w: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sales of short-term investments and available-for-sale securities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36,865</w:t>
            </w: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Proceeds from maturities of short-term investments, available-for-sale, and held-to-maturity securities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290,455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200,265</w:t>
            </w: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13"/>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Acquisition of Character Biosciences, Inc. Series A preferred shares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125,866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(86,611)</w:t>
            </w:r>
          </w:p>
        </w:tc>
      </w:tr>
      <w:tr>
        <w:trPr>
          <w:trHeight w:val="193"/>
        </w:trPr>
        <w:tc>
          <w:tcPr>
            <w:tcW w:w="83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Payment of notes payable principal</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(30,925)</w:t>
            </w:r>
          </w:p>
        </w:tc>
      </w:tr>
      <w:tr>
        <w:trPr>
          <w:trHeight w:val="213"/>
        </w:trPr>
        <w:tc>
          <w:tcPr>
            <w:tcW w:w="8320" w:type="dxa"/>
            <w:vAlign w:val="bottom"/>
          </w:tcPr>
          <w:p>
            <w:pPr>
              <w:ind w:left="380"/>
              <w:spacing w:after="0"/>
              <w:rPr>
                <w:sz w:val="20"/>
                <w:szCs w:val="20"/>
                <w:color w:val="auto"/>
              </w:rPr>
            </w:pPr>
            <w:r>
              <w:rPr>
                <w:rFonts w:ascii="Arial" w:cs="Arial" w:eastAsia="Arial" w:hAnsi="Arial"/>
                <w:sz w:val="16"/>
                <w:szCs w:val="16"/>
                <w:color w:val="auto"/>
              </w:rPr>
              <w:t>Issuance of common stock, net of early exercise liability</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1,717</w:t>
            </w:r>
          </w:p>
        </w:tc>
      </w:tr>
      <w:tr>
        <w:trPr>
          <w:trHeight w:val="219"/>
        </w:trPr>
        <w:tc>
          <w:tcPr>
            <w:tcW w:w="83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reverse recapitalization, net of transaction costs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666,242</w:t>
            </w:r>
          </w:p>
        </w:tc>
      </w:tr>
      <w:tr>
        <w:trPr>
          <w:trHeight w:val="213"/>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Treasury stock acquired</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637,034</w:t>
            </w:r>
          </w:p>
        </w:tc>
      </w:tr>
      <w:tr>
        <w:trPr>
          <w:trHeight w:val="206"/>
        </w:trPr>
        <w:tc>
          <w:tcPr>
            <w:tcW w:w="832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24,503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393,399</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299,968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92,348</w:t>
            </w: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324,471</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485,747</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disclosures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3"/>
        </w:trPr>
        <w:tc>
          <w:tcPr>
            <w:tcW w:w="8320" w:type="dxa"/>
            <w:vAlign w:val="bottom"/>
          </w:tcPr>
          <w:p>
            <w:pPr>
              <w:ind w:left="200"/>
              <w:spacing w:after="0"/>
              <w:rPr>
                <w:sz w:val="20"/>
                <w:szCs w:val="20"/>
                <w:color w:val="auto"/>
              </w:rPr>
            </w:pPr>
            <w:r>
              <w:rPr>
                <w:rFonts w:ascii="Arial" w:cs="Arial" w:eastAsia="Arial" w:hAnsi="Arial"/>
                <w:sz w:val="16"/>
                <w:szCs w:val="16"/>
                <w:color w:val="auto"/>
              </w:rPr>
              <w:t>Cash paid during the period for interest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1,677</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20" w:type="dxa"/>
            <w:vAlign w:val="bottom"/>
          </w:tcPr>
          <w:p>
            <w:pPr>
              <w:ind w:left="200"/>
              <w:spacing w:after="0"/>
              <w:rPr>
                <w:sz w:val="20"/>
                <w:szCs w:val="20"/>
                <w:color w:val="auto"/>
              </w:rPr>
            </w:pPr>
            <w:r>
              <w:rPr>
                <w:rFonts w:ascii="Arial" w:cs="Arial" w:eastAsia="Arial" w:hAnsi="Arial"/>
                <w:sz w:val="16"/>
                <w:szCs w:val="16"/>
                <w:color w:val="auto"/>
              </w:rPr>
              <w:t>Performance year receivable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(1,177,421)</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(436,334)</w:t>
            </w:r>
          </w:p>
        </w:tc>
      </w:tr>
      <w:tr>
        <w:trPr>
          <w:trHeight w:val="219"/>
        </w:trPr>
        <w:tc>
          <w:tcPr>
            <w:tcW w:w="8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 year obligation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1,177,421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436,334</w:t>
            </w:r>
          </w:p>
        </w:tc>
      </w:tr>
      <w:tr>
        <w:trPr>
          <w:trHeight w:val="213"/>
        </w:trPr>
        <w:tc>
          <w:tcPr>
            <w:tcW w:w="8320" w:type="dxa"/>
            <w:vAlign w:val="bottom"/>
          </w:tcPr>
          <w:p>
            <w:pPr>
              <w:ind w:left="200"/>
              <w:spacing w:after="0"/>
              <w:rPr>
                <w:sz w:val="20"/>
                <w:szCs w:val="20"/>
                <w:color w:val="auto"/>
              </w:rPr>
            </w:pPr>
            <w:r>
              <w:rPr>
                <w:rFonts w:ascii="Arial" w:cs="Arial" w:eastAsia="Arial" w:hAnsi="Arial"/>
                <w:sz w:val="16"/>
                <w:szCs w:val="16"/>
                <w:color w:val="auto"/>
              </w:rPr>
              <w:t>Conversion of preferred stock to common stock</w:t>
            </w:r>
          </w:p>
        </w:tc>
        <w:tc>
          <w:tcPr>
            <w:tcW w:w="3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447,747</w:t>
            </w:r>
          </w:p>
        </w:tc>
      </w:tr>
      <w:tr>
        <w:trPr>
          <w:trHeight w:val="219"/>
        </w:trPr>
        <w:tc>
          <w:tcPr>
            <w:tcW w:w="8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Issuance of common stock related to convertible debt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16,059</w:t>
            </w:r>
          </w:p>
        </w:tc>
      </w:tr>
      <w:tr>
        <w:trPr>
          <w:trHeight w:val="213"/>
        </w:trPr>
        <w:tc>
          <w:tcPr>
            <w:tcW w:w="8320" w:type="dxa"/>
            <w:vAlign w:val="bottom"/>
          </w:tcPr>
          <w:p>
            <w:pPr>
              <w:ind w:left="200"/>
              <w:spacing w:after="0"/>
              <w:rPr>
                <w:sz w:val="20"/>
                <w:szCs w:val="20"/>
                <w:color w:val="auto"/>
              </w:rPr>
            </w:pPr>
            <w:r>
              <w:rPr>
                <w:rFonts w:ascii="Arial" w:cs="Arial" w:eastAsia="Arial" w:hAnsi="Arial"/>
                <w:sz w:val="16"/>
                <w:szCs w:val="16"/>
                <w:color w:val="auto"/>
              </w:rPr>
              <w:t>Capital contribution for extinguishment of debt</w:t>
            </w:r>
          </w:p>
        </w:tc>
        <w:tc>
          <w:tcPr>
            <w:tcW w:w="3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126,795</w:t>
            </w:r>
          </w:p>
        </w:tc>
      </w:tr>
      <w:tr>
        <w:trPr>
          <w:trHeight w:val="219"/>
        </w:trPr>
        <w:tc>
          <w:tcPr>
            <w:tcW w:w="8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Issuance of common stock related to warrants exercised</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97,782</w:t>
            </w:r>
          </w:p>
        </w:tc>
      </w:tr>
      <w:tr>
        <w:trPr>
          <w:trHeight w:val="213"/>
        </w:trPr>
        <w:tc>
          <w:tcPr>
            <w:tcW w:w="8320" w:type="dxa"/>
            <w:vAlign w:val="bottom"/>
          </w:tcPr>
          <w:p>
            <w:pPr>
              <w:ind w:left="200"/>
              <w:spacing w:after="0"/>
              <w:rPr>
                <w:sz w:val="20"/>
                <w:szCs w:val="20"/>
                <w:color w:val="auto"/>
              </w:rPr>
            </w:pPr>
            <w:r>
              <w:rPr>
                <w:rFonts w:ascii="Arial" w:cs="Arial" w:eastAsia="Arial" w:hAnsi="Arial"/>
                <w:sz w:val="16"/>
                <w:szCs w:val="16"/>
                <w:color w:val="auto"/>
              </w:rPr>
              <w:t>Acquisition of public and private Warrants</w:t>
            </w:r>
          </w:p>
        </w:tc>
        <w:tc>
          <w:tcPr>
            <w:tcW w:w="3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147,582</w:t>
            </w:r>
          </w:p>
        </w:tc>
      </w:tr>
      <w:tr>
        <w:trPr>
          <w:trHeight w:val="219"/>
        </w:trPr>
        <w:tc>
          <w:tcPr>
            <w:tcW w:w="8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Right-of-use assets obtained in exchange for lease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3"/>
        </w:trPr>
        <w:tc>
          <w:tcPr>
            <w:tcW w:w="8320" w:type="dxa"/>
            <w:vAlign w:val="bottom"/>
          </w:tcPr>
          <w:p>
            <w:pPr>
              <w:ind w:left="200"/>
              <w:spacing w:after="0"/>
              <w:rPr>
                <w:sz w:val="20"/>
                <w:szCs w:val="20"/>
                <w:color w:val="auto"/>
              </w:rPr>
            </w:pPr>
            <w:r>
              <w:rPr>
                <w:rFonts w:ascii="Arial" w:cs="Arial" w:eastAsia="Arial" w:hAnsi="Arial"/>
                <w:sz w:val="16"/>
                <w:szCs w:val="16"/>
                <w:color w:val="auto"/>
              </w:rPr>
              <w:t>Recognition of equity method investments and preferred stock</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Derecognition of noncontrolling interest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320" w:type="dxa"/>
            <w:vAlign w:val="bottom"/>
          </w:tcPr>
          <w:p>
            <w:pPr>
              <w:ind w:left="200"/>
              <w:spacing w:after="0"/>
              <w:rPr>
                <w:sz w:val="20"/>
                <w:szCs w:val="20"/>
                <w:color w:val="auto"/>
              </w:rPr>
            </w:pPr>
            <w:r>
              <w:rPr>
                <w:rFonts w:ascii="Arial" w:cs="Arial" w:eastAsia="Arial" w:hAnsi="Arial"/>
                <w:sz w:val="16"/>
                <w:szCs w:val="16"/>
                <w:color w:val="auto"/>
              </w:rPr>
              <w:t>Conversion of Character Biosciences, Inc. convertible note to preferred stock</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200"/>
          </w:cols>
          <w:pgMar w:left="340" w:top="670" w:right="3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70" w:right="35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CLOVER HEALTH INVESTMENTS,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Clover Health Investments, Corp. (collectively with its affiliates and subsidiaries, "Clover" or the "Company") is singularly focused on creating great, sustainable healthcare to improve every life. Clover has centered its strategy on building and deploying technology through its flagship software platform, Clover Assistant, to help America’s seniors receive better care at lower costs.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Clover provides affordable, high-quality Medicare Advantage ("MA")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On April 1, 2021, the Company's subsidiary, Clover Health Partners, LLC, began participating as a Direct Contracting Entity ("DCE") in the Global and Professional Direct Contracting Model ("DC Model") of the Centers for Medicare and Medicaid Services ("CMS"), an agency of the United States Department of Health and Human Services, through which the Company provides care to aligned Original Medicare beneficiaries (the "Non-Insurance Beneficiaries").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at the point of care in order to improve outcomes for beneficiaries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 Through its Non-Insurance operations, the Company assumes full risk (i.e., 100.0% shared savings and shared losses) for the total cost of care of aligned Non-Insurance Beneficiaries, empowers providers with Clover Assistant, and offers a variety of programs aimed at reducing expenditures and preserving or enhancing the quality of care for Non-Insurance Beneficiaries. For additional information related to the Company's Non-Insurance operations, see Note 16 in this report.</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Clover was originally incorporated as a Cayman Islands exempted company on October 18, 2019, as a special purpose acquisition company under the name Social Capital Hedosophia Holdings Corp. III ("SCH"). On October 5, 2020, SCH entered into a Merger Agreement (the "Merger Agreement") with Clover Health Investments, Corp., a corporation originally incorporated on July 17, 2014, in the state of Delaware ("Legacy Clover"). Pursuant to the Merger Agreement, and a favorable vote of SCH's stockholders at an extraordinary general meeting on January 6, 2021 (the "Special Meeting"), on January 7, 2021, Asclepius Merger Sub Inc., a Delaware corporation and a newly formed, wholly-owned subsidiary of SCH ("Merger Sub"), merged with and into Legacy Clover. The separate corporate existence of Merger Sub ceased, Legacy Clover survived and merged with and into SCH, with SCH as the surviving corporation, and SCH was redomesticated as a Delaware corporation and renamed Clover Health Investments, Corp. (the "Business Combination"). The Business Combination was accounted for as a reverse recapitalization in accordance with generally accepted accounting principles in the United States ("GAAP"). Under the guidance in Accounting Standards Codification ("ASC") 805, Legacy Clover is treated as the "acquirer" for financial reporting purposes, Legacy Clover is deemed the accounting predecessor of the combined business, and Clover Health Investments, Corp., as the parent company of the combined business, is the successor Securities and Exchange Commission ("SEC") registrant, meaning that Legacy Clover's financial statements for previous periods are disclosed in periodic reports filed with the SEC.</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Combination has had and will have a significant impact on the Company's future reported financial position and results as a consequence of the reverse recapitalization. The Business Combination closed on January 7, 2021, and on the following day the Company's Class A Common Stock and then outstanding public warrants were listed on the Nasdaq Global Select Market ("Nasdaq") under the symbols "CLOV" and "CLOVW," respectively, for trading in the public market.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see Note 1 (Organization and Operations) and Note 3 (Business Combination) included in the Company's Annual Report on Form 10-K for the year ended December 31, 2021 (the "2021 Form 10-K").</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interim condensed consolidated financial statements have been prepared in conformity with GAAP and include the accounts of the Company and its wholly-owned subsidiaries. In the opinion of management, the Company has made all necessary</w:t>
      </w:r>
    </w:p>
    <w:p>
      <w:pPr>
        <w:sectPr>
          <w:pgSz w:w="11900" w:h="16838" w:orient="portrait"/>
          <w:cols w:equalWidth="0" w:num="1">
            <w:col w:w="11240"/>
          </w:cols>
          <w:pgMar w:left="320" w:top="769"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adjustments, which include normal recurring adjustments necessary for a fair presentation of its financial position and its results of operations for the interim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 These interim condensed consolidated financial statements should be read in conjunction with the audited consolidated financial statements and related notes to the financial statements included in the 2021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impact the amounts reported in the condensed consolidated financial statements and the accompanying notes.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goodwill and other intangible assets, reinsurance, premium deficiency reserve, warrants, embedded derivative related to convertible securities, stock-based compensation, recoveries from third parties for coordination of benefits, Direct Contracting benchmark, specifically cost trend and risk score estimates that can develop over time, and final determination of medical cost adjustment pools.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of accounting and variable interest entities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segments are defined as components of an enterprise for which separate financial information is available that is evaluated on a regular basis by the chief operating decision maker ("CODM") in deciding how to allocate resources to an individual segment and in assessing performance. The Company's CODM is its Chief Executive Officer. The Company has two reporting segments: Insurance and Non-Insurance.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guarantees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Certain of the Company's arrangements with third-party providers require it to guarantee the performance of its care network to CMS. As a result of the Company's participation in the DC Model, the Company determined that it was making a performance guarantee with respect to providers under the Non-Insurance arrangement that should be recognized in the financial statements. Accordingly, a liability for the performance guarantee was recorded on the Condensed Consolidated Balance Sheet. Each month, as the performance guarantee is fulfilled, the guarantee is amortized on a straight-line basis for the amount that represents the completed performance. With respect to each performance year in which the DCE is a participant, the final consideration due to the DCE from CMS ("shared savings") or the consideration due to CMS from the DCE ("shared loss") is reconciled in the subsequent years following the performance year. The shared savings or loss is measured periodically and will be applied to the Non-Insurance performance obligation or Non-Insurance performance receivable if the Company is in a probable loss position or probable savings position, respectively. The DCE has entered into a surety bond agreement with CMS and a third-party surety to cover the reserve requirement of fifty percent. The reserve requirement is determined by CMS.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Capitalized software development costs - cloud computing arrangements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cloud computing arrangements are mostly comprised of hosting arrangements that are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in other assets, and are generally amortized over the fixed, non-cancelable term of the associated hosting arrangement on a straight-line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acquisition costs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Acquisition costs directly related to the successful acquisition of new business, which are primarily made up of commissions costs, are deferred and subsequently amortized. Deferred acquisition costs are recorded as other assets on the Condensed Consolidated Balance Sheet and are amortized over the estimated life of the related contracts. The amortization of deferred acquisition costs is recorded in general and administrative expenses in the Condensed Consolidated Statement of Operations and Comprehensive Loss. As of June 30, 2022, and December 31, 2021, there were no deferred acquisition costs as a result of the acceleration of amortization for deferred acquisition costs due to the recognition of a premium deficiency reserve. For the three and six months ended June 30, 2022, charges related to deferred acquisition costs of $1.9 million and $13.7 million, respectively, were recognized in general and administrative expenses. For the three and six months ended June 30, 2021, charges related to deferred acquisition costs of $6.7 million and $8.5 million, respectively, were recognized in general and administrative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societal and economic impact of the Coronavirus Disease 2019 ("COVID-19") pandemic and its variants are continuing to evolve, and the ultimate impact on the Company's business, results of operations, financial condition, and cash flows is uncertain and difficult to predict. The global pandemic has severely impacted businesses worldwide, including many in the health insurance sector. In response to the pandemic, the Company has implemented additional steps related to its care delivery, member support, and internal policies and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2018, the FASB issued ASU 2018-12, </w:t>
      </w:r>
      <w:r>
        <w:rPr>
          <w:rFonts w:ascii="Arial" w:cs="Arial" w:eastAsia="Arial" w:hAnsi="Arial"/>
          <w:sz w:val="16"/>
          <w:szCs w:val="16"/>
          <w:i w:val="1"/>
          <w:iCs w:val="1"/>
          <w:color w:val="auto"/>
        </w:rPr>
        <w:t>Financial Services - Insurance (Topic 944): Targeted Improvements to the Accounting for Long-Duration</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Contracts, </w:t>
      </w:r>
      <w:r>
        <w:rPr>
          <w:rFonts w:ascii="Arial" w:cs="Arial" w:eastAsia="Arial" w:hAnsi="Arial"/>
          <w:sz w:val="17"/>
          <w:szCs w:val="17"/>
          <w:color w:val="auto"/>
        </w:rPr>
        <w:t>which was subsequently amended by ASU 2019-09,</w:t>
      </w:r>
      <w:r>
        <w:rPr>
          <w:rFonts w:ascii="Arial" w:cs="Arial" w:eastAsia="Arial" w:hAnsi="Arial"/>
          <w:sz w:val="17"/>
          <w:szCs w:val="17"/>
          <w:i w:val="1"/>
          <w:iCs w:val="1"/>
          <w:color w:val="auto"/>
        </w:rPr>
        <w:t xml:space="preserve"> Financial Services—Insurance (Topic 944): Effective Date </w:t>
      </w:r>
      <w:r>
        <w:rPr>
          <w:rFonts w:ascii="Arial" w:cs="Arial" w:eastAsia="Arial" w:hAnsi="Arial"/>
          <w:sz w:val="17"/>
          <w:szCs w:val="17"/>
          <w:color w:val="auto"/>
        </w:rPr>
        <w:t>and ASU 2020-11,</w:t>
      </w:r>
      <w:r>
        <w:rPr>
          <w:rFonts w:ascii="Arial" w:cs="Arial" w:eastAsia="Arial" w:hAnsi="Arial"/>
          <w:sz w:val="17"/>
          <w:szCs w:val="17"/>
          <w:i w:val="1"/>
          <w:iCs w:val="1"/>
          <w:color w:val="auto"/>
        </w:rPr>
        <w:t xml:space="preserve"> Financial Services—Insurance (Topic 944): Effective Date and Early Application</w:t>
      </w:r>
      <w:r>
        <w:rPr>
          <w:rFonts w:ascii="Arial" w:cs="Arial" w:eastAsia="Arial" w:hAnsi="Arial"/>
          <w:sz w:val="17"/>
          <w:szCs w:val="17"/>
          <w:color w:val="auto"/>
        </w:rPr>
        <w:t>. ASU 2020-11 was issued in consideration of the implications of COVID-19 and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transition relief and additional time for implementation by deferring the effective date by one year. The amendments in ASU 2018-12 make changes to a variety of areas to simplify or improve the existing recognition, measurement, presentation, and disclosure requirements for long-duration contracts issued by an insurance entity. The amendments require insurers to annually review the assumptions they make about their policyholders and update the liabilities for future policy benefits if the assumptions change. The amendments also simplify the amortization of deferred acquisition costs and add new disclosure requirements about the assumptions used to measure liabilities and the potential impact to future cash flows. The amendments related to the liability for future policy benefits for traditional and limited-payment contracts and deferred acquisition costs are to be applied to contracts in force as of the beginning of the earliest period presented, with an option to apply such amendments retrospectively with a cumulative-effect adjustment to the opening balance of retained earnings as of the earliest period presented. The amendments for market risk benefits are to be applied retrospectively. ASU 2020-11 is effective for public entities beginning after December 15, 2022. The Company is currently evaluating the effects the adoption of ASU 2018-12 and ASU 2020-11 will have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3.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amortized cost and fair values of investments as of June 30, 2022, and December 31, 2021, respectively: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2022</w:t>
            </w:r>
          </w:p>
        </w:tc>
        <w:tc>
          <w:tcPr>
            <w:tcW w:w="134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3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unrealized gains</w:t>
            </w:r>
          </w:p>
        </w:tc>
        <w:tc>
          <w:tcPr>
            <w:tcW w:w="13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6"/>
              </w:rPr>
              <w:t>unrealized losses</w:t>
            </w:r>
          </w:p>
        </w:tc>
        <w:tc>
          <w:tcPr>
            <w:tcW w:w="20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Arial" w:cs="Arial" w:eastAsia="Arial" w:hAnsi="Arial"/>
                <w:sz w:val="16"/>
                <w:szCs w:val="16"/>
                <w:b w:val="1"/>
                <w:bCs w:val="1"/>
                <w:color w:val="auto"/>
              </w:rPr>
              <w:t>Fair value</w:t>
            </w:r>
          </w:p>
        </w:tc>
      </w:tr>
      <w:tr>
        <w:trPr>
          <w:trHeight w:val="191"/>
        </w:trPr>
        <w:tc>
          <w:tcPr>
            <w:tcW w:w="5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6"/>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securities, held-to-maturity</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7"/>
        </w:trPr>
        <w:tc>
          <w:tcPr>
            <w:tcW w:w="59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securities, available-for-sale</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241,182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232,839</w:t>
            </w: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21,204</w:t>
            </w:r>
          </w:p>
        </w:tc>
      </w:tr>
      <w:tr>
        <w:trPr>
          <w:trHeight w:val="236"/>
        </w:trPr>
        <w:tc>
          <w:tcPr>
            <w:tcW w:w="5980" w:type="dxa"/>
            <w:vAlign w:val="bottom"/>
            <w:gridSpan w:val="2"/>
          </w:tcPr>
          <w:p>
            <w:pPr>
              <w:ind w:left="440"/>
              <w:spacing w:after="0"/>
              <w:rPr>
                <w:sz w:val="20"/>
                <w:szCs w:val="20"/>
                <w:color w:val="auto"/>
              </w:rPr>
            </w:pPr>
            <w:r>
              <w:rPr>
                <w:rFonts w:ascii="Arial" w:cs="Arial" w:eastAsia="Arial" w:hAnsi="Arial"/>
                <w:sz w:val="18"/>
                <w:szCs w:val="18"/>
                <w:color w:val="auto"/>
              </w:rPr>
              <w:t>Total investment securities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262,747</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254,404</w:t>
            </w:r>
          </w:p>
        </w:tc>
      </w:tr>
      <w:tr>
        <w:trPr>
          <w:trHeight w:val="21"/>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49"/>
        </w:trPr>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2021</w:t>
            </w:r>
          </w:p>
        </w:tc>
        <w:tc>
          <w:tcPr>
            <w:tcW w:w="134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3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unrealized gains</w:t>
            </w:r>
          </w:p>
        </w:tc>
        <w:tc>
          <w:tcPr>
            <w:tcW w:w="13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6"/>
              </w:rPr>
              <w:t>unrealized losses</w:t>
            </w:r>
          </w:p>
        </w:tc>
        <w:tc>
          <w:tcPr>
            <w:tcW w:w="20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Arial" w:cs="Arial" w:eastAsia="Arial" w:hAnsi="Arial"/>
                <w:sz w:val="16"/>
                <w:szCs w:val="16"/>
                <w:b w:val="1"/>
                <w:bCs w:val="1"/>
                <w:color w:val="auto"/>
              </w:rPr>
              <w:t>Fair value</w:t>
            </w:r>
          </w:p>
        </w:tc>
      </w:tr>
      <w:tr>
        <w:trPr>
          <w:trHeight w:val="197"/>
        </w:trPr>
        <w:tc>
          <w:tcPr>
            <w:tcW w:w="5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49"/>
        </w:trPr>
        <w:tc>
          <w:tcPr>
            <w:tcW w:w="5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7"/>
        </w:trPr>
        <w:tc>
          <w:tcPr>
            <w:tcW w:w="5980" w:type="dxa"/>
            <w:vAlign w:val="bottom"/>
            <w:tcBorders>
              <w:bottom w:val="single" w:sz="8" w:color="CFF0FC"/>
            </w:tcBorders>
            <w:gridSpan w:val="2"/>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5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7"/>
        </w:trPr>
        <w:tc>
          <w:tcPr>
            <w:tcW w:w="5980" w:type="dxa"/>
            <w:vAlign w:val="bottom"/>
            <w:tcBorders>
              <w:bottom w:val="single" w:sz="8" w:color="CFF0FC"/>
            </w:tcBorders>
            <w:gridSpan w:val="2"/>
          </w:tcPr>
          <w:p>
            <w:pPr>
              <w:ind w:left="180"/>
              <w:spacing w:after="0"/>
              <w:rPr>
                <w:sz w:val="20"/>
                <w:szCs w:val="20"/>
                <w:color w:val="auto"/>
              </w:rPr>
            </w:pPr>
            <w:r>
              <w:rPr>
                <w:rFonts w:ascii="Arial" w:cs="Arial" w:eastAsia="Arial" w:hAnsi="Arial"/>
                <w:sz w:val="18"/>
                <w:szCs w:val="18"/>
                <w:color w:val="auto"/>
              </w:rPr>
              <w:t>U.S. government and government agencies and authorities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198,669</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196,735</w:t>
            </w:r>
          </w:p>
        </w:tc>
      </w:tr>
      <w:tr>
        <w:trPr>
          <w:trHeight w:val="268"/>
        </w:trPr>
        <w:tc>
          <w:tcPr>
            <w:tcW w:w="5980" w:type="dxa"/>
            <w:vAlign w:val="bottom"/>
            <w:tcBorders>
              <w:bottom w:val="single" w:sz="8" w:color="CFF0FC"/>
            </w:tcBorders>
            <w:gridSpan w:val="2"/>
            <w:shd w:val="clear" w:color="auto" w:fill="CFF0FC"/>
          </w:tcPr>
          <w:p>
            <w:pPr>
              <w:ind w:left="440"/>
              <w:spacing w:after="0"/>
              <w:rPr>
                <w:sz w:val="20"/>
                <w:szCs w:val="20"/>
                <w:color w:val="auto"/>
              </w:rPr>
            </w:pPr>
            <w:r>
              <w:rPr>
                <w:rFonts w:ascii="Arial" w:cs="Arial" w:eastAsia="Arial" w:hAnsi="Arial"/>
                <w:sz w:val="18"/>
                <w:szCs w:val="18"/>
                <w:color w:val="auto"/>
              </w:rPr>
              <w:t>Total investment securities</w:t>
            </w:r>
          </w:p>
        </w:tc>
        <w:tc>
          <w:tcPr>
            <w:tcW w:w="340" w:type="dxa"/>
            <w:vAlign w:val="bottom"/>
            <w:tcBorders>
              <w:bottom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199,309</w:t>
            </w:r>
          </w:p>
        </w:tc>
        <w:tc>
          <w:tcPr>
            <w:tcW w:w="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197,406</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amortized cost and fair value of debt securities as of June 30, 2022, by contractual maturity:</w:t>
      </w:r>
    </w:p>
    <w:p>
      <w:pPr>
        <w:sectPr>
          <w:pgSz w:w="11900" w:h="16838" w:orient="portrait"/>
          <w:cols w:equalWidth="0" w:num="1">
            <w:col w:w="11240"/>
          </w:cols>
          <w:pgMar w:left="320" w:top="985" w:right="3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737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within one year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Due after one year through five years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Due after five years through ten years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after ten years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spacing w:after="0"/>
              <w:rPr>
                <w:sz w:val="19"/>
                <w:szCs w:val="19"/>
                <w:color w:val="auto"/>
              </w:rPr>
            </w:pPr>
          </w:p>
        </w:tc>
        <w:tc>
          <w:tcPr>
            <w:tcW w:w="2260" w:type="dxa"/>
            <w:vAlign w:val="bottom"/>
            <w:gridSpan w:val="5"/>
          </w:tcPr>
          <w:p>
            <w:pPr>
              <w:ind w:left="300"/>
              <w:spacing w:after="0"/>
              <w:rPr>
                <w:sz w:val="20"/>
                <w:szCs w:val="20"/>
                <w:color w:val="auto"/>
              </w:rPr>
            </w:pPr>
            <w:r>
              <w:rPr>
                <w:rFonts w:ascii="Arial" w:cs="Arial" w:eastAsia="Arial" w:hAnsi="Arial"/>
                <w:sz w:val="16"/>
                <w:szCs w:val="16"/>
                <w:b w:val="1"/>
                <w:bCs w:val="1"/>
                <w:color w:val="auto"/>
              </w:rPr>
              <w:t>Held-to-maturity</w:t>
            </w:r>
          </w:p>
        </w:tc>
        <w:tc>
          <w:tcPr>
            <w:tcW w:w="500" w:type="dxa"/>
            <w:vAlign w:val="bottom"/>
          </w:tcPr>
          <w:p>
            <w:pPr>
              <w:spacing w:after="0"/>
              <w:rPr>
                <w:sz w:val="19"/>
                <w:szCs w:val="19"/>
                <w:color w:val="auto"/>
              </w:rPr>
            </w:pPr>
          </w:p>
        </w:tc>
        <w:tc>
          <w:tcPr>
            <w:tcW w:w="210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Available-for-sale</w:t>
            </w:r>
          </w:p>
        </w:tc>
      </w:tr>
      <w:tr>
        <w:trPr>
          <w:trHeight w:val="223"/>
        </w:trPr>
        <w:tc>
          <w:tcPr>
            <w:tcW w:w="134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Amortized cost</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Fair value</w:t>
            </w:r>
          </w:p>
        </w:tc>
      </w:tr>
      <w:tr>
        <w:trPr>
          <w:trHeight w:val="190"/>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2"/>
        </w:trPr>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80,608</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79,997</w:t>
            </w:r>
          </w:p>
        </w:tc>
      </w:tr>
      <w:tr>
        <w:trPr>
          <w:trHeight w:val="256"/>
        </w:trPr>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181,788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174,046</w:t>
            </w:r>
          </w:p>
        </w:tc>
      </w:tr>
      <w:tr>
        <w:trPr>
          <w:trHeight w:val="230"/>
        </w:trPr>
        <w:tc>
          <w:tcPr>
            <w:tcW w:w="4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262,396</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254,043</w:t>
            </w:r>
          </w:p>
        </w:tc>
      </w:tr>
      <w:tr>
        <w:trPr>
          <w:trHeight w:val="27"/>
        </w:trPr>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-814070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-505460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-196215</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85" w:right="339" w:bottom="1440" w:gutter="0" w:footer="0" w:header="0"/>
          <w:type w:val="continuous"/>
        </w:sectPr>
      </w:pPr>
    </w:p>
    <w:p>
      <w:pPr>
        <w:spacing w:after="0" w:line="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six months ended June 30, 2022 and 2021, respectively, net investment income, which is included within other income in the Condensed Consolidated Statements of Operations and Comprehensive Loss, was derived from the following sources: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27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20" w:type="dxa"/>
            <w:vAlign w:val="bottom"/>
            <w:gridSpan w:val="5"/>
          </w:tcPr>
          <w:p>
            <w:pPr>
              <w:ind w:left="42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5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32"/>
        </w:trPr>
        <w:tc>
          <w:tcPr>
            <w:tcW w:w="45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188"/>
        </w:trPr>
        <w:tc>
          <w:tcPr>
            <w:tcW w:w="4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gridSpan w:val="3"/>
          </w:tcPr>
          <w:p>
            <w:pPr>
              <w:ind w:left="120"/>
              <w:spacing w:after="0"/>
              <w:rPr>
                <w:sz w:val="20"/>
                <w:szCs w:val="20"/>
                <w:color w:val="auto"/>
              </w:rPr>
            </w:pPr>
            <w:r>
              <w:rPr>
                <w:rFonts w:ascii="Arial" w:cs="Arial" w:eastAsia="Arial" w:hAnsi="Arial"/>
                <w:sz w:val="14"/>
                <w:szCs w:val="14"/>
                <w:b w:val="1"/>
                <w:bCs w:val="1"/>
                <w:color w:val="auto"/>
                <w:w w:val="99"/>
              </w:rPr>
              <w:t>(in thousands)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1"/>
                <w:szCs w:val="21"/>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securities</w:t>
            </w:r>
          </w:p>
        </w:tc>
        <w:tc>
          <w:tcPr>
            <w:tcW w:w="9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0"/>
                <w:szCs w:val="20"/>
                <w:color w:val="auto"/>
              </w:rPr>
            </w:pPr>
          </w:p>
        </w:tc>
      </w:tr>
      <w:tr>
        <w:trPr>
          <w:trHeight w:val="243"/>
        </w:trPr>
        <w:tc>
          <w:tcPr>
            <w:tcW w:w="4540" w:type="dxa"/>
            <w:vAlign w:val="bottom"/>
          </w:tcPr>
          <w:p>
            <w:pPr>
              <w:ind w:left="260"/>
              <w:spacing w:after="0"/>
              <w:rPr>
                <w:sz w:val="20"/>
                <w:szCs w:val="20"/>
                <w:color w:val="auto"/>
              </w:rPr>
            </w:pPr>
            <w:r>
              <w:rPr>
                <w:rFonts w:ascii="Arial" w:cs="Arial" w:eastAsia="Arial" w:hAnsi="Arial"/>
                <w:sz w:val="18"/>
                <w:szCs w:val="18"/>
                <w:color w:val="auto"/>
              </w:rPr>
              <w:t>Investment income, net</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21"/>
                <w:szCs w:val="21"/>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1"/>
                <w:szCs w:val="21"/>
                <w:color w:val="auto"/>
              </w:rPr>
            </w:pPr>
          </w:p>
        </w:tc>
      </w:tr>
      <w:tr>
        <w:trPr>
          <w:trHeight w:val="21"/>
        </w:trPr>
        <w:tc>
          <w:tcPr>
            <w:tcW w:w="4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9"/>
        </w:trPr>
        <w:tc>
          <w:tcPr>
            <w:tcW w:w="4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jc w:val="right"/>
              <w:ind w:right="330"/>
              <w:spacing w:after="0"/>
              <w:rPr>
                <w:sz w:val="20"/>
                <w:szCs w:val="20"/>
                <w:color w:val="auto"/>
              </w:rPr>
            </w:pPr>
            <w:r>
              <w:rPr>
                <w:rFonts w:ascii="Arial" w:cs="Arial" w:eastAsia="Arial" w:hAnsi="Arial"/>
                <w:sz w:val="18"/>
                <w:szCs w:val="18"/>
                <w:color w:val="auto"/>
                <w:w w:val="89"/>
              </w:rPr>
              <w:t>14</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5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Gross unrealized losses and fair values aggregated by investment category and length of time that individual securities have been in a continuous unrealized loss position were as follows at June 30, 2022, and 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Pr>
          <w:p>
            <w:pPr>
              <w:spacing w:after="0"/>
              <w:rPr>
                <w:sz w:val="19"/>
                <w:szCs w:val="19"/>
                <w:color w:val="auto"/>
              </w:rPr>
            </w:pPr>
          </w:p>
        </w:tc>
        <w:tc>
          <w:tcPr>
            <w:tcW w:w="2460" w:type="dxa"/>
            <w:vAlign w:val="bottom"/>
            <w:gridSpan w:val="6"/>
          </w:tcPr>
          <w:p>
            <w:pPr>
              <w:jc w:val="center"/>
              <w:ind w:right="192"/>
              <w:spacing w:after="0"/>
              <w:rPr>
                <w:sz w:val="20"/>
                <w:szCs w:val="20"/>
                <w:color w:val="auto"/>
              </w:rPr>
            </w:pPr>
            <w:r>
              <w:rPr>
                <w:rFonts w:ascii="Arial" w:cs="Arial" w:eastAsia="Arial" w:hAnsi="Arial"/>
                <w:sz w:val="16"/>
                <w:szCs w:val="16"/>
                <w:b w:val="1"/>
                <w:bCs w:val="1"/>
                <w:color w:val="auto"/>
                <w:w w:val="89"/>
              </w:rPr>
              <w:t>Less than 12 months</w:t>
            </w:r>
          </w:p>
        </w:tc>
        <w:tc>
          <w:tcPr>
            <w:tcW w:w="120" w:type="dxa"/>
            <w:vAlign w:val="bottom"/>
          </w:tcPr>
          <w:p>
            <w:pPr>
              <w:spacing w:after="0"/>
              <w:rPr>
                <w:sz w:val="19"/>
                <w:szCs w:val="19"/>
                <w:color w:val="auto"/>
              </w:rPr>
            </w:pPr>
          </w:p>
        </w:tc>
        <w:tc>
          <w:tcPr>
            <w:tcW w:w="2560" w:type="dxa"/>
            <w:vAlign w:val="bottom"/>
            <w:gridSpan w:val="8"/>
          </w:tcPr>
          <w:p>
            <w:pPr>
              <w:ind w:left="320"/>
              <w:spacing w:after="0"/>
              <w:rPr>
                <w:sz w:val="20"/>
                <w:szCs w:val="20"/>
                <w:color w:val="auto"/>
              </w:rPr>
            </w:pPr>
            <w:r>
              <w:rPr>
                <w:rFonts w:ascii="Arial" w:cs="Arial" w:eastAsia="Arial" w:hAnsi="Arial"/>
                <w:sz w:val="16"/>
                <w:szCs w:val="16"/>
                <w:b w:val="1"/>
                <w:bCs w:val="1"/>
                <w:color w:val="auto"/>
              </w:rPr>
              <w:t>Greater than 12 months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gridSpan w:val="3"/>
          </w:tcPr>
          <w:p>
            <w:pPr>
              <w:jc w:val="right"/>
              <w:ind w:right="105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Fair value</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88"/>
              </w:rPr>
              <w:t>Unrealized loss</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Fair value</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0"/>
              </w:rPr>
              <w:t>Unrealized loss</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3"/>
              </w:rPr>
              <w:t>Fair value</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0"/>
              </w:rPr>
              <w:t>Unrealized loss</w:t>
            </w:r>
          </w:p>
        </w:tc>
        <w:tc>
          <w:tcPr>
            <w:tcW w:w="0" w:type="dxa"/>
            <w:vAlign w:val="bottom"/>
          </w:tcPr>
          <w:p>
            <w:pPr>
              <w:spacing w:after="0"/>
              <w:rPr>
                <w:sz w:val="1"/>
                <w:szCs w:val="1"/>
                <w:color w:val="auto"/>
              </w:rPr>
            </w:pPr>
          </w:p>
        </w:tc>
      </w:tr>
      <w:tr>
        <w:trPr>
          <w:trHeight w:val="181"/>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8"/>
          </w:tcPr>
          <w:p>
            <w:pPr>
              <w:ind w:left="100"/>
              <w:spacing w:after="0"/>
              <w:rPr>
                <w:sz w:val="20"/>
                <w:szCs w:val="20"/>
                <w:color w:val="auto"/>
              </w:rPr>
            </w:pPr>
            <w:r>
              <w:rPr>
                <w:rFonts w:ascii="Arial" w:cs="Arial" w:eastAsia="Arial" w:hAnsi="Arial"/>
                <w:sz w:val="13"/>
                <w:szCs w:val="13"/>
                <w:b w:val="1"/>
                <w:bCs w:val="1"/>
                <w:color w:val="auto"/>
                <w:w w:val="91"/>
              </w:rPr>
              <w:t>(in thousands, except number of positions)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Borders>
              <w:right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U.S. government and government agencies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3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authorities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(6,114)</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28,462</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218,182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11,377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11,377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3340" w:type="dxa"/>
            <w:vAlign w:val="bottom"/>
            <w:tcBorders>
              <w:top w:val="single" w:sz="8" w:color="CCEEFF"/>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201,097</w:t>
            </w:r>
          </w:p>
        </w:tc>
        <w:tc>
          <w:tcPr>
            <w:tcW w:w="40" w:type="dxa"/>
            <w:vAlign w:val="bottom"/>
            <w:tcBorders>
              <w:top w:val="single" w:sz="8" w:color="CCEEFF"/>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(6,132)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28,462</w:t>
            </w:r>
          </w:p>
        </w:tc>
        <w:tc>
          <w:tcPr>
            <w:tcW w:w="40" w:type="dxa"/>
            <w:vAlign w:val="bottom"/>
            <w:tcBorders>
              <w:top w:val="single" w:sz="8" w:color="CCEEFF"/>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229,559</w:t>
            </w:r>
          </w:p>
        </w:tc>
        <w:tc>
          <w:tcPr>
            <w:tcW w:w="22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positions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112"/>
              <w:spacing w:after="0" w:line="204"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4"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573"/>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24"/>
                <w:szCs w:val="24"/>
                <w:color w:val="auto"/>
              </w:rPr>
            </w:pPr>
          </w:p>
        </w:tc>
        <w:tc>
          <w:tcPr>
            <w:tcW w:w="2460" w:type="dxa"/>
            <w:vAlign w:val="bottom"/>
            <w:gridSpan w:val="6"/>
          </w:tcPr>
          <w:p>
            <w:pPr>
              <w:jc w:val="right"/>
              <w:ind w:right="532"/>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24"/>
                <w:szCs w:val="24"/>
                <w:color w:val="auto"/>
              </w:rPr>
            </w:pPr>
          </w:p>
        </w:tc>
        <w:tc>
          <w:tcPr>
            <w:tcW w:w="2560" w:type="dxa"/>
            <w:vAlign w:val="bottom"/>
            <w:gridSpan w:val="8"/>
          </w:tcPr>
          <w:p>
            <w:pPr>
              <w:ind w:left="380"/>
              <w:spacing w:after="0"/>
              <w:rPr>
                <w:sz w:val="20"/>
                <w:szCs w:val="20"/>
                <w:color w:val="auto"/>
              </w:rPr>
            </w:pPr>
            <w:r>
              <w:rPr>
                <w:rFonts w:ascii="Arial" w:cs="Arial" w:eastAsia="Arial" w:hAnsi="Arial"/>
                <w:sz w:val="16"/>
                <w:szCs w:val="16"/>
                <w:b w:val="1"/>
                <w:bCs w:val="1"/>
                <w:color w:val="auto"/>
              </w:rPr>
              <w:t>Greater than 12 months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3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Fair value</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1"/>
              </w:rPr>
              <w:t>Unrealized loss</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Fair value</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w w:val="93"/>
              </w:rPr>
              <w:t>Unrealized loss</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98"/>
              </w:rPr>
              <w:t>Fair value</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1"/>
              </w:rPr>
              <w:t>Unrealized loss</w:t>
            </w:r>
          </w:p>
        </w:tc>
        <w:tc>
          <w:tcPr>
            <w:tcW w:w="0" w:type="dxa"/>
            <w:vAlign w:val="bottom"/>
          </w:tcPr>
          <w:p>
            <w:pPr>
              <w:spacing w:after="0"/>
              <w:rPr>
                <w:sz w:val="1"/>
                <w:szCs w:val="1"/>
                <w:color w:val="auto"/>
              </w:rPr>
            </w:pPr>
          </w:p>
        </w:tc>
      </w:tr>
      <w:tr>
        <w:trPr>
          <w:trHeight w:val="181"/>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8"/>
          </w:tcPr>
          <w:p>
            <w:pPr>
              <w:ind w:left="120"/>
              <w:spacing w:after="0"/>
              <w:rPr>
                <w:sz w:val="20"/>
                <w:szCs w:val="20"/>
                <w:color w:val="auto"/>
              </w:rPr>
            </w:pPr>
            <w:r>
              <w:rPr>
                <w:rFonts w:ascii="Arial" w:cs="Arial" w:eastAsia="Arial" w:hAnsi="Arial"/>
                <w:sz w:val="13"/>
                <w:szCs w:val="13"/>
                <w:b w:val="1"/>
                <w:bCs w:val="1"/>
                <w:color w:val="auto"/>
                <w:w w:val="90"/>
              </w:rPr>
              <w:t>(in thousands, except number of positions)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4"/>
              </w:rPr>
              <w:t>U.S. government and government agencies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3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and authorities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187,251</w:t>
            </w: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7,902</w:t>
            </w: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(398)</w:t>
            </w:r>
          </w:p>
        </w:tc>
        <w:tc>
          <w:tcPr>
            <w:tcW w:w="4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195,153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23"/>
        </w:trPr>
        <w:tc>
          <w:tcPr>
            <w:tcW w:w="3340" w:type="dxa"/>
            <w:vAlign w:val="bottom"/>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187,251</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195,153</w:t>
            </w:r>
          </w:p>
        </w:tc>
        <w:tc>
          <w:tcPr>
            <w:tcW w:w="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Number of positions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tcBorders>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record any credit allowances for debt securities that were in an unrealized loss position as of June 30, 2022, and December 31, 2021.</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2022,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as of June 30, 2022, were assessed, based on, among other things:</w:t>
      </w:r>
    </w:p>
    <w:p>
      <w:pPr>
        <w:spacing w:after="0" w:line="11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9"/>
          <w:szCs w:val="19"/>
          <w:color w:val="auto"/>
        </w:rPr>
      </w:pPr>
      <w:r>
        <w:rPr>
          <w:rFonts w:ascii="Arial" w:cs="Arial" w:eastAsia="Arial" w:hAnsi="Arial"/>
          <w:sz w:val="16"/>
          <w:szCs w:val="16"/>
          <w:color w:val="auto"/>
        </w:rPr>
        <w:t>The relative magnitude to which fair values of these securities have been below their amortized cost was not indicative of an impairment loss;</w:t>
      </w:r>
    </w:p>
    <w:p>
      <w:pPr>
        <w:spacing w:after="0" w:line="146" w:lineRule="exact"/>
        <w:rPr>
          <w:rFonts w:ascii="Arial" w:cs="Arial" w:eastAsia="Arial" w:hAnsi="Arial"/>
          <w:sz w:val="19"/>
          <w:szCs w:val="19"/>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absence of compelling evidence that would cause the Company to call into question the financial condition or near-term prospects of the issuer of the applicable security;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Company's ability and intent to hold the applicable security for a period of time sufficient to allow for any anticipated recovery.</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Proceeds from sales and maturities of investment securities, inclusive of short-term investments, and related gross realized gains (losses) which are included within other income in the Condensed Consolidated Statements of Operations and Comprehensive Loss, were as follows for the three and six months ended June 30, 2022 and 2021,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268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r>
      <w:tr>
        <w:trPr>
          <w:trHeight w:val="239"/>
        </w:trPr>
        <w:tc>
          <w:tcPr>
            <w:tcW w:w="4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194"/>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investment securities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19,598</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36,865</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Proceeds from maturities of investment securities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140,455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290,455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200,265</w:t>
            </w:r>
          </w:p>
        </w:tc>
      </w:tr>
      <w:tr>
        <w:trPr>
          <w:trHeight w:val="149"/>
        </w:trPr>
        <w:tc>
          <w:tcPr>
            <w:tcW w:w="4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Net realized losses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and December 31, 2021, the Company had $14.2 million and $11.1 million, respectively, in deposits with various states and regulatory bodies that are included as part of the Company's investment balances.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a summary of fair value measurements for financial instruments as of June 30, 2022, and December 31, 2021, respectively: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fair</w:t>
            </w:r>
          </w:p>
        </w:tc>
      </w:tr>
      <w:tr>
        <w:trPr>
          <w:trHeight w:val="241"/>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2022</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196"/>
        </w:trPr>
        <w:tc>
          <w:tcPr>
            <w:tcW w:w="5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49"/>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government and government agencies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232,839</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232,839</w:t>
            </w: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21,204</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21,204</w:t>
            </w:r>
          </w:p>
        </w:tc>
      </w:tr>
      <w:tr>
        <w:trPr>
          <w:trHeight w:val="248"/>
        </w:trPr>
        <w:tc>
          <w:tcPr>
            <w:tcW w:w="59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254,043</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fair</w:t>
            </w:r>
          </w:p>
        </w:tc>
      </w:tr>
      <w:tr>
        <w:trPr>
          <w:trHeight w:val="241"/>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197"/>
        </w:trPr>
        <w:tc>
          <w:tcPr>
            <w:tcW w:w="5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49"/>
        </w:trPr>
        <w:tc>
          <w:tcPr>
            <w:tcW w:w="59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U.S. government and government agencies</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196,735</w:t>
            </w:r>
          </w:p>
        </w:tc>
        <w:tc>
          <w:tcPr>
            <w:tcW w:w="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196,735</w:t>
            </w:r>
          </w:p>
        </w:tc>
      </w:tr>
      <w:tr>
        <w:trPr>
          <w:trHeight w:val="22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Total assets at fair value</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196,735</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196,735</w:t>
            </w:r>
          </w:p>
        </w:tc>
      </w:tr>
      <w:tr>
        <w:trPr>
          <w:trHeight w:val="21"/>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additional information regarding the fair value measurements for financial instruments, see Note 5 (Fair Value Measurements) in the 2021 Form 10-K. For additional information regarding the liabilities, see Note 12 (Notes and Securities Payable), Note 13 (Warrants Payable), and Note 14 (Derivative Liabilities) in the 2021 Form 10-K.</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Legacy Clover's convertible securities was based on Level 3 inputs, which were unobservable and reflected management's best estimate of what market participants would use when pricing the asset or liability, including assumptions about risk. There was no fair value associated with convertible securities at June 30, 2022, due to the conversion of the securities to shares of the Company's common stock upon the completion of the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changes in balances of Legacy Clover's Level 3 financial liabilities during the six months ended June 30, 2022. The changes in balances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Legacy Clover's Level 3 financial liabilities during the six months ended June 30, 2021,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Convertible</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Warrants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5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liabilities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payable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196"/>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1,092,145</w:t>
            </w:r>
          </w:p>
        </w:tc>
      </w:tr>
      <w:tr>
        <w:trPr>
          <w:trHeight w:val="237"/>
        </w:trPr>
        <w:tc>
          <w:tcPr>
            <w:tcW w:w="5540" w:type="dxa"/>
            <w:vAlign w:val="bottom"/>
          </w:tcPr>
          <w:p>
            <w:pPr>
              <w:ind w:left="140"/>
              <w:spacing w:after="0"/>
              <w:rPr>
                <w:sz w:val="20"/>
                <w:szCs w:val="20"/>
                <w:color w:val="auto"/>
              </w:rPr>
            </w:pPr>
            <w:r>
              <w:rPr>
                <w:rFonts w:ascii="Arial" w:cs="Arial" w:eastAsia="Arial" w:hAnsi="Arial"/>
                <w:sz w:val="18"/>
                <w:szCs w:val="18"/>
                <w:color w:val="auto"/>
              </w:rPr>
              <w:t>Issuances</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(1,092,145)</w:t>
            </w:r>
          </w:p>
        </w:tc>
      </w:tr>
      <w:tr>
        <w:trPr>
          <w:trHeight w:val="237"/>
        </w:trPr>
        <w:tc>
          <w:tcPr>
            <w:tcW w:w="5540" w:type="dxa"/>
            <w:vAlign w:val="bottom"/>
          </w:tcPr>
          <w:p>
            <w:pPr>
              <w:ind w:left="140"/>
              <w:spacing w:after="0"/>
              <w:rPr>
                <w:sz w:val="20"/>
                <w:szCs w:val="20"/>
                <w:color w:val="auto"/>
              </w:rPr>
            </w:pPr>
            <w:r>
              <w:rPr>
                <w:rFonts w:ascii="Arial" w:cs="Arial" w:eastAsia="Arial" w:hAnsi="Arial"/>
                <w:sz w:val="18"/>
                <w:szCs w:val="18"/>
                <w:color w:val="auto"/>
              </w:rPr>
              <w:t>Transfers in</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out</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540" w:type="dxa"/>
            <w:vAlign w:val="bottom"/>
          </w:tcPr>
          <w:p>
            <w:pPr>
              <w:ind w:left="140"/>
              <w:spacing w:after="0"/>
              <w:rPr>
                <w:sz w:val="20"/>
                <w:szCs w:val="20"/>
                <w:color w:val="auto"/>
              </w:rPr>
            </w:pPr>
            <w:r>
              <w:rPr>
                <w:rFonts w:ascii="Arial" w:cs="Arial" w:eastAsia="Arial" w:hAnsi="Arial"/>
                <w:sz w:val="18"/>
                <w:szCs w:val="18"/>
                <w:color w:val="auto"/>
              </w:rPr>
              <w:t>Total realized losses (gains)</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55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Balance, June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Level 3 financial liabilities in the table above, on September 25, 2020, Seek Insurance Services, Inc. ("Seek"), a field marketing organization and an indirect wholly-owned subsidiary of the Company, entered into a note purchase agreement with a third-party investor and issued a note (the "Seek Convertible Note") in the principal amount of $20.0 million, for which the carrying value is approximately the same as the fair value. For additional information, see Note 8 (Notes and Securities Payable). As of June 30, 2022, and December 31, 2021, both the carrying value, which includes accrued interest, and the fair value of the Seek Convertible Note were $22.8 million and $22.0 million, respectively, and these were considered Level 3 financial liabilities. Seek is currently in the process of winding down its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3 financial assets or liabilities for the six months ended June 30, 2022 or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Warrants were accounted for as liabilities in accordance with ASC 815-40 and are presented within warrants payable on the Condensed Consolidated Balance Sheet. The warrant liabilities were measured at fair value at inception and measured on a recurring basis, with changes in fair value presented within change in fair value of warrants payable in the Condensed Consolidated Statement</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7" w:name="page18"/>
    <w:bookmarkEnd w:id="17"/>
    <w:p>
      <w:pPr>
        <w:jc w:val="both"/>
        <w:spacing w:after="0" w:line="270" w:lineRule="auto"/>
        <w:rPr>
          <w:sz w:val="20"/>
          <w:szCs w:val="20"/>
          <w:color w:val="auto"/>
        </w:rPr>
      </w:pPr>
      <w:r>
        <w:rPr>
          <w:rFonts w:ascii="Arial" w:cs="Arial" w:eastAsia="Arial" w:hAnsi="Arial"/>
          <w:sz w:val="17"/>
          <w:szCs w:val="17"/>
          <w:color w:val="auto"/>
        </w:rPr>
        <w:t>of Operations and Comprehensive Loss. The Company determined that the public warrants assumed in connection with the Business Combination were classified within Level 1 of the fair value hierarchy as the fair value was equal to the publicly traded price of the public warrants, and the private placement warrants, also assumed in connection with the Business Combination, were classified within Level 2 of the fair value hierarchy as the fair value was estimated using the price of the public warrants. On July 22, 2021, the Company issued a press release stating that it would redeem all of its public and private placement warrants. In connection with the redemption, effective August 24, 2021, the public warrants were delisted and classified within Level 2 of the fair value hierarchy as the fair value of the public warrants was based on proportional changes in the price of the Company’s common stock. The end of the redemption period was September 9, 2021, at which time the Company redeemed all unexercised public and private placement warrants at a price of $0.10 per warrant. Following the redemption, no public or private placement warrants were outstanding. For additional information, see Note 5 (Fair Value Measurements) and Note 13 (Warrants Payable) in the 2021 Form 10-K.</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Healthcare Receivables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Healthcare receivables include pharmaceutical rebates which are accrued as they are earned and estimated based on contracted rebate rates, eligible amounts submitted to the manufacturers by the Company's pharmacy manager, pharmacy utilization volume, and historical collection patterns. Also included in healthcare receivables are Medicare Part D settlement receivables, member premium receivables, and other CMS receivables. The Company reported $78.0 million and $48.0 million of healthcare receivables at June 30, 2022, and December 31, 2021,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agreements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 CarePoint Health was ultimately held and controlled by Vivek Garipalli, the Company's Chief Executive Officer and a significant stockholder of the Company. In May 2022, Mr. Garipalli and his family completed a donation of their interest in CarePoint Health to a non-profit organization called CarePoint Health Systems, Inc. Following the donation, Mr. Garipalli has remained a Manager of Hudson Hospital Propco, LLC, an affiliate of Hudson Hospital Opco, LLC. Additionally, certain affiliates of Mr. Garipalli are owed certain money from CarePoint Health for prior obligations, and Mr. Garipalli has an indirect interest in Sequoia Healthcare Services, LLC, which provides healthcare services to CarePoint Health. Expenses and fees incurred related to these contracts, recorded in net medical claims incurred, were $3.1 million and $3.5 million for the three months ended June 30, 2022 and 2021, respectively, and $5.7 million and $6.7 million for the six months ended June 30, 2022 and 2021, respectively. Additionally, $1.5 million and $2.3 million were payable to CarePoint Health as of June 30, 2022, and December 31, 2021, respectively.</w:t>
      </w:r>
    </w:p>
    <w:p>
      <w:pPr>
        <w:spacing w:after="0" w:line="18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contracted with Rogue Trading, LLC ("Rogue"), a marketing services provider. The Company's President, Andrew Toy, is related to the Chief Executive Officer of Rogue. There were no expenses and fees related to these contracts for the three and six months ended June 30, 2022. Expenses and fees incurred related to these contracts were $0.1 million and $0.2 million for the three and six months ended June 30, 2021, respectively.</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 contract with Medical Records Exchange, LLC (d/b/a ChartFast) pursuant to which the Company receives administrative services related to medical records via ChartFast's electronic applications and web portal platform. ChartFast is ultimately owned and controlled by Mr. Garipalli. Expenses and fees incurred related to this agreement were $0.1 million and less than $0.1 million for the three months ended June 30, 2022 and 2021, respectively, and $0.1 million and less than $0.1 million for the six months ended June 30, 2022 and 2021.</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 2021, the Company entered into a contract with Thyme Care, Inc. ("Thyme Care"), an oncology benefit management company, through which Thyme Care was engaged to provide concierge cancer coordination services to the Company's Insurance members in New Jersey and develop a provider network to help ensure member access to high-value oncology care. Mr. Garipalli is a member of the board of directors of Thyme Care and holds an equity interest of less than five percent (5%) of that entity. Expenses and fees incurred related to this agreement were $0.5 million and $0.9 million for the three and six months ended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7. Unpaid Claims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Activity in the liability for unpaid claims, including claims adjustment expenses, for the six months ended June 30, 2022 and 2021,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2021</w:t>
            </w:r>
          </w:p>
        </w:tc>
      </w:tr>
      <w:tr>
        <w:trPr>
          <w:trHeight w:val="181"/>
        </w:trPr>
        <w:tc>
          <w:tcPr>
            <w:tcW w:w="8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r>
      <w:tr>
        <w:trPr>
          <w:trHeight w:val="231"/>
        </w:trPr>
        <w:tc>
          <w:tcPr>
            <w:tcW w:w="844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b w:val="1"/>
                <w:bCs w:val="1"/>
                <w:color w:val="auto"/>
              </w:rPr>
              <w:t xml:space="preserve">Gross and net balance, beginning of period </w:t>
            </w:r>
            <w:r>
              <w:rPr>
                <w:rFonts w:ascii="Arial" w:cs="Arial" w:eastAsia="Arial" w:hAnsi="Arial"/>
                <w:sz w:val="23"/>
                <w:szCs w:val="23"/>
                <w:b w:val="1"/>
                <w:bCs w:val="1"/>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136,317</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Incurred related to:</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529,440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424,968</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incurred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509,212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428,021</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Paid related to:</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408,580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310,717</w:t>
            </w:r>
          </w:p>
        </w:tc>
      </w:tr>
      <w:tr>
        <w:trPr>
          <w:trHeight w:val="22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84,180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88,728</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paid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492,760</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399,445</w:t>
            </w:r>
          </w:p>
        </w:tc>
      </w:tr>
      <w:tr>
        <w:trPr>
          <w:trHeight w:val="223"/>
        </w:trPr>
        <w:tc>
          <w:tcPr>
            <w:tcW w:w="84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Gross and net balance, end of period </w:t>
            </w:r>
            <w:r>
              <w:rPr>
                <w:rFonts w:ascii="Arial" w:cs="Arial" w:eastAsia="Arial" w:hAnsi="Arial"/>
                <w:sz w:val="23"/>
                <w:szCs w:val="23"/>
                <w:b w:val="1"/>
                <w:bCs w:val="1"/>
                <w:color w:val="auto"/>
                <w:vertAlign w:val="superscript"/>
              </w:rPr>
              <w:t>(1)(2)</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152,769</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132,552</w:t>
            </w: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-342265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-933450</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-1516380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Includes amounts due to related parties.</w:t>
      </w:r>
    </w:p>
    <w:p>
      <w:pPr>
        <w:spacing w:after="0" w:line="45" w:lineRule="exact"/>
        <w:rPr>
          <w:rFonts w:ascii="Arial" w:cs="Arial" w:eastAsia="Arial" w:hAnsi="Arial"/>
          <w:sz w:val="19"/>
          <w:szCs w:val="19"/>
          <w:color w:val="auto"/>
          <w:vertAlign w:val="superscript"/>
        </w:rPr>
      </w:pPr>
    </w:p>
    <w:p>
      <w:pPr>
        <w:ind w:left="180" w:right="120" w:hanging="172"/>
        <w:spacing w:after="0" w:line="210" w:lineRule="auto"/>
        <w:tabs>
          <w:tab w:leader="none" w:pos="2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Differs from the total unpaid claims amount reported on the Condensed Consolidated Balance Sheets due to the fact the figure here excludes unpaid claims for the Company's Non-Insurance operations of $8.9 million and $4.6 million as of June 30, 2022 and December 31, 2021,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Unpaid Claims for Insurance Operations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Unpaid claims for Insurance operations were $152.8 million as of June 30, 2022. During the six months ended June 30, 2022, $84.2 million was paid for incurred claims attributable to insured events of prior years. A favorable development of $20.2 million was recognized during the six months ended June 30, 2022, resulting from the Company's actual experience with claims developing differently as compared to the Company's estimates as of December 31, 2021. An unfavorable development of $3.1 million was recognized during the six months ended June 30, 2021, resulting from the Company's actual experience with claims developing differently as compared to the Company's estimates as of December 31, 2020. Original estimates are increased or decreased, as additional information becomes known regarding individual claims. The ratio of current year medical claims paid as a percentage of current year net medical claims incurred was 77.2% for the six months ended June 30, 2022, and 73.1% for the six months ended June 30, 2021. This ratio serves as an indicator of claims processing speed, indicating that claims were processed at a faster rate during the six months ended June 30, 2022, than during the six months ended June 30, 2021.</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uses a variety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and Securities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Seek Convertible Note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25, 2020, Seek issued the Seek Convertible Note in the principal amount of $20.0 million. The note bears simple interest at an annual rate of 8.0% and matures on September 25, 2023, unless earlier accelerated, converted, or paid in full. The outstanding principal and any accrued but unpaid interest will become immediately due and payable at the election of the note holder upon the occurrence of any event of default as defined in the note. The outstanding principal and accrued but unpaid interest will convert into an equity interest in Seek if prior to maturity, repayment, or conversion of the note:</w:t>
      </w:r>
    </w:p>
    <w:p>
      <w:pPr>
        <w:spacing w:after="0" w:line="1" w:lineRule="exact"/>
        <w:rPr>
          <w:sz w:val="20"/>
          <w:szCs w:val="20"/>
          <w:color w:val="auto"/>
        </w:rPr>
      </w:pPr>
    </w:p>
    <w:p>
      <w:pPr>
        <w:jc w:val="both"/>
        <w:ind w:firstLine="8"/>
        <w:spacing w:after="0" w:line="255" w:lineRule="auto"/>
        <w:tabs>
          <w:tab w:leader="none" w:pos="25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note holder elects to convert the note, (2) upon the closing of Seek's next equity financing; or (3) upon consummation of an initial public offering of Seek's common stock or a SPAC or reverse merger transaction with Seek. The Seek Convertible Note is not guaranteed by Clover Health Investments, Corp. or any of its subsidiaries, other than Seek.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The Company analyzed the embedded features for derivative accounting consideration and determined that the features are clearly and closely related to the debt host and do not require separate accounting as a derivative.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amount of the note was $20.0 million and $19.9 million at June 30, 2022, and December 31, 2021, respectively. The Company capitalized $0.1 million of issuance costs which are being amortized using the effective interest method over the term of the note. Unamortized debt issuance costs were less than $0.1 million and $0.1 million at June 30, 2022, and December 31, 2021. Amortization of the debt issuance costs and interest expense on the note was $0.4 million and $0.4 million during the three months ended June 30, 2022 and 2021, respectively, and $0.8 million and $0.8 million during the six months ended June 30, 2022 and 2021,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interest rate was 8.2% during the three months ended June 30, 2022 and 2021, respectively, and 8.1% during the six months ended June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summarizes maturities of the Company's securities payable over the next five years as of June 30,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jc w:val="right"/>
              <w:ind w:right="593"/>
              <w:spacing w:after="0"/>
              <w:rPr>
                <w:sz w:val="20"/>
                <w:szCs w:val="20"/>
                <w:color w:val="auto"/>
              </w:rPr>
            </w:pPr>
            <w:r>
              <w:rPr>
                <w:rFonts w:ascii="Arial" w:cs="Arial" w:eastAsia="Arial" w:hAnsi="Arial"/>
                <w:sz w:val="14"/>
                <w:szCs w:val="14"/>
                <w:b w:val="1"/>
                <w:bCs w:val="1"/>
                <w:color w:val="auto"/>
              </w:rPr>
              <w:t>(in thousands)</w:t>
            </w:r>
          </w:p>
        </w:tc>
      </w:tr>
      <w:tr>
        <w:trPr>
          <w:trHeight w:val="236"/>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r>
      <w:tr>
        <w:trPr>
          <w:trHeight w:val="21"/>
        </w:trPr>
        <w:tc>
          <w:tcPr>
            <w:tcW w:w="8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Seek is currently in the process of winding down its operations. The Company currently expects that the Seek Convertible Note will be terminated upon the dissolution of Seek.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Letter of Credit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19, 2018, the Company entered into a secured letter of credit agreement (the "Letter") required for its subsidiary, Clover HMO of New Jersey, Inc., for an aggregate amount of up to $2.5 million with a commercial lender that renews on an annual basis. The Letter bears interest at a rate of 0.75%. There was an unused balance of $2.5 million at both June 30, 2022, and December 31,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and Convertible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was authorized to issue up to 2,500,000,000 shares of Class A common stock as of June 30, 2022, and December 31, 2021, and up to 500,000,000 shares of Class B common stock as of June 30, 2022, and December 31, 2021. As of June 30, 2022, and December 31, 2021, there were 383,008,614 and 352,645,626 shares of Class A common stock issued and outstanding, respectively. There were 94,395,168 and 118,206,768 shares of Class B common stock issued and outstanding as of June 30, 2022, and December 31, 2021, respectively. Class B common stock has 10 votes per share, and Class A common stock has one vote per share. The Company had 1,931,537 and 14,730 shares held in treasury as of June 30, 2022, and December 31, 2021, respectively. These amounts represent shares withheld to cover taxes upon vesting of employee stock-based awards.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authorized to issue 25,000,000 shares of preferred stock having a par value of $0.0001 per share, and the Company's board of directors (the "Board") has the authority to determine the rights, preferences, privileges, and restrictions, including voting rights, of those shares. As of June 30, 2022, there were no shares of preferred stock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November 2021, the Company sold 52,173,913 shares of Class A common stock at a public offering price of $5.75 per share for gross proceeds of approximately $300.0 million, before deducting underwriting discounts and commissions and other expenses payable by the Company, of $16.2 million.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share of Legacy Clover's preferred stock was convertible at the option of the holder, at any time and from time to time, and without the payment of additional consideration by the holder thereof, into fully paid and non-assessable shares of common stock.</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Pursuant to the Merger Agreement, all outstanding shares of Legacy Clover's preferred stock automatically converted into 139,444,346 shares of Class B Common Stock upon the closing of the Business Combination. For additional information, see Note 3 (Business Combination) in the 2021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Entity and Equity Method of Accounting</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4, 2022, Character Biosciences, Inc. (f/k/a Clover Therapeutics Company) ("Character Biosciences"), a subsidiary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as the primary beneficiary of the VIE because it does not have the power, through voting or similar rights and the license agreements, to direct the activities of Character Biosciences that most significantly impact Character Biosciences' economic performance.</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determined that it does have a significant influence over Character Biosciences and, therefore, it began accounting for its common stock investment in Character Biosciences using the equity method on February 4, 2022. The Company derecognized all of Character Biosciences' assets and liabilities from its balance sheet and its noncontrolling interest related to Character Biosciences, and recognized the retained common stock and preferred stock equity interests at fair values of $3.7 million and $4.9 million, respectively, which are included in equity method investment and other assets on the Condensed Consolidated Balance Sheets, and recognized a loss of $1.2 million and gain of $11.2 million, respectively, which is included in loss (gain) on investment on the Condensed Consolidated Statements of Operations and Comprehensive Loss for the three and six months ended June 30, 2022.</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the Company applies the equity method to account for its common stock interest in Character Biosciences, the initial value of the investment is adjusted periodically to recognize (1) the proportionate share of the investee’s net income or losses after the date of investment, (2) additional contributions made and dividends or distributions received, and (3) impairment losses resulting from adjustments to net realizable value. The Company eliminates all intercompany transactions in accounting for equity method investments and records the proportionate share of the investee’s net income or loss in equity in loss on investment on the Condensed Consolidated Statements of Operations and Comprehensive Loss.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With respect to the Company's preferred stock equity interest in Character Biosciences, the Company elected the measurement alternative to value this equity investment without a readily determinable fair value in accordance with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The carrying amount of the investment is included in other assets in the Condensed Consolidated Balance Sheets. In accordance with ASC 321, for each reporting period, the Company completes a qualitative assessment considering impairment indicators to evaluate whether the investment is impaired.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Savings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service contributions to the 401(k) Plan amounted to approximately $0.4 million and $0.2 million for the three months ended June 30, 2022 and 2021, respectively, and $0.7 million and $0.5 million for the six months ended June 30, 2022 and 2021, respectively, and are included in salaries and benefits on the Condensed Consolidated Statements of Operations and Comprehensive Loss. The Company's cash match is invested pursuant to the participant's contribution direction. Employer contributions are immediately 100.0% vested.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2020 Equity Incentive Plan (the "2020 Plan") provides for grants of restricted stocks units ("RSUs") and options to acquire shares of the Company's common stock, par value $0.0001 per share, to employees, directors, officers, and consultants of the Company, and the Company's 2020 Management Incentive Plan (the "2020 MIP") provides for grants of RSUs to our Chief Executive Officer and President. During the year ended December 31, 2021, the Company approved the 2020 Plan and the 2020 MIP, and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jc w:val="both"/>
        <w:spacing w:after="0" w:line="254" w:lineRule="auto"/>
        <w:rPr>
          <w:sz w:val="20"/>
          <w:szCs w:val="20"/>
          <w:color w:val="auto"/>
        </w:rPr>
      </w:pPr>
      <w:r>
        <w:rPr>
          <w:rFonts w:ascii="Arial" w:cs="Arial" w:eastAsia="Arial" w:hAnsi="Arial"/>
          <w:sz w:val="18"/>
          <w:szCs w:val="18"/>
          <w:color w:val="auto"/>
        </w:rPr>
        <w:t>Company's 2014 Equity Incentive Plan (the "2014 Plan") was terminated. On March 9, 2022, the Board adopted the 2022 Inducement Award Plan (the "Inducement Plan" and, collectively with the 2020 Plan, the 2020 MIP, and the 2014 Plan, the "Plans") and reserved 11,000,000 shares of Class A common stock for issuance under the Inducement Plan. The Inducement Plan was adopted by the Board without stockholder approval pursuant to Rule 5635(c)(4) of the Nasdaq Listing Rules. In accordance with Rule 5635(c)(4) of the Nasdaq Listing Rules, awards under the Inducement Plan may be made only to an employee who has not previously been an employee or member of the Board, or following a bona fide period of non-employment, if he or she is granted such award in connection with his or her commencement of employment with the Company, and such grant is an inducement material to his or her entering into employment with the Company.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maximum number of shares of the Company's common stock reserved for issuance over the term of the Plans, shares outstanding under the Plans, and shares remaining under the Plans as of June 30, 2022, and December 31, 2021,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176"/>
        </w:trPr>
        <w:tc>
          <w:tcPr>
            <w:tcW w:w="7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June 30, 2022</w:t>
            </w:r>
          </w:p>
        </w:tc>
        <w:tc>
          <w:tcPr>
            <w:tcW w:w="1320" w:type="dxa"/>
            <w:vAlign w:val="bottom"/>
            <w:gridSpan w:val="2"/>
          </w:tcPr>
          <w:p>
            <w:pPr>
              <w:ind w:left="180"/>
              <w:spacing w:after="0" w:line="176" w:lineRule="exact"/>
              <w:rPr>
                <w:sz w:val="20"/>
                <w:szCs w:val="20"/>
                <w:color w:val="auto"/>
              </w:rPr>
            </w:pPr>
            <w:r>
              <w:rPr>
                <w:rFonts w:ascii="Arial" w:cs="Arial" w:eastAsia="Arial" w:hAnsi="Arial"/>
                <w:sz w:val="18"/>
                <w:szCs w:val="18"/>
                <w:b w:val="1"/>
                <w:bCs w:val="1"/>
                <w:color w:val="auto"/>
              </w:rPr>
              <w:t>Authorized</w:t>
            </w:r>
          </w:p>
        </w:tc>
        <w:tc>
          <w:tcPr>
            <w:tcW w:w="1340" w:type="dxa"/>
            <w:vAlign w:val="bottom"/>
            <w:gridSpan w:val="2"/>
          </w:tcPr>
          <w:p>
            <w:pPr>
              <w:jc w:val="center"/>
              <w:ind w:right="60"/>
              <w:spacing w:after="0" w:line="176" w:lineRule="exact"/>
              <w:rPr>
                <w:sz w:val="20"/>
                <w:szCs w:val="20"/>
                <w:color w:val="auto"/>
              </w:rPr>
            </w:pPr>
            <w:r>
              <w:rPr>
                <w:rFonts w:ascii="Arial" w:cs="Arial" w:eastAsia="Arial" w:hAnsi="Arial"/>
                <w:sz w:val="18"/>
                <w:szCs w:val="18"/>
                <w:b w:val="1"/>
                <w:bCs w:val="1"/>
                <w:color w:val="auto"/>
                <w:w w:val="90"/>
              </w:rPr>
              <w:t>Outstanding</w:t>
            </w: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29"/>
        </w:trPr>
        <w:tc>
          <w:tcPr>
            <w:tcW w:w="7320" w:type="dxa"/>
            <w:vAlign w:val="bottom"/>
            <w:gridSpan w:val="2"/>
            <w:vMerge w:val="continue"/>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Under Plans</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Under Plans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Under Plans</w:t>
            </w:r>
          </w:p>
        </w:tc>
        <w:tc>
          <w:tcPr>
            <w:tcW w:w="0" w:type="dxa"/>
            <w:vAlign w:val="bottom"/>
          </w:tcPr>
          <w:p>
            <w:pPr>
              <w:spacing w:after="0"/>
              <w:rPr>
                <w:sz w:val="1"/>
                <w:szCs w:val="1"/>
                <w:color w:val="auto"/>
              </w:rPr>
            </w:pPr>
          </w:p>
        </w:tc>
      </w:tr>
      <w:tr>
        <w:trPr>
          <w:trHeight w:val="223"/>
        </w:trPr>
        <w:tc>
          <w:tcPr>
            <w:tcW w:w="7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2014 Plan</w:t>
            </w:r>
          </w:p>
        </w:tc>
        <w:tc>
          <w:tcPr>
            <w:tcW w:w="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95"/>
              </w:rPr>
              <w:t>54,402,264</w:t>
            </w:r>
          </w:p>
        </w:tc>
        <w:tc>
          <w:tcPr>
            <w:tcW w:w="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37,106,511</w:t>
            </w:r>
          </w:p>
        </w:tc>
        <w:tc>
          <w:tcPr>
            <w:tcW w:w="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2020 Plan</w:t>
            </w:r>
          </w:p>
        </w:tc>
        <w:tc>
          <w:tcPr>
            <w:tcW w:w="1240" w:type="dxa"/>
            <w:vAlign w:val="bottom"/>
          </w:tcPr>
          <w:p>
            <w:pPr>
              <w:ind w:left="360"/>
              <w:spacing w:after="0"/>
              <w:rPr>
                <w:sz w:val="20"/>
                <w:szCs w:val="20"/>
                <w:color w:val="auto"/>
              </w:rPr>
            </w:pPr>
            <w:r>
              <w:rPr>
                <w:rFonts w:ascii="Arial" w:cs="Arial" w:eastAsia="Arial" w:hAnsi="Arial"/>
                <w:sz w:val="18"/>
                <w:szCs w:val="18"/>
                <w:color w:val="auto"/>
                <w:w w:val="95"/>
              </w:rPr>
              <w:t>17,044,920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14,393,003</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16,239,281</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2020 MIP</w:t>
            </w:r>
          </w:p>
        </w:tc>
        <w:tc>
          <w:tcPr>
            <w:tcW w:w="124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5"/>
              </w:rPr>
              <w:t>33,426,983</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30,084,285</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Inducement Plan</w:t>
            </w:r>
          </w:p>
        </w:tc>
        <w:tc>
          <w:tcPr>
            <w:tcW w:w="1240" w:type="dxa"/>
            <w:vAlign w:val="bottom"/>
          </w:tcPr>
          <w:p>
            <w:pPr>
              <w:ind w:left="380"/>
              <w:spacing w:after="0"/>
              <w:rPr>
                <w:sz w:val="20"/>
                <w:szCs w:val="20"/>
                <w:color w:val="auto"/>
              </w:rPr>
            </w:pPr>
            <w:r>
              <w:rPr>
                <w:rFonts w:ascii="Arial" w:cs="Arial" w:eastAsia="Arial" w:hAnsi="Arial"/>
                <w:sz w:val="18"/>
                <w:szCs w:val="18"/>
                <w:color w:val="auto"/>
                <w:w w:val="93"/>
              </w:rPr>
              <w:t>11,000,000</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6,201,550</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4,798,450</w:t>
            </w:r>
          </w:p>
        </w:tc>
        <w:tc>
          <w:tcPr>
            <w:tcW w:w="0" w:type="dxa"/>
            <w:vAlign w:val="bottom"/>
          </w:tcPr>
          <w:p>
            <w:pPr>
              <w:spacing w:after="0"/>
              <w:rPr>
                <w:sz w:val="1"/>
                <w:szCs w:val="1"/>
                <w:color w:val="auto"/>
              </w:rPr>
            </w:pPr>
          </w:p>
        </w:tc>
      </w:tr>
    </w:tbl>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175"/>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80" w:type="dxa"/>
            <w:vAlign w:val="bottom"/>
          </w:tcPr>
          <w:p>
            <w:pPr>
              <w:spacing w:after="0"/>
              <w:rPr>
                <w:sz w:val="15"/>
                <w:szCs w:val="15"/>
                <w:color w:val="auto"/>
              </w:rPr>
            </w:pPr>
          </w:p>
        </w:tc>
        <w:tc>
          <w:tcPr>
            <w:tcW w:w="132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Authorized</w:t>
            </w:r>
          </w:p>
        </w:tc>
        <w:tc>
          <w:tcPr>
            <w:tcW w:w="1340" w:type="dxa"/>
            <w:vAlign w:val="bottom"/>
            <w:gridSpan w:val="2"/>
          </w:tcPr>
          <w:p>
            <w:pPr>
              <w:jc w:val="center"/>
              <w:ind w:right="60"/>
              <w:spacing w:after="0" w:line="176" w:lineRule="exact"/>
              <w:rPr>
                <w:sz w:val="20"/>
                <w:szCs w:val="20"/>
                <w:color w:val="auto"/>
              </w:rPr>
            </w:pPr>
            <w:r>
              <w:rPr>
                <w:rFonts w:ascii="Arial" w:cs="Arial" w:eastAsia="Arial" w:hAnsi="Arial"/>
                <w:sz w:val="18"/>
                <w:szCs w:val="18"/>
                <w:b w:val="1"/>
                <w:bCs w:val="1"/>
                <w:color w:val="auto"/>
                <w:w w:val="90"/>
              </w:rPr>
              <w:t>Outstanding</w:t>
            </w: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0"/>
        </w:trPr>
        <w:tc>
          <w:tcPr>
            <w:tcW w:w="7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Under Plans</w:t>
            </w: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Under Plans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Under Plans</w:t>
            </w:r>
          </w:p>
        </w:tc>
        <w:tc>
          <w:tcPr>
            <w:tcW w:w="0" w:type="dxa"/>
            <w:vAlign w:val="bottom"/>
          </w:tcPr>
          <w:p>
            <w:pPr>
              <w:spacing w:after="0"/>
              <w:rPr>
                <w:sz w:val="1"/>
                <w:szCs w:val="1"/>
                <w:color w:val="auto"/>
              </w:rPr>
            </w:pPr>
          </w:p>
        </w:tc>
      </w:tr>
      <w:tr>
        <w:trPr>
          <w:trHeight w:val="223"/>
        </w:trPr>
        <w:tc>
          <w:tcPr>
            <w:tcW w:w="7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2014 Plan</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5"/>
              </w:rPr>
              <w:t>54,402,264</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41,905,875</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2020 Plan</w:t>
            </w: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w w:val="95"/>
              </w:rPr>
              <w:t>30,641,401</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6,690,048</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23,442,323</w:t>
            </w: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2020 MIP</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33,426,983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33,426,983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as of the closing of the Business Combination, the 2014 Plan was terminated, at which time the outstanding awards previously granted thereunder were assumed by the Company, and no new awards are available for grant under the 2014 Plan. Shares that are expired, terminated, surrendered, or canceled under the 2014 Plan without having been fully exercised are available for awards under the 2020 Plan. Shares may be issued from authorized but unissued Company stock.</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Plans are administered by the Talent and Compensation Committee of the Board (the "Compensation Committee"). The options are subject to the terms and conditions applicable to options granted under the Plans, as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value of a share of common stock on the date of grant. Stock options awarded under the Plans expire 10 years after the grant date. Incentive stock options and non-statutory options granted to employees, directors, officers, and consultants of the Company typically vest over four or five years. RSU awards are subject to the terms and conditions set forth in the Plans and the applicable RSU grant agreement. Vesting and other restrictions applicable to RSU awards are determined at the discretion of the Compensation Committee. The number of shares of common stock subject to an RSU award is determined by dividing the cash value of an RSU award by the average closing price of a share of the Company's Class A common stock over a specified period through the date of grant, and such awards typically vest over four years from the grant date. The total estimated fair value is amortized as an expense over the requisite service period as approved by the Compensation Committee.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recorded stock-based compensation expense for options, RSUs, and performance restricted stock units ("PRSUs") granted under the Plans, the Inducement Plan, and discounts offered in connection with the Company's 2020 Employee Stock Purchase Plan ("ESPP") of $41.9 million and $43.0 million during the three months ended June 30, 2022 and 2021, respectively, and $82.6 million and $85.7 million during the six months ended June 30, 2022 and 2021, respectively, and such expenses are presented in salaries and benefits in the accompanying Condensed Consolidated Statements of Operations and Comprehensive Loss. Compensation cost presented in salaries and benefits in the accompanying Condensed Consolidated Statements of Operations and Comprehensive Loss were as follows: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2021</w:t>
            </w:r>
          </w:p>
        </w:tc>
      </w:tr>
      <w:tr>
        <w:trPr>
          <w:trHeight w:val="181"/>
        </w:trPr>
        <w:tc>
          <w:tcPr>
            <w:tcW w:w="8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r>
      <w:tr>
        <w:trPr>
          <w:trHeight w:val="231"/>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18,368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14,277</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27,374</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ESPP</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-25400</wp:posOffset>
            </wp:positionV>
            <wp:extent cx="5143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2021</w:t>
            </w:r>
          </w:p>
        </w:tc>
      </w:tr>
      <w:tr>
        <w:trPr>
          <w:trHeight w:val="181"/>
        </w:trPr>
        <w:tc>
          <w:tcPr>
            <w:tcW w:w="8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r>
      <w:tr>
        <w:trPr>
          <w:trHeight w:val="231"/>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35,283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28,329</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52,341</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ESPP</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85,739</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-24765</wp:posOffset>
            </wp:positionV>
            <wp:extent cx="514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17145"/>
                    </a:xfrm>
                    <a:prstGeom prst="rect">
                      <a:avLst/>
                    </a:prstGeom>
                    <a:noFill/>
                  </pic:spPr>
                </pic:pic>
              </a:graphicData>
            </a:graphic>
          </wp:anchor>
        </w:drawing>
      </w:r>
    </w:p>
    <w:p>
      <w:pPr>
        <w:spacing w:after="0" w:line="2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2022, there was approximately $388.9 million of unrecognized stock-based compensation expense related to unvested stock options, RSUs, PRSUs, and the ESPP, estimated to be recognized over a period of 3.96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stock options were granted during the six months ended June 30, 2022. The assumptions that the Company used in the Black-Scholes option-pricing model to determine the grant-date fair value of stock options granted for the six months ended June 30, 2021, respectively,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b w:val="1"/>
                <w:bCs w:val="1"/>
                <w:color w:val="auto"/>
                <w:w w:val="93"/>
              </w:rPr>
              <w:t>Six Months Ended June 30, 2021</w:t>
            </w:r>
          </w:p>
        </w:tc>
        <w:tc>
          <w:tcPr>
            <w:tcW w:w="0" w:type="dxa"/>
            <w:vAlign w:val="bottom"/>
          </w:tcPr>
          <w:p>
            <w:pPr>
              <w:spacing w:after="0"/>
              <w:rPr>
                <w:sz w:val="1"/>
                <w:szCs w:val="1"/>
                <w:color w:val="auto"/>
              </w:rPr>
            </w:pPr>
          </w:p>
        </w:tc>
      </w:tr>
      <w:tr>
        <w:trPr>
          <w:trHeight w:val="223"/>
        </w:trPr>
        <w:tc>
          <w:tcPr>
            <w:tcW w:w="8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8400" w:type="dxa"/>
            <w:vAlign w:val="bottom"/>
          </w:tcPr>
          <w:p>
            <w:pPr>
              <w:spacing w:after="0"/>
              <w:rPr>
                <w:sz w:val="20"/>
                <w:szCs w:val="20"/>
                <w:color w:val="auto"/>
              </w:rPr>
            </w:pPr>
            <w:r>
              <w:rPr>
                <w:rFonts w:ascii="Arial" w:cs="Arial" w:eastAsia="Arial" w:hAnsi="Arial"/>
                <w:sz w:val="18"/>
                <w:szCs w:val="18"/>
                <w:color w:val="auto"/>
                <w:w w:val="98"/>
              </w:rPr>
              <w:t>A summary of option activity under the 2020 Plan during the six months ended June 30, 2022, is as follows: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400" w:type="dxa"/>
            <w:vAlign w:val="bottom"/>
          </w:tcPr>
          <w:p>
            <w:pPr>
              <w:spacing w:after="0"/>
              <w:rPr>
                <w:sz w:val="24"/>
                <w:szCs w:val="24"/>
                <w:color w:val="auto"/>
              </w:rPr>
            </w:pPr>
          </w:p>
        </w:tc>
        <w:tc>
          <w:tcPr>
            <w:tcW w:w="146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5"/>
        </w:trPr>
        <w:tc>
          <w:tcPr>
            <w:tcW w:w="84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38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86"/>
              </w:rPr>
              <w:t>average exercise</w:t>
            </w:r>
          </w:p>
        </w:tc>
        <w:tc>
          <w:tcPr>
            <w:tcW w:w="0" w:type="dxa"/>
            <w:vAlign w:val="bottom"/>
          </w:tcPr>
          <w:p>
            <w:pPr>
              <w:spacing w:after="0"/>
              <w:rPr>
                <w:sz w:val="1"/>
                <w:szCs w:val="1"/>
                <w:color w:val="auto"/>
              </w:rPr>
            </w:pPr>
          </w:p>
        </w:tc>
      </w:tr>
      <w:tr>
        <w:trPr>
          <w:trHeight w:val="229"/>
        </w:trPr>
        <w:tc>
          <w:tcPr>
            <w:tcW w:w="8400" w:type="dxa"/>
            <w:vAlign w:val="bottom"/>
          </w:tcPr>
          <w:p>
            <w:pPr>
              <w:spacing w:after="0"/>
              <w:rPr>
                <w:sz w:val="19"/>
                <w:szCs w:val="19"/>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options</w:t>
            </w:r>
          </w:p>
        </w:tc>
        <w:tc>
          <w:tcPr>
            <w:tcW w:w="20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price</w:t>
            </w:r>
          </w:p>
        </w:tc>
        <w:tc>
          <w:tcPr>
            <w:tcW w:w="0" w:type="dxa"/>
            <w:vAlign w:val="bottom"/>
          </w:tcPr>
          <w:p>
            <w:pPr>
              <w:spacing w:after="0"/>
              <w:rPr>
                <w:sz w:val="1"/>
                <w:szCs w:val="1"/>
                <w:color w:val="auto"/>
              </w:rPr>
            </w:pPr>
          </w:p>
        </w:tc>
      </w:tr>
      <w:tr>
        <w:trPr>
          <w:trHeight w:val="223"/>
        </w:trPr>
        <w:tc>
          <w:tcPr>
            <w:tcW w:w="8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January 1, 2022</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1,753,799</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Granted during 2022</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(140,410)</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June 30, 2022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1,613,389</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2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FF0FC"/>
              <w:bottom w:val="single" w:sz="8" w:color="CFF0FC"/>
            </w:tcBorders>
            <w:vMerge w:val="restart"/>
          </w:tcPr>
          <w:p>
            <w:pPr>
              <w:ind w:left="5540"/>
              <w:spacing w:after="0"/>
              <w:rPr>
                <w:sz w:val="20"/>
                <w:szCs w:val="20"/>
                <w:color w:val="auto"/>
              </w:rPr>
            </w:pPr>
            <w:r>
              <w:rPr>
                <w:rFonts w:ascii="Arial" w:cs="Arial" w:eastAsia="Arial" w:hAnsi="Arial"/>
                <w:sz w:val="18"/>
                <w:szCs w:val="18"/>
                <w:color w:val="auto"/>
              </w:rPr>
              <w:t>22</w:t>
            </w: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84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4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-582295</wp:posOffset>
            </wp:positionV>
            <wp:extent cx="514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-745490</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8"/>
                <w:szCs w:val="18"/>
                <w:color w:val="auto"/>
                <w:w w:val="98"/>
              </w:rPr>
              <w:t>A summary of option activity under the 2014 Plan during the six months ended June 30, 2022, is as follows:</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0" w:type="dxa"/>
            <w:vAlign w:val="bottom"/>
          </w:tcPr>
          <w:p>
            <w:pPr>
              <w:spacing w:after="0"/>
              <w:rPr>
                <w:sz w:val="24"/>
                <w:szCs w:val="24"/>
                <w:color w:val="auto"/>
              </w:rPr>
            </w:pPr>
          </w:p>
        </w:tc>
        <w:tc>
          <w:tcPr>
            <w:tcW w:w="146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24"/>
                <w:szCs w:val="24"/>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5"/>
        </w:trPr>
        <w:tc>
          <w:tcPr>
            <w:tcW w:w="84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3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6"/>
              </w:rPr>
              <w:t>average exercise</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19"/>
                <w:szCs w:val="19"/>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options</w:t>
            </w:r>
          </w:p>
        </w:tc>
        <w:tc>
          <w:tcPr>
            <w:tcW w:w="200" w:type="dxa"/>
            <w:vAlign w:val="bottom"/>
          </w:tcPr>
          <w:p>
            <w:pPr>
              <w:spacing w:after="0"/>
              <w:rPr>
                <w:sz w:val="19"/>
                <w:szCs w:val="19"/>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price</w:t>
            </w:r>
          </w:p>
        </w:tc>
        <w:tc>
          <w:tcPr>
            <w:tcW w:w="0" w:type="dxa"/>
            <w:vAlign w:val="bottom"/>
          </w:tcPr>
          <w:p>
            <w:pPr>
              <w:spacing w:after="0"/>
              <w:rPr>
                <w:sz w:val="1"/>
                <w:szCs w:val="1"/>
                <w:color w:val="auto"/>
              </w:rPr>
            </w:pPr>
          </w:p>
        </w:tc>
      </w:tr>
      <w:tr>
        <w:trPr>
          <w:trHeight w:val="223"/>
        </w:trPr>
        <w:tc>
          <w:tcPr>
            <w:tcW w:w="8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January 1, 2022</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31,155,742</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Granted during 2022</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(4,167,956)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(634,742)</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June 30, 2022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26,353,044</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84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-25400</wp:posOffset>
            </wp:positionV>
            <wp:extent cx="514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-187960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stock options granted during the six months ended June 30, 2021, was $3.36 per share.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June 30, 2022, outstanding stock options, substantially all of which are expected to vest, had an aggregate intrinsic value of $5.0 million, and a weighted-average remaining contractual term of 6.79 years. As of June 30, 2022, there were 20,401,636 options exercisable under the Plan, with an aggregate intrinsic value of $5.0 million, a weighted-average exercise price of $2.87 per share, and a weighted-average remaining contractual term of 6.49 years. The total value of stock options exercised during the six months ended June 30, 2022 and 2021, was $11.3 million and $8.2 million, respectively. Cash received from stock option exercises during the six months ended June 30, 2022 and 2021, totaled $0.9 million and $1.6 million, respectively.</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terms of the applicable Plan and stock option award agreement, employees may exercise options at any time after grant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Company must redeem those shares at the original exercise price and remit payment of the forfeited portion of shares back to the employee.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i w:val="1"/>
                <w:iCs w:val="1"/>
                <w:color w:val="auto"/>
              </w:rPr>
              <w:t>Restricted Stock Units</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0"/>
                <w:szCs w:val="20"/>
                <w:color w:val="auto"/>
              </w:rPr>
            </w:pPr>
            <w:r>
              <w:rPr>
                <w:rFonts w:ascii="Arial" w:cs="Arial" w:eastAsia="Arial" w:hAnsi="Arial"/>
                <w:sz w:val="18"/>
                <w:szCs w:val="18"/>
                <w:color w:val="auto"/>
              </w:rPr>
              <w:t>A summary of total RSU activity is presented below:</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8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175"/>
        </w:trPr>
        <w:tc>
          <w:tcPr>
            <w:tcW w:w="8360" w:type="dxa"/>
            <w:vAlign w:val="bottom"/>
          </w:tcPr>
          <w:p>
            <w:pPr>
              <w:spacing w:after="0"/>
              <w:rPr>
                <w:sz w:val="15"/>
                <w:szCs w:val="15"/>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9"/>
              </w:rPr>
              <w:t>Number of RSUs</w:t>
            </w:r>
          </w:p>
        </w:tc>
        <w:tc>
          <w:tcPr>
            <w:tcW w:w="120" w:type="dxa"/>
            <w:vAlign w:val="bottom"/>
          </w:tcPr>
          <w:p>
            <w:pPr>
              <w:spacing w:after="0"/>
              <w:rPr>
                <w:sz w:val="15"/>
                <w:szCs w:val="15"/>
                <w:color w:val="auto"/>
              </w:rPr>
            </w:pPr>
          </w:p>
        </w:tc>
        <w:tc>
          <w:tcPr>
            <w:tcW w:w="12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per share</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January 1, 2021</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Granted during 2021</w:t>
            </w:r>
          </w:p>
        </w:tc>
        <w:tc>
          <w:tcPr>
            <w:tcW w:w="1400" w:type="dxa"/>
            <w:vAlign w:val="bottom"/>
          </w:tcPr>
          <w:p>
            <w:pPr>
              <w:jc w:val="right"/>
              <w:spacing w:after="0"/>
              <w:rPr>
                <w:sz w:val="20"/>
                <w:szCs w:val="20"/>
                <w:color w:val="auto"/>
              </w:rPr>
            </w:pPr>
            <w:r>
              <w:rPr>
                <w:rFonts w:ascii="Arial" w:cs="Arial" w:eastAsia="Arial" w:hAnsi="Arial"/>
                <w:sz w:val="18"/>
                <w:szCs w:val="18"/>
                <w:color w:val="auto"/>
              </w:rPr>
              <w:t>16,844,216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June 30,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16,748,382</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128"/>
        </w:trPr>
        <w:tc>
          <w:tcPr>
            <w:tcW w:w="83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Outstanding, January 1, 2022</w:t>
            </w:r>
          </w:p>
        </w:tc>
        <w:tc>
          <w:tcPr>
            <w:tcW w:w="1400" w:type="dxa"/>
            <w:vAlign w:val="bottom"/>
          </w:tcPr>
          <w:p>
            <w:pPr>
              <w:jc w:val="right"/>
              <w:spacing w:after="0"/>
              <w:rPr>
                <w:sz w:val="20"/>
                <w:szCs w:val="20"/>
                <w:color w:val="auto"/>
              </w:rPr>
            </w:pPr>
            <w:r>
              <w:rPr>
                <w:rFonts w:ascii="Arial" w:cs="Arial" w:eastAsia="Arial" w:hAnsi="Arial"/>
                <w:sz w:val="18"/>
                <w:szCs w:val="18"/>
                <w:color w:val="auto"/>
              </w:rPr>
              <w:t>21,294,841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 during 2022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15,774,310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Released</w:t>
            </w:r>
          </w:p>
        </w:tc>
        <w:tc>
          <w:tcPr>
            <w:tcW w:w="1400" w:type="dxa"/>
            <w:vAlign w:val="bottom"/>
          </w:tcPr>
          <w:p>
            <w:pPr>
              <w:jc w:val="right"/>
              <w:spacing w:after="0"/>
              <w:rPr>
                <w:sz w:val="20"/>
                <w:szCs w:val="20"/>
                <w:color w:val="auto"/>
              </w:rPr>
            </w:pPr>
            <w:r>
              <w:rPr>
                <w:rFonts w:ascii="Arial" w:cs="Arial" w:eastAsia="Arial" w:hAnsi="Arial"/>
                <w:sz w:val="18"/>
                <w:szCs w:val="18"/>
                <w:color w:val="auto"/>
              </w:rPr>
              <w:t>(4,072,392)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(721,131)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Outstanding, June 30,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32,275,628</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granted certain PRSUs which become eligible to vest if prior to the vesting date the average closing price of one share of the Company's common stock for 90 consecutive days equals or exceeds a specified price (the "Market PRSUs"). Additionally, the Company has granted PRSUs that vest based on pre-established milestones including Company performance. The grant date fair value of the Market PRSUs is recognized as expense over the vesting period under the accelerated attribution method and is not adjusted in future periods for the success or failure to achieve the specified market condition. The Company has also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determined the requisite service period for the PRSUs with multiple performance conditions to be the longest of the explicit, implicit, or derived service period for each tranche.</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Market PRSUs granted prior to 2021. The grant date fair value of Market PRSUs was determined using a Monte Carlo simulation model that incorporated multiple valuation assumptions, including the probability of achieving the specified market condition and the following assumptions: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Six months ended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6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(1)</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40.7 %</w:t>
            </w:r>
          </w:p>
        </w:tc>
      </w:tr>
      <w:tr>
        <w:trPr>
          <w:trHeight w:val="270"/>
        </w:trPr>
        <w:tc>
          <w:tcPr>
            <w:tcW w:w="9640" w:type="dxa"/>
            <w:vAlign w:val="bottom"/>
          </w:tcPr>
          <w:p>
            <w:pPr>
              <w:ind w:left="20"/>
              <w:spacing w:after="0"/>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(2)</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0.5</w:t>
            </w:r>
          </w:p>
        </w:tc>
      </w:tr>
      <w:tr>
        <w:trPr>
          <w:trHeight w:val="270"/>
        </w:trPr>
        <w:tc>
          <w:tcPr>
            <w:tcW w:w="9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(3)</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bl>
    <w:p>
      <w:pPr>
        <w:spacing w:after="0" w:line="43"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Expected volatility is based on a blend of peer group company historical data adjusted for the Company's leverage.</w:t>
      </w:r>
    </w:p>
    <w:p>
      <w:pPr>
        <w:ind w:left="160" w:hanging="152"/>
        <w:spacing w:after="0" w:line="187"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Risk-free interest rate based on U.S. Treasury yields with a term equal to the remaining Performance Period as of the grant date.</w:t>
      </w:r>
    </w:p>
    <w:p>
      <w:pPr>
        <w:ind w:left="160" w:hanging="152"/>
        <w:spacing w:after="0" w:line="197" w:lineRule="auto"/>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Dividend yield was assumed to be zero as the Company does not anticipate paying dividends.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A summary of PRSU activity is presented below:</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80" w:type="dxa"/>
            <w:vAlign w:val="bottom"/>
          </w:tcPr>
          <w:p>
            <w:pPr>
              <w:spacing w:after="0"/>
              <w:rPr>
                <w:sz w:val="24"/>
                <w:szCs w:val="24"/>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1"/>
              </w:rPr>
              <w:t>Number of</w:t>
            </w: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Weighted-average</w:t>
            </w:r>
          </w:p>
        </w:tc>
        <w:tc>
          <w:tcPr>
            <w:tcW w:w="0" w:type="dxa"/>
            <w:vAlign w:val="bottom"/>
          </w:tcPr>
          <w:p>
            <w:pPr>
              <w:spacing w:after="0"/>
              <w:rPr>
                <w:sz w:val="1"/>
                <w:szCs w:val="1"/>
                <w:color w:val="auto"/>
              </w:rPr>
            </w:pPr>
          </w:p>
        </w:tc>
      </w:tr>
      <w:tr>
        <w:trPr>
          <w:trHeight w:val="176"/>
        </w:trPr>
        <w:tc>
          <w:tcPr>
            <w:tcW w:w="82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70"/>
              <w:spacing w:after="0" w:line="176" w:lineRule="exact"/>
              <w:rPr>
                <w:sz w:val="20"/>
                <w:szCs w:val="20"/>
                <w:color w:val="auto"/>
              </w:rPr>
            </w:pPr>
            <w:r>
              <w:rPr>
                <w:rFonts w:ascii="Arial" w:cs="Arial" w:eastAsia="Arial" w:hAnsi="Arial"/>
                <w:sz w:val="18"/>
                <w:szCs w:val="18"/>
                <w:b w:val="1"/>
                <w:bCs w:val="1"/>
                <w:color w:val="auto"/>
                <w:w w:val="96"/>
              </w:rPr>
              <w:t>grant date fair</w:t>
            </w:r>
          </w:p>
        </w:tc>
        <w:tc>
          <w:tcPr>
            <w:tcW w:w="0" w:type="dxa"/>
            <w:vAlign w:val="bottom"/>
          </w:tcPr>
          <w:p>
            <w:pPr>
              <w:spacing w:after="0"/>
              <w:rPr>
                <w:sz w:val="1"/>
                <w:szCs w:val="1"/>
                <w:color w:val="auto"/>
              </w:rPr>
            </w:pPr>
          </w:p>
        </w:tc>
      </w:tr>
      <w:tr>
        <w:trPr>
          <w:trHeight w:val="229"/>
        </w:trPr>
        <w:tc>
          <w:tcPr>
            <w:tcW w:w="8280" w:type="dxa"/>
            <w:vAlign w:val="bottom"/>
          </w:tcPr>
          <w:p>
            <w:pPr>
              <w:spacing w:after="0"/>
              <w:rPr>
                <w:sz w:val="19"/>
                <w:szCs w:val="19"/>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PRSUs</w:t>
            </w:r>
          </w:p>
        </w:tc>
        <w:tc>
          <w:tcPr>
            <w:tcW w:w="12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value per share</w:t>
            </w:r>
          </w:p>
        </w:tc>
        <w:tc>
          <w:tcPr>
            <w:tcW w:w="0" w:type="dxa"/>
            <w:vAlign w:val="bottom"/>
          </w:tcPr>
          <w:p>
            <w:pPr>
              <w:spacing w:after="0"/>
              <w:rPr>
                <w:sz w:val="1"/>
                <w:szCs w:val="1"/>
                <w:color w:val="auto"/>
              </w:rPr>
            </w:pPr>
          </w:p>
        </w:tc>
      </w:tr>
      <w:tr>
        <w:trPr>
          <w:trHeight w:val="223"/>
        </w:trPr>
        <w:tc>
          <w:tcPr>
            <w:tcW w:w="8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January 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Granted during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27,460,364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5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27,460,364</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128"/>
        </w:trPr>
        <w:tc>
          <w:tcPr>
            <w:tcW w:w="8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January 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27,818,524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Granted during 2022</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(265,306)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27,539,954</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there was $129.1 million of unrecognized share-based compensation expense related to PRSUs, which is expected to be recognized over a period of 3.96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Employee Stock Purchase Plan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6, 2021, stockholders approved the ESPP. The ESPP provides a means by which eligible employees and/or eligible service providers of either the Company or designated related companies and affiliates may be given an opportunity to purchase shares of Class A common stock at a 15.0% discount from the fair market value of the common stock as determined on specific dates at specified intervals. Subject to adjustments provided in the ESPP that are discussed below, the maximum number of shares of common stock that may be purchased under the ESPP is 6,312,038 shares, and the maximum number of shares that may be purchased on any single purchase date by any one participant is 5,000 shares. As of June 30, 2022, 6,097,241 shares of Class A common stock were available for issuance under the ESPP.</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first day of each fiscal year, beginning with the 2022 fiscal year and ending on (and including) the first day of the 2030 fiscal year, the calculation of the maximum number of ESPP shares shall include automatic increases in an amount equal to the lesser of (i) 1.0% of the total number of shares of Class A common stock outstanding on the last day of the calendar month prior to the date of such automatic increase, and (ii) such number of shares of Class A common stock as determined by the administrator of the ESPP; provided that the maximum number of shares of Class A common stock reserved under the ESPP shall not exceed 10.0% of the total outstanding capital stock of the Company (inclusive of the shares reserved under the ESPP) as of January 7, 2021, on an as-converted basis.</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initial offering period for the ESPP was five months, commencing on September 1, 2021, and ending on January 31, 2022. The second offering period began on March 14, 2022, and will end on November 22, 2022, and the third offering period will begin on November 23, 2022, and end on May 21, 2023.</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As of the date of this report, 214,797 shares of the Company's Class A common stock have been purchased or distributed pursuant to the ESPP.</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that the Company used in the Black-Scholes option-pricing model to determine the fair value of the purchase rights under the ESPP for the six months ended June 30, 2022, were as follows: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Six months ended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p>
        </w:tc>
        <w:tc>
          <w:tcPr>
            <w:tcW w:w="4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102.0 %</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450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and December 2017, the Company issued warrants to purchase 139,629 shares of the Company's common stock at an exercise price of $2.61 per share, and 122,052 shares of the Company's common stock at an exercise price of $3.45 per share, respectively, as part of payment to certain providers for services provided to the Company. These warrants were automatically exercised in connection with the Business Combination. For additional information, see Note 1 (Organization and Operations), Note 3 (Business Combination), and Note 18 (Employee Benefit Plans) to the financial statements in the 2021 Form 10-K.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consolidated effective tax rate of the Company for the three months ended June 30, 2022 and 2021, was (0.0%) and (0.0%), respectively. The consolidated effective tax rate of the Company for the six months ended June 30, 2022 and 2021, was (0.0%) and (0.0%), respectively. The Company continues to be in a net operating loss and net deferred tax asset position. As a result, and in accordance with accounting standards, the Company recorded a valuation allowance to reduce the value of the net deferred tax assets to zero. The Company believes that as of June 30, 2022, it had no material uncertain tax positions. Interest and penalties related to unrecognized tax expense (benefits) are recognized in income tax expense, when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liabilities for interest and penalties accrued as of June 30, 2022, and December 31,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share attributable to Class A common stockholders and Class B common stockholders (collectively,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was calculated as follows:</w:t>
      </w:r>
    </w:p>
    <w:p>
      <w:pPr>
        <w:spacing w:after="0" w:line="236" w:lineRule="exact"/>
        <w:rPr>
          <w:sz w:val="20"/>
          <w:szCs w:val="20"/>
          <w:color w:val="auto"/>
        </w:rPr>
      </w:pPr>
    </w:p>
    <w:p>
      <w:pPr>
        <w:jc w:val="center"/>
        <w:ind w:left="8500"/>
        <w:spacing w:after="0"/>
        <w:rPr>
          <w:sz w:val="20"/>
          <w:szCs w:val="20"/>
          <w:color w:val="auto"/>
        </w:rPr>
      </w:pPr>
      <w:r>
        <w:rPr>
          <w:rFonts w:ascii="Arial" w:cs="Arial" w:eastAsia="Arial" w:hAnsi="Arial"/>
          <w:sz w:val="18"/>
          <w:szCs w:val="18"/>
          <w:b w:val="1"/>
          <w:bCs w:val="1"/>
          <w:color w:val="auto"/>
        </w:rPr>
        <w:t>Three Months Ended</w:t>
      </w:r>
    </w:p>
    <w:p>
      <w:pPr>
        <w:jc w:val="center"/>
        <w:ind w:left="8500"/>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8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80" w:type="dxa"/>
            <w:vAlign w:val="bottom"/>
            <w:gridSpan w:val="4"/>
          </w:tcPr>
          <w:p>
            <w:pPr>
              <w:jc w:val="right"/>
              <w:ind w:right="710"/>
              <w:spacing w:after="0" w:line="133"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640" w:type="dxa"/>
            <w:vAlign w:val="bottom"/>
          </w:tcPr>
          <w:p>
            <w:pPr>
              <w:spacing w:after="0"/>
              <w:rPr>
                <w:sz w:val="16"/>
                <w:szCs w:val="16"/>
                <w:color w:val="auto"/>
              </w:rPr>
            </w:pPr>
          </w:p>
        </w:tc>
        <w:tc>
          <w:tcPr>
            <w:tcW w:w="2600" w:type="dxa"/>
            <w:vAlign w:val="bottom"/>
            <w:gridSpan w:val="6"/>
          </w:tcPr>
          <w:p>
            <w:pPr>
              <w:ind w:left="120"/>
              <w:spacing w:after="0"/>
              <w:rPr>
                <w:sz w:val="20"/>
                <w:szCs w:val="20"/>
                <w:color w:val="auto"/>
              </w:rPr>
            </w:pPr>
            <w:r>
              <w:rPr>
                <w:rFonts w:ascii="Arial" w:cs="Arial" w:eastAsia="Arial" w:hAnsi="Arial"/>
                <w:sz w:val="14"/>
                <w:szCs w:val="14"/>
                <w:b w:val="1"/>
                <w:bCs w:val="1"/>
                <w:color w:val="auto"/>
                <w:w w:val="99"/>
              </w:rPr>
              <w:t>except per share and share amounts)</w:t>
            </w:r>
          </w:p>
        </w:tc>
        <w:tc>
          <w:tcPr>
            <w:tcW w:w="0" w:type="dxa"/>
            <w:vAlign w:val="bottom"/>
          </w:tcPr>
          <w:p>
            <w:pPr>
              <w:spacing w:after="0"/>
              <w:rPr>
                <w:sz w:val="1"/>
                <w:szCs w:val="1"/>
                <w:color w:val="auto"/>
              </w:rPr>
            </w:pPr>
          </w:p>
        </w:tc>
      </w:tr>
      <w:tr>
        <w:trPr>
          <w:trHeight w:val="25"/>
        </w:trPr>
        <w:tc>
          <w:tcPr>
            <w:tcW w:w="8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(317,611)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number of common shares and common share equivalents outstanding</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476,061,809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408,156,682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vMerge w:val="restart"/>
          </w:tcPr>
          <w:p>
            <w:pPr>
              <w:ind w:left="554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8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6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6" w:name="page27"/>
    <w:bookmarkEnd w:id="26"/>
    <w:p>
      <w:pPr>
        <w:jc w:val="center"/>
        <w:ind w:left="8620"/>
        <w:spacing w:after="0"/>
        <w:rPr>
          <w:sz w:val="20"/>
          <w:szCs w:val="20"/>
          <w:color w:val="auto"/>
        </w:rPr>
      </w:pPr>
      <w:r>
        <w:rPr>
          <w:rFonts w:ascii="Arial" w:cs="Arial" w:eastAsia="Arial" w:hAnsi="Arial"/>
          <w:sz w:val="18"/>
          <w:szCs w:val="18"/>
          <w:b w:val="1"/>
          <w:bCs w:val="1"/>
          <w:color w:val="auto"/>
        </w:rPr>
        <w:t>Six Months Ended</w:t>
      </w:r>
    </w:p>
    <w:p>
      <w:pPr>
        <w:jc w:val="center"/>
        <w:ind w:left="8620"/>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133"/>
        </w:trPr>
        <w:tc>
          <w:tcPr>
            <w:tcW w:w="8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gridSpan w:val="4"/>
          </w:tcPr>
          <w:p>
            <w:pPr>
              <w:jc w:val="right"/>
              <w:ind w:right="710"/>
              <w:spacing w:after="0" w:line="133" w:lineRule="exact"/>
              <w:rPr>
                <w:sz w:val="20"/>
                <w:szCs w:val="20"/>
                <w:color w:val="auto"/>
              </w:rPr>
            </w:pPr>
            <w:r>
              <w:rPr>
                <w:rFonts w:ascii="Arial" w:cs="Arial" w:eastAsia="Arial" w:hAnsi="Arial"/>
                <w:sz w:val="14"/>
                <w:szCs w:val="14"/>
                <w:b w:val="1"/>
                <w:bCs w:val="1"/>
                <w:color w:val="auto"/>
              </w:rPr>
              <w:t>(in thousands,</w:t>
            </w:r>
          </w:p>
        </w:tc>
      </w:tr>
      <w:tr>
        <w:trPr>
          <w:trHeight w:val="186"/>
        </w:trPr>
        <w:tc>
          <w:tcPr>
            <w:tcW w:w="8720" w:type="dxa"/>
            <w:vAlign w:val="bottom"/>
          </w:tcPr>
          <w:p>
            <w:pPr>
              <w:spacing w:after="0"/>
              <w:rPr>
                <w:sz w:val="16"/>
                <w:szCs w:val="16"/>
                <w:color w:val="auto"/>
              </w:rPr>
            </w:pPr>
          </w:p>
        </w:tc>
        <w:tc>
          <w:tcPr>
            <w:tcW w:w="246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w w:val="94"/>
              </w:rPr>
              <w:t>except per share and share amounts)</w:t>
            </w:r>
          </w:p>
        </w:tc>
      </w:tr>
      <w:tr>
        <w:trPr>
          <w:trHeight w:val="26"/>
        </w:trPr>
        <w:tc>
          <w:tcPr>
            <w:tcW w:w="8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(366,028)</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(179,490)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(366,028)</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number of common shares and common share equivalents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474,553,609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395,422,849</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r>
      <w:tr>
        <w:trPr>
          <w:trHeight w:val="21"/>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the Company had a net loss during the three and six months ended June 30, 2022 and 2021, the Company's potentially dilutive securities, which include stock options, RSUs, PRSUs, preferred stock, and warrants to purchase shares of common stock and preferred stock, have been excluded from the computation of diluted net loss per share, as the effect would be anti-dilutive. Therefore, during these periods, the diluted common shares outstanding equals the average common shares outstanding.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ectPr>
          <w:pgSz w:w="11900" w:h="16838" w:orient="portrait"/>
          <w:cols w:equalWidth="0" w:num="1">
            <w:col w:w="11240"/>
          </w:cols>
          <w:pgMar w:left="320" w:top="10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PRSUs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Warrants to purchase common stock (as converted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anti-dilutive shares excluded from computation of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Options to purchase common stock</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PRSUs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Warrants to purchase common stock (as converted to common stock)</w:t>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anti-dilutive shares excluded from computation of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Actions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w:t>
      </w:r>
    </w:p>
    <w:p>
      <w:pPr>
        <w:jc w:val="center"/>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2"/>
        </w:trPr>
        <w:tc>
          <w:tcPr>
            <w:tcW w:w="1260" w:type="dxa"/>
            <w:vAlign w:val="bottom"/>
          </w:tcPr>
          <w:p>
            <w:pPr>
              <w:jc w:val="right"/>
              <w:spacing w:after="0"/>
              <w:rPr>
                <w:sz w:val="20"/>
                <w:szCs w:val="20"/>
                <w:color w:val="auto"/>
              </w:rPr>
            </w:pPr>
            <w:r>
              <w:rPr>
                <w:rFonts w:ascii="Arial" w:cs="Arial" w:eastAsia="Arial" w:hAnsi="Arial"/>
                <w:sz w:val="18"/>
                <w:szCs w:val="18"/>
                <w:color w:val="auto"/>
              </w:rPr>
              <w:t>27,966,433</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36,944,571</w:t>
            </w:r>
          </w:p>
        </w:tc>
      </w:tr>
      <w:tr>
        <w:trPr>
          <w:trHeight w:val="229"/>
        </w:trPr>
        <w:tc>
          <w:tcPr>
            <w:tcW w:w="1260" w:type="dxa"/>
            <w:vAlign w:val="bottom"/>
          </w:tcPr>
          <w:p>
            <w:pPr>
              <w:jc w:val="right"/>
              <w:spacing w:after="0"/>
              <w:rPr>
                <w:sz w:val="20"/>
                <w:szCs w:val="20"/>
                <w:color w:val="auto"/>
              </w:rPr>
            </w:pPr>
            <w:r>
              <w:rPr>
                <w:rFonts w:ascii="Arial" w:cs="Arial" w:eastAsia="Arial" w:hAnsi="Arial"/>
                <w:sz w:val="18"/>
                <w:szCs w:val="18"/>
                <w:color w:val="auto"/>
              </w:rPr>
              <w:t>32,275,628</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17,524,474</w:t>
            </w:r>
          </w:p>
        </w:tc>
      </w:t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27,539,954</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bl>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38,533,271</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87,782,015</w:t>
      </w:r>
      <w:r>
        <w:rPr>
          <w:rFonts w:ascii="Arial" w:cs="Arial" w:eastAsia="Arial" w:hAnsi="Arial"/>
          <w:sz w:val="15"/>
          <w:szCs w:val="15"/>
          <w:color w:val="auto"/>
        </w:rPr>
        <w:t>93,002,316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6459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w:t>
      </w:r>
    </w:p>
    <w:p>
      <w:pPr>
        <w:jc w:val="center"/>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62"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7"/>
          <w:szCs w:val="17"/>
          <w:color w:val="auto"/>
        </w:rPr>
        <w:t>27,966,433</w:t>
      </w:r>
      <w:r>
        <w:rPr>
          <w:sz w:val="20"/>
          <w:szCs w:val="20"/>
          <w:color w:val="auto"/>
        </w:rPr>
        <w:tab/>
      </w:r>
      <w:r>
        <w:rPr>
          <w:rFonts w:ascii="Arial" w:cs="Arial" w:eastAsia="Arial" w:hAnsi="Arial"/>
          <w:sz w:val="17"/>
          <w:szCs w:val="17"/>
          <w:color w:val="auto"/>
        </w:rPr>
        <w:t>36,944,571</w:t>
      </w:r>
    </w:p>
    <w:p>
      <w:pPr>
        <w:spacing w:after="0" w:line="35"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7"/>
          <w:szCs w:val="17"/>
          <w:color w:val="auto"/>
        </w:rPr>
        <w:t>32,275,628</w:t>
      </w:r>
      <w:r>
        <w:rPr>
          <w:sz w:val="20"/>
          <w:szCs w:val="20"/>
          <w:color w:val="auto"/>
        </w:rPr>
        <w:tab/>
      </w:r>
      <w:r>
        <w:rPr>
          <w:rFonts w:ascii="Arial" w:cs="Arial" w:eastAsia="Arial" w:hAnsi="Arial"/>
          <w:sz w:val="17"/>
          <w:szCs w:val="17"/>
          <w:color w:val="auto"/>
        </w:rPr>
        <w:t>17,524,474</w:t>
      </w:r>
    </w:p>
    <w:p>
      <w:pPr>
        <w:spacing w:after="0" w:line="34" w:lineRule="exact"/>
        <w:rPr>
          <w:sz w:val="20"/>
          <w:szCs w:val="20"/>
          <w:color w:val="auto"/>
        </w:rPr>
      </w:pPr>
    </w:p>
    <w:p>
      <w:pPr>
        <w:ind w:left="380"/>
        <w:spacing w:after="0"/>
        <w:tabs>
          <w:tab w:leader="none" w:pos="2320" w:val="left"/>
        </w:tabs>
        <w:rPr>
          <w:sz w:val="20"/>
          <w:szCs w:val="20"/>
          <w:color w:val="auto"/>
        </w:rPr>
      </w:pPr>
      <w:r>
        <w:rPr>
          <w:rFonts w:ascii="Arial" w:cs="Arial" w:eastAsia="Arial" w:hAnsi="Arial"/>
          <w:sz w:val="18"/>
          <w:szCs w:val="18"/>
          <w:color w:val="auto"/>
        </w:rPr>
        <w:t>27,539,954</w:t>
      </w:r>
      <w:r>
        <w:rPr>
          <w:sz w:val="20"/>
          <w:szCs w:val="20"/>
          <w:color w:val="auto"/>
        </w:rPr>
        <w:tab/>
      </w:r>
      <w:r>
        <w:rPr>
          <w:rFonts w:ascii="Arial" w:cs="Arial" w:eastAsia="Arial" w:hAnsi="Arial"/>
          <w:sz w:val="18"/>
          <w:szCs w:val="18"/>
          <w:color w:val="auto"/>
        </w:rPr>
        <w:t>—</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38,533,271</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87,782,015</w:t>
      </w:r>
      <w:r>
        <w:rPr>
          <w:rFonts w:ascii="Arial" w:cs="Arial" w:eastAsia="Arial" w:hAnsi="Arial"/>
          <w:sz w:val="15"/>
          <w:szCs w:val="15"/>
          <w:color w:val="auto"/>
        </w:rPr>
        <w:t>93,002,316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6459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509" w:lineRule="exact"/>
        <w:rPr>
          <w:sz w:val="20"/>
          <w:szCs w:val="20"/>
          <w:color w:val="auto"/>
        </w:rPr>
      </w:pPr>
    </w:p>
    <w:p>
      <w:pPr>
        <w:sectPr>
          <w:pgSz w:w="11900" w:h="16838" w:orient="portrait"/>
          <w:cols w:equalWidth="0" w:num="2">
            <w:col w:w="7920" w:space="720"/>
            <w:col w:w="2600"/>
          </w:cols>
          <w:pgMar w:left="320" w:top="1014" w:right="339" w:bottom="1440" w:gutter="0" w:footer="0" w:header="0"/>
          <w:type w:val="continuous"/>
        </w:sectPr>
      </w:pPr>
    </w:p>
    <w:p>
      <w:pPr>
        <w:spacing w:after="0" w:line="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Various lawsuits against the Company may arise in the ordinary course of the Company's business. Contingent liabilities arising from ordinary course litigation, income taxes and other matters are not expected to be material in relation to the financial position of the Company. At June 30, 2022, and December 31, 2021, respectively, there were no material known contingent liabilities arising outside the normal course of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Class Actions and Derivative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w:t>
      </w:r>
    </w:p>
    <w:p>
      <w:pPr>
        <w:sectPr>
          <w:pgSz w:w="11900" w:h="16838" w:orient="portrait"/>
          <w:cols w:equalWidth="0" w:num="1">
            <w:col w:w="11240"/>
          </w:cols>
          <w:pgMar w:left="320" w:top="1014" w:right="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type w:val="continuous"/>
        </w:sectPr>
      </w:pPr>
    </w:p>
    <w:bookmarkStart w:id="27" w:name="page28"/>
    <w:bookmarkEnd w:id="27"/>
    <w:p>
      <w:pPr>
        <w:jc w:val="both"/>
        <w:spacing w:after="0" w:line="291" w:lineRule="auto"/>
        <w:rPr>
          <w:sz w:val="20"/>
          <w:szCs w:val="20"/>
          <w:color w:val="auto"/>
        </w:rPr>
      </w:pPr>
      <w:r>
        <w:rPr>
          <w:rFonts w:ascii="Arial" w:cs="Arial" w:eastAsia="Arial" w:hAnsi="Arial"/>
          <w:sz w:val="16"/>
          <w:szCs w:val="16"/>
          <w:color w:val="auto"/>
        </w:rPr>
        <w:t>The complaints generally relate to allegations published in an article issued on February 4, 2021, by Hindenburg Research LLC (the "Hindenburg Article").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 In April 2021, the Middle District of Tennessee class actions were consolidated under Bond v. Clover Health Investments, Corp. et al., Case No. 3:21-cv-00096 (M.D. Tenn.) as the lead case. On June 28, 2021, the plaintiffs filed an amended complaint, which also generally relates to allegations published in the Hindenburg article, but adds, among other things, allegations from confidential witnesses who purport to be former employees of the Company. The Company moved to dismiss the amended complaint on August 28, 2021; that motion was denied on February 28, 2022.</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Parallel shareholder derivative actions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certain of the Company’s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fourth action was filed in the United States District of Delaware and is captioned Wiegand v. Garipalli, et al., Case No. 1:21-cv-01053 (D. Del.). The initial complaint asserted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Sankaranarayanan v. Palihapitiya, et al., Index No. 655420/2021 (N.Y. Sup. Ct., N.Y. Cnty.). The complaint asserts breach of fiduciary duty and unjust enrichment. The complaint names certain former officers and directors as defendants. It seeks, among other things, unspecified damages and an order directing Clover to take certain actions to reform and improve its corporate governance and internal procedures.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sixth action was filed in the Delaware Court of Chancery and is captioned Davies v. Garipalli, et al., No. 2021-1016-SG (Del. Ch.). The complaint asserts breach of fiduciary duty. The complaint names certain current and former officers and directors as defendants. It seeks, among other things, unspecified damages and an order directing Clover to take certain actions to reform and improve its corporate governance and internal procedures. The seventh action was filed in the Supreme Court of the State of New York and is captioned Uvaydov v. Palihapitiya, et al., Index No. 656978/2021 (N.Y Sup. Ct., N.Y. Cnty.). The complaint asserts breach of fiduciary duty, unjust enrichment, and aiding and abetting a breach of fiduciary duty. The complaint names certain current and former officers and directors as defendants. It seeks, among other things, unspecified damages, restitution, and disgorgement of profits obtained by defendants.</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10, 2021, the Middle District of Tennessee shareholder derivative actions described above were consolidated under Sun v. Garipalli, et al., Case No. 3:21-cv-00311 (M.D. Tenn.) as lead case. The court designated co-lead counsel and liaison counsel and ordered the parties to submit a proposed schedule for the initial stage of the case. On November 30, 2021, the Sun and Luthra plaintiffs filed an amended complaint, asserting violations of section 14(a) of the Exchange Act, breach of fiduciary duty, aiding and abetting a breach of fiduciary duty, unjust enrichment, abuse of control, gross mismanagement, waste of corporate assets, and contribution under sections 10(b) and 21D of the Exchange Act. The amended complaint generally relates to the allegations published in the Hindenburg Article, and names certain current and former officers and directors as defendants. It seeks, among other things, unspecified damages and an order requiring Clover to take certain actions to enhance Clover's corporate governance policies and procedures.</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16, 2021, the two District of Delaware derivative actions were consolidated under In re Clover Health Investments, Corp. Derivative Litigation, Case No. 1:21-cv-00191-LPS (Consolidated). The Furman complaint was deemed the operative complaint. On April 19, 2022, the plaintiff in the Wiegand action filed an amended complaint, asserting violations of Sections 10(b), 20(a), and 21D of the Exchange Act, breach of fiduciary duty, waste of corporate assets, and unjust enrichment against certain current and former officers and directors. The amended complaint seeks, among other things, unspecified damages and an order requiring Clover to take certain actions to improve Clover’s corporate governance and internal procedures.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The parties in the New York derivative actions agreed to consolidate those two actions into one action. On February 2, 2022, the parties filed a stipulation with the court to that effect. Upon the court’s approval, the complaint in the Sankaranarayanan action will be deemed the operative complaint in the New York derivative actions.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these cases remain in the preliminary stages. Given the inherent uncertainty of litigation and the legal standards that must be met, including class certification and success on the merits, the Company has determined that it is not probable or estimable that an unfavorable outcome or potential loss will occur. Clover intends to vigorously defend itself against the claims asserted against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Guaranty Assessments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state guaranty assessment laws, including those related to state cooperative failures in the industry, the Company may be assessed, up to prescribed limits, for certain obligations to the policyholders and claimants of insolvent insurance companies that write the same line or lines of business as the Company.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Non-Insurance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2021, the Company began participating in the DC Model, which utilizes a structured model intended to reduce expenditures and preserve or enhance quality of care for beneficiaries in Medicare fee-for-service ("FFS"). As a participating entity in the DC Model with a global risk arrangement, the Company assumes the responsibility of guaranteeing the performance of its care network. The DC Model is intended to reduce the administrative burden, support a focus on complex, chronically ill patients, and encourage physician organizations that have not typically participated in Medicare FFS to serve beneficiaries in Medicare FFS. The Company's operations in connection with the DC Model are included in the Non-Insurance operating segment. See Note 17 (Operating Segments) for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Guarantees</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the Company's arrangements with third-party providers require it to guarantee the performance of its care network to CMS, which, if not obtained, could potentially result in payment to CMS. The Non-Insurance performance year obligation and receivable are amortized on a straight-line basis for the amount that represents the completed performance. The Company is unable to estimate the maximum potential amount of future payments under the guarantee. This is attributable to the stop-loss arrangement and the corridors (tiered levels) in the arrangement. A certain percentage of these arrangements will still be the responsibility of the Company, in addition to a number of variables that are not reasonable for the Company to estimate, such as, but not limited to, risk ratings and benchmark trends that have an inestimable impact on the estimate of future payments.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2 (Summary of Significant Accounting Policies) and Note 22 (Direct Contracting) in the 2021 Form 10-K.</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w w:val="94"/>
              </w:rPr>
              <w:t>The tables below include the financial statement impacts of the performance guarantee:</w:t>
            </w: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500"/>
        </w:trPr>
        <w:tc>
          <w:tcPr>
            <w:tcW w:w="6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b w:val="1"/>
                <w:bCs w:val="1"/>
                <w:color w:val="auto"/>
              </w:rPr>
              <w:t>June 30, 2022</w:t>
            </w:r>
          </w:p>
        </w:tc>
        <w:tc>
          <w:tcPr>
            <w:tcW w:w="5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7"/>
              </w:rPr>
              <w:t>June 30, 2021</w:t>
            </w:r>
          </w:p>
        </w:tc>
      </w:tr>
      <w:tr>
        <w:trPr>
          <w:trHeight w:val="181"/>
        </w:trPr>
        <w:tc>
          <w:tcPr>
            <w:tcW w:w="6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5"/>
                <w:szCs w:val="15"/>
                <w:color w:val="auto"/>
              </w:rPr>
            </w:pPr>
          </w:p>
        </w:tc>
      </w:tr>
      <w:tr>
        <w:trPr>
          <w:trHeight w:val="231"/>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Non-Insurance performance year receivable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1,164,682</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436,334</w:t>
            </w:r>
          </w:p>
        </w:tc>
      </w:tr>
      <w:tr>
        <w:trPr>
          <w:trHeight w:val="227"/>
        </w:trPr>
        <w:tc>
          <w:tcPr>
            <w:tcW w:w="6640" w:type="dxa"/>
            <w:vAlign w:val="bottom"/>
          </w:tcPr>
          <w:p>
            <w:pPr>
              <w:ind w:left="20"/>
              <w:spacing w:after="0" w:line="228" w:lineRule="exact"/>
              <w:rPr>
                <w:sz w:val="20"/>
                <w:szCs w:val="20"/>
                <w:color w:val="auto"/>
              </w:rPr>
            </w:pPr>
            <w:r>
              <w:rPr>
                <w:rFonts w:ascii="Arial" w:cs="Arial" w:eastAsia="Arial" w:hAnsi="Arial"/>
                <w:sz w:val="18"/>
                <w:szCs w:val="18"/>
                <w:color w:val="auto"/>
              </w:rPr>
              <w:t xml:space="preserve">Non-Insurance performance year obligation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1,214,312</w:t>
            </w: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455,143</w:t>
            </w:r>
          </w:p>
        </w:tc>
      </w:tr>
    </w:tbl>
    <w:p>
      <w:pPr>
        <w:ind w:left="180" w:hanging="154"/>
        <w:spacing w:after="0" w:line="207" w:lineRule="auto"/>
        <w:tabs>
          <w:tab w:leader="none" w:pos="1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This obligation represents the consideration due to providers, net of the shared savings or loss for the period and amortization of the liability.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jc w:val="center"/>
              <w:ind w:right="173"/>
              <w:spacing w:after="0"/>
              <w:rPr>
                <w:sz w:val="20"/>
                <w:szCs w:val="20"/>
                <w:color w:val="auto"/>
              </w:rPr>
            </w:pPr>
            <w:r>
              <w:rPr>
                <w:rFonts w:ascii="Arial" w:cs="Arial" w:eastAsia="Arial" w:hAnsi="Arial"/>
                <w:sz w:val="18"/>
                <w:szCs w:val="18"/>
                <w:b w:val="1"/>
                <w:bCs w:val="1"/>
                <w:color w:val="auto"/>
                <w:w w:val="92"/>
              </w:rPr>
              <w:t>Three Months Ended</w:t>
            </w:r>
          </w:p>
        </w:tc>
        <w:tc>
          <w:tcPr>
            <w:tcW w:w="2260" w:type="dxa"/>
            <w:vAlign w:val="bottom"/>
            <w:gridSpan w:val="2"/>
          </w:tcPr>
          <w:p>
            <w:pPr>
              <w:ind w:left="12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0"/>
        </w:trPr>
        <w:tc>
          <w:tcPr>
            <w:tcW w:w="6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b w:val="1"/>
                <w:bCs w:val="1"/>
                <w:color w:val="auto"/>
                <w:w w:val="88"/>
              </w:rPr>
              <w:t>June 30, 2022</w:t>
            </w:r>
          </w:p>
        </w:tc>
        <w:tc>
          <w:tcPr>
            <w:tcW w:w="7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181"/>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2"/>
          </w:tcPr>
          <w:p>
            <w:pPr>
              <w:ind w:left="164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5"/>
                <w:szCs w:val="15"/>
                <w:color w:val="auto"/>
              </w:rPr>
            </w:pPr>
          </w:p>
        </w:tc>
      </w:tr>
      <w:tr>
        <w:trPr>
          <w:trHeight w:val="231"/>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the Non-Insurance performance year receivable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center"/>
              <w:ind w:left="1133"/>
              <w:spacing w:after="0"/>
              <w:rPr>
                <w:sz w:val="20"/>
                <w:szCs w:val="20"/>
                <w:color w:val="auto"/>
              </w:rPr>
            </w:pPr>
            <w:r>
              <w:rPr>
                <w:rFonts w:ascii="Arial" w:cs="Arial" w:eastAsia="Arial" w:hAnsi="Arial"/>
                <w:sz w:val="18"/>
                <w:szCs w:val="18"/>
                <w:color w:val="auto"/>
                <w:w w:val="93"/>
              </w:rPr>
              <w:t>(577,968)</w:t>
            </w: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1"/>
              </w:rPr>
              <w:t>(1,164,682)</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Amortization of the Non-Insurance performance year obligation</w:t>
            </w:r>
          </w:p>
        </w:tc>
        <w:tc>
          <w:tcPr>
            <w:tcW w:w="200" w:type="dxa"/>
            <w:vAlign w:val="bottom"/>
          </w:tcPr>
          <w:p>
            <w:pPr>
              <w:spacing w:after="0"/>
              <w:rPr>
                <w:sz w:val="19"/>
                <w:szCs w:val="19"/>
                <w:color w:val="auto"/>
              </w:rPr>
            </w:pPr>
          </w:p>
        </w:tc>
        <w:tc>
          <w:tcPr>
            <w:tcW w:w="2100" w:type="dxa"/>
            <w:vAlign w:val="bottom"/>
          </w:tcPr>
          <w:p>
            <w:pPr>
              <w:jc w:val="center"/>
              <w:ind w:left="1153"/>
              <w:spacing w:after="0"/>
              <w:rPr>
                <w:sz w:val="20"/>
                <w:szCs w:val="20"/>
                <w:color w:val="auto"/>
              </w:rPr>
            </w:pPr>
            <w:r>
              <w:rPr>
                <w:rFonts w:ascii="Arial" w:cs="Arial" w:eastAsia="Arial" w:hAnsi="Arial"/>
                <w:sz w:val="18"/>
                <w:szCs w:val="18"/>
                <w:color w:val="auto"/>
                <w:w w:val="89"/>
              </w:rPr>
              <w:t>577,968</w:t>
            </w:r>
          </w:p>
        </w:tc>
        <w:tc>
          <w:tcPr>
            <w:tcW w:w="700" w:type="dxa"/>
            <w:vAlign w:val="bottom"/>
          </w:tcPr>
          <w:p>
            <w:pPr>
              <w:spacing w:after="0"/>
              <w:rPr>
                <w:sz w:val="19"/>
                <w:szCs w:val="19"/>
                <w:color w:val="auto"/>
              </w:rPr>
            </w:pPr>
          </w:p>
        </w:tc>
        <w:tc>
          <w:tcPr>
            <w:tcW w:w="1560" w:type="dxa"/>
            <w:vAlign w:val="bottom"/>
          </w:tcPr>
          <w:p>
            <w:pPr>
              <w:jc w:val="center"/>
              <w:ind w:left="590"/>
              <w:spacing w:after="0"/>
              <w:rPr>
                <w:sz w:val="20"/>
                <w:szCs w:val="20"/>
                <w:color w:val="auto"/>
              </w:rPr>
            </w:pPr>
            <w:r>
              <w:rPr>
                <w:rFonts w:ascii="Arial" w:cs="Arial" w:eastAsia="Arial" w:hAnsi="Arial"/>
                <w:sz w:val="18"/>
                <w:szCs w:val="18"/>
                <w:color w:val="auto"/>
                <w:w w:val="89"/>
              </w:rPr>
              <w:t>1,164,682</w:t>
            </w:r>
          </w:p>
        </w:tc>
      </w:tr>
      <w:tr>
        <w:trPr>
          <w:trHeight w:val="108"/>
        </w:trPr>
        <w:tc>
          <w:tcPr>
            <w:tcW w:w="6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Non-Insurance revenue</w:t>
            </w:r>
          </w:p>
        </w:tc>
        <w:tc>
          <w:tcPr>
            <w:tcW w:w="200" w:type="dxa"/>
            <w:vAlign w:val="bottom"/>
          </w:tcPr>
          <w:p>
            <w:pPr>
              <w:spacing w:after="0"/>
              <w:rPr>
                <w:sz w:val="20"/>
                <w:szCs w:val="20"/>
                <w:color w:val="auto"/>
              </w:rPr>
            </w:pPr>
          </w:p>
        </w:tc>
        <w:tc>
          <w:tcPr>
            <w:tcW w:w="2100" w:type="dxa"/>
            <w:vAlign w:val="bottom"/>
          </w:tcPr>
          <w:p>
            <w:pPr>
              <w:jc w:val="center"/>
              <w:ind w:left="1153"/>
              <w:spacing w:after="0"/>
              <w:rPr>
                <w:sz w:val="20"/>
                <w:szCs w:val="20"/>
                <w:color w:val="auto"/>
              </w:rPr>
            </w:pPr>
            <w:r>
              <w:rPr>
                <w:rFonts w:ascii="Arial" w:cs="Arial" w:eastAsia="Arial" w:hAnsi="Arial"/>
                <w:sz w:val="18"/>
                <w:szCs w:val="18"/>
                <w:color w:val="auto"/>
                <w:w w:val="89"/>
              </w:rPr>
              <w:t>577,370</w:t>
            </w:r>
          </w:p>
        </w:tc>
        <w:tc>
          <w:tcPr>
            <w:tcW w:w="700" w:type="dxa"/>
            <w:vAlign w:val="bottom"/>
          </w:tcPr>
          <w:p>
            <w:pPr>
              <w:spacing w:after="0"/>
              <w:rPr>
                <w:sz w:val="20"/>
                <w:szCs w:val="20"/>
                <w:color w:val="auto"/>
              </w:rPr>
            </w:pPr>
          </w:p>
        </w:tc>
        <w:tc>
          <w:tcPr>
            <w:tcW w:w="1560" w:type="dxa"/>
            <w:vAlign w:val="bottom"/>
          </w:tcPr>
          <w:p>
            <w:pPr>
              <w:jc w:val="center"/>
              <w:ind w:left="590"/>
              <w:spacing w:after="0"/>
              <w:rPr>
                <w:sz w:val="20"/>
                <w:szCs w:val="20"/>
                <w:color w:val="auto"/>
              </w:rPr>
            </w:pPr>
            <w:r>
              <w:rPr>
                <w:rFonts w:ascii="Arial" w:cs="Arial" w:eastAsia="Arial" w:hAnsi="Arial"/>
                <w:sz w:val="18"/>
                <w:szCs w:val="18"/>
                <w:color w:val="auto"/>
                <w:w w:val="89"/>
              </w:rPr>
              <w:t>1,172,268</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8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jc w:val="center"/>
              <w:ind w:right="113"/>
              <w:spacing w:after="0"/>
              <w:rPr>
                <w:sz w:val="20"/>
                <w:szCs w:val="20"/>
                <w:color w:val="auto"/>
              </w:rPr>
            </w:pPr>
            <w:r>
              <w:rPr>
                <w:rFonts w:ascii="Arial" w:cs="Arial" w:eastAsia="Arial" w:hAnsi="Arial"/>
                <w:sz w:val="18"/>
                <w:szCs w:val="18"/>
                <w:b w:val="1"/>
                <w:bCs w:val="1"/>
                <w:color w:val="auto"/>
                <w:w w:val="90"/>
              </w:rPr>
              <w:t>Three and Six Months</w:t>
            </w:r>
          </w:p>
        </w:tc>
      </w:tr>
      <w:tr>
        <w:trPr>
          <w:trHeight w:val="220"/>
        </w:trPr>
        <w:tc>
          <w:tcPr>
            <w:tcW w:w="8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jc w:val="center"/>
              <w:ind w:right="113"/>
              <w:spacing w:after="0"/>
              <w:rPr>
                <w:sz w:val="20"/>
                <w:szCs w:val="20"/>
                <w:color w:val="auto"/>
              </w:rPr>
            </w:pPr>
            <w:r>
              <w:rPr>
                <w:rFonts w:ascii="Arial" w:cs="Arial" w:eastAsia="Arial" w:hAnsi="Arial"/>
                <w:sz w:val="18"/>
                <w:szCs w:val="18"/>
                <w:b w:val="1"/>
                <w:bCs w:val="1"/>
                <w:color w:val="auto"/>
                <w:w w:val="89"/>
              </w:rPr>
              <w:t>Ended June 30, 2021</w:t>
            </w:r>
          </w:p>
        </w:tc>
      </w:tr>
      <w:tr>
        <w:trPr>
          <w:trHeight w:val="192"/>
        </w:trPr>
        <w:tc>
          <w:tcPr>
            <w:tcW w:w="8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1"/>
              </w:rPr>
              <w:t>(in thousands)</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the Non-Insurance performance year receivable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center"/>
              <w:ind w:left="1213"/>
              <w:spacing w:after="0"/>
              <w:rPr>
                <w:sz w:val="20"/>
                <w:szCs w:val="20"/>
                <w:color w:val="auto"/>
              </w:rPr>
            </w:pPr>
            <w:r>
              <w:rPr>
                <w:rFonts w:ascii="Arial" w:cs="Arial" w:eastAsia="Arial" w:hAnsi="Arial"/>
                <w:sz w:val="18"/>
                <w:szCs w:val="18"/>
                <w:color w:val="auto"/>
                <w:w w:val="93"/>
              </w:rPr>
              <w:t>(218,167)</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Amortization of the Non-Insurance performance year obligation</w:t>
            </w:r>
          </w:p>
        </w:tc>
        <w:tc>
          <w:tcPr>
            <w:tcW w:w="200" w:type="dxa"/>
            <w:vAlign w:val="bottom"/>
          </w:tcPr>
          <w:p>
            <w:pPr>
              <w:spacing w:after="0"/>
              <w:rPr>
                <w:sz w:val="19"/>
                <w:szCs w:val="19"/>
                <w:color w:val="auto"/>
              </w:rPr>
            </w:pPr>
          </w:p>
        </w:tc>
        <w:tc>
          <w:tcPr>
            <w:tcW w:w="2060" w:type="dxa"/>
            <w:vAlign w:val="bottom"/>
          </w:tcPr>
          <w:p>
            <w:pPr>
              <w:jc w:val="center"/>
              <w:ind w:left="1233"/>
              <w:spacing w:after="0"/>
              <w:rPr>
                <w:sz w:val="20"/>
                <w:szCs w:val="20"/>
                <w:color w:val="auto"/>
              </w:rPr>
            </w:pPr>
            <w:r>
              <w:rPr>
                <w:rFonts w:ascii="Arial" w:cs="Arial" w:eastAsia="Arial" w:hAnsi="Arial"/>
                <w:sz w:val="18"/>
                <w:szCs w:val="18"/>
                <w:color w:val="auto"/>
                <w:w w:val="89"/>
              </w:rPr>
              <w:t>218,167</w:t>
            </w:r>
          </w:p>
        </w:tc>
      </w:tr>
      <w:tr>
        <w:trPr>
          <w:trHeight w:val="108"/>
        </w:trPr>
        <w:tc>
          <w:tcPr>
            <w:tcW w:w="89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Non-Insurance revenue</w:t>
            </w:r>
          </w:p>
        </w:tc>
        <w:tc>
          <w:tcPr>
            <w:tcW w:w="200" w:type="dxa"/>
            <w:vAlign w:val="bottom"/>
          </w:tcPr>
          <w:p>
            <w:pPr>
              <w:spacing w:after="0"/>
              <w:rPr>
                <w:sz w:val="20"/>
                <w:szCs w:val="20"/>
                <w:color w:val="auto"/>
              </w:rPr>
            </w:pPr>
          </w:p>
        </w:tc>
        <w:tc>
          <w:tcPr>
            <w:tcW w:w="2060" w:type="dxa"/>
            <w:vAlign w:val="bottom"/>
          </w:tcPr>
          <w:p>
            <w:pPr>
              <w:jc w:val="center"/>
              <w:ind w:left="1233"/>
              <w:spacing w:after="0"/>
              <w:rPr>
                <w:sz w:val="20"/>
                <w:szCs w:val="20"/>
                <w:color w:val="auto"/>
              </w:rPr>
            </w:pPr>
            <w:r>
              <w:rPr>
                <w:rFonts w:ascii="Arial" w:cs="Arial" w:eastAsia="Arial" w:hAnsi="Arial"/>
                <w:sz w:val="18"/>
                <w:szCs w:val="18"/>
                <w:color w:val="auto"/>
                <w:w w:val="89"/>
              </w:rPr>
              <w:t>216,373</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Operating Segments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manages its operations based on two reportable operating segments: Insurance and Non-Insurance. Through the Insurance segment, the Company provides PPO and HMO plans to Medicare Advantage members in several states. The Company's Non-Insurance segment consists of its operations in connection with its participation in CMS' Direct Contracting program. All other clinical services and all corporate overhead not included in the Insurance or Non-Insurance segments are included within Corporate/Other. These segment groupings are consistent with information used by the Chief Executive Officer, the Company's CODM, to assess performance and allocate resources.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2022, the Company updated the names of its Medicare Advantage and Direct Contracting segments to the Insurance and Non-Insurance segments, respectively. The Company believes that this approach better reflects each segment’s current role and contribution to its business. There has been no change to the existing composition of these segments, and previously reported consolidated and segment-level financial results of the Company were not impacted by these changes.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results by operating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Insurance</w:t>
            </w:r>
          </w:p>
        </w:tc>
        <w:tc>
          <w:tcPr>
            <w:tcW w:w="14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Non-Insurance</w:t>
            </w:r>
          </w:p>
        </w:tc>
        <w:tc>
          <w:tcPr>
            <w:tcW w:w="14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Corporate/Other</w:t>
            </w:r>
          </w:p>
        </w:tc>
        <w:tc>
          <w:tcPr>
            <w:tcW w:w="160" w:type="dxa"/>
            <w:vAlign w:val="bottom"/>
          </w:tcPr>
          <w:p>
            <w:pPr>
              <w:spacing w:after="0"/>
              <w:rPr>
                <w:sz w:val="17"/>
                <w:szCs w:val="17"/>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17"/>
                <w:szCs w:val="17"/>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0"/>
        </w:trPr>
        <w:tc>
          <w:tcPr>
            <w:tcW w:w="4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Premiums earned, net (Net of ceded premiums of</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268,505</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268,505</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Non-Insurance revenue</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577,370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577,370</w:t>
            </w: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medical claims incurred</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247,275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612,122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858,786</w:t>
            </w:r>
          </w:p>
        </w:tc>
        <w:tc>
          <w:tcPr>
            <w:tcW w:w="0" w:type="dxa"/>
            <w:vAlign w:val="bottom"/>
          </w:tcPr>
          <w:p>
            <w:pPr>
              <w:spacing w:after="0"/>
              <w:rPr>
                <w:sz w:val="1"/>
                <w:szCs w:val="1"/>
                <w:color w:val="auto"/>
              </w:rPr>
            </w:pPr>
          </w:p>
        </w:tc>
      </w:tr>
      <w:tr>
        <w:trPr>
          <w:trHeight w:val="223"/>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Gross profit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(34,732)</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426,723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1,298,224</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1,143,146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(804,887)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2,063,206</w:t>
            </w:r>
          </w:p>
        </w:tc>
        <w:tc>
          <w:tcPr>
            <w:tcW w:w="0" w:type="dxa"/>
            <w:vAlign w:val="bottom"/>
          </w:tcPr>
          <w:p>
            <w:pPr>
              <w:spacing w:after="0"/>
              <w:rPr>
                <w:sz w:val="1"/>
                <w:szCs w:val="1"/>
                <w:color w:val="auto"/>
              </w:rPr>
            </w:pPr>
          </w:p>
        </w:tc>
      </w:tr>
      <w:tr>
        <w:trPr>
          <w:trHeight w:val="358"/>
        </w:trPr>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Insurance</w:t>
            </w:r>
          </w:p>
        </w:tc>
        <w:tc>
          <w:tcPr>
            <w:tcW w:w="14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Non-Insurance</w:t>
            </w:r>
          </w:p>
        </w:tc>
        <w:tc>
          <w:tcPr>
            <w:tcW w:w="14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Corporate/Other</w:t>
            </w: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4"/>
                <w:szCs w:val="24"/>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0"/>
        </w:trPr>
        <w:tc>
          <w:tcPr>
            <w:tcW w:w="41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Premiums earned, net (Net of ceded premiums of</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546,674</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546,674</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Non-Insurance revenue</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1,172,268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1,172,268</w:t>
            </w: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(46,165)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medical claims incurred</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515,401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1,720,508</w:t>
            </w:r>
          </w:p>
        </w:tc>
        <w:tc>
          <w:tcPr>
            <w:tcW w:w="0" w:type="dxa"/>
            <w:vAlign w:val="bottom"/>
          </w:tcPr>
          <w:p>
            <w:pPr>
              <w:spacing w:after="0"/>
              <w:rPr>
                <w:sz w:val="1"/>
                <w:szCs w:val="1"/>
                <w:color w:val="auto"/>
              </w:rPr>
            </w:pPr>
          </w:p>
        </w:tc>
      </w:tr>
      <w:tr>
        <w:trPr>
          <w:trHeight w:val="223"/>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Gross profit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(33,833)</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83,830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(81,190)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426,723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1,298,224</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1,143,146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(804,887)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Insurance</w:t>
            </w:r>
          </w:p>
        </w:tc>
        <w:tc>
          <w:tcPr>
            <w:tcW w:w="14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Non-Insurance</w:t>
            </w: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Corporate/Other</w:t>
            </w:r>
          </w:p>
        </w:tc>
        <w:tc>
          <w:tcPr>
            <w:tcW w:w="140" w:type="dxa"/>
            <w:vAlign w:val="bottom"/>
          </w:tcPr>
          <w:p>
            <w:pPr>
              <w:spacing w:after="0"/>
              <w:rPr>
                <w:sz w:val="17"/>
                <w:szCs w:val="1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1500" w:type="dxa"/>
            <w:vAlign w:val="bottom"/>
            <w:tcBorders>
              <w:bottom w:val="single" w:sz="8" w:color="auto"/>
            </w:tcBorders>
            <w:gridSpan w:val="3"/>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 thousands)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w w:val="97"/>
              </w:rPr>
              <w:t>Premiums earned, (Net of ceded premiums of $126)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195,357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195,357</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Non-Insurance Revenue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medical claims incurred</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216,785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241,912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458,503</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274,714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463,966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954,539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1,215,897</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Insurance</w:t>
            </w:r>
          </w:p>
        </w:tc>
        <w:tc>
          <w:tcPr>
            <w:tcW w:w="144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b w:val="1"/>
                <w:bCs w:val="1"/>
                <w:color w:val="auto"/>
              </w:rPr>
              <w:t>Non-Insurance</w:t>
            </w:r>
          </w:p>
        </w:tc>
        <w:tc>
          <w:tcPr>
            <w:tcW w:w="15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Corporate/Other</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vMerge w:val="continue"/>
            <w:shd w:val="clear" w:color="auto" w:fill="CCEEFF"/>
          </w:tcPr>
          <w:p>
            <w:pPr>
              <w:spacing w:after="0"/>
              <w:rPr>
                <w:sz w:val="19"/>
                <w:szCs w:val="19"/>
                <w:color w:val="auto"/>
              </w:rPr>
            </w:pPr>
          </w:p>
        </w:tc>
        <w:tc>
          <w:tcPr>
            <w:tcW w:w="1440" w:type="dxa"/>
            <w:vAlign w:val="bottom"/>
            <w:tcBorders>
              <w:bottom w:val="single" w:sz="8" w:color="auto"/>
            </w:tcBorders>
            <w:gridSpan w:val="3"/>
            <w:vMerge w:val="continue"/>
            <w:shd w:val="clear" w:color="auto" w:fill="CCEEFF"/>
          </w:tcPr>
          <w:p>
            <w:pPr>
              <w:spacing w:after="0"/>
              <w:rPr>
                <w:sz w:val="19"/>
                <w:szCs w:val="19"/>
                <w:color w:val="auto"/>
              </w:rPr>
            </w:pPr>
          </w:p>
        </w:tc>
        <w:tc>
          <w:tcPr>
            <w:tcW w:w="1500" w:type="dxa"/>
            <w:vAlign w:val="bottom"/>
            <w:tcBorders>
              <w:bottom w:val="single" w:sz="8" w:color="auto"/>
            </w:tcBorders>
            <w:gridSpan w:val="3"/>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Premiums earned, (Net of ceded premiums of $250)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394,733</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Non-Insurance revenue</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216,373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216,373</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medical claims incurred</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431,963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672,923</w:t>
            </w: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Gross (loss) profit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(25,539)</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62,788</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(60,173)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(60,126)</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274,714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463,966</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954,539</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(477,322)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1,215,897</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reportable segments' gross profit to the net loss included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23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32"/>
        </w:trPr>
        <w:tc>
          <w:tcPr>
            <w:tcW w:w="54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27"/>
        </w:trPr>
        <w:tc>
          <w:tcPr>
            <w:tcW w:w="5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Gross (loss)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(12,086)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(46,031)</w:t>
            </w:r>
          </w:p>
        </w:tc>
        <w:tc>
          <w:tcPr>
            <w:tcW w:w="8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(60,126)</w:t>
            </w:r>
          </w:p>
        </w:tc>
      </w:tr>
      <w:tr>
        <w:trPr>
          <w:trHeight w:val="148"/>
        </w:trPr>
        <w:tc>
          <w:tcPr>
            <w:tcW w:w="5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70,491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62,167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139,582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128,191</w:t>
            </w:r>
          </w:p>
        </w:tc>
      </w:tr>
      <w:tr>
        <w:trPr>
          <w:trHeight w:val="23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84,264</w:t>
            </w: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Premium deficiency reserve (benefit)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(55,314)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27,900</w:t>
            </w:r>
          </w:p>
        </w:tc>
      </w:tr>
      <w:tr>
        <w:trPr>
          <w:trHeight w:val="22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warrants payable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49,006</w:t>
            </w: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2,386</w:t>
            </w:r>
          </w:p>
        </w:tc>
      </w:tr>
      <w:tr>
        <w:trPr>
          <w:trHeight w:val="22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notes and securities discounts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13,686</w:t>
            </w: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Loss (gain) on investment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5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(366,028)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18. Dividend Restrictions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As of June 30, 2022, and December 31, 2021, neither of the regulated insurance subsidiaries had paid any dividends.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unaudited condensed consolidated financial statements and notes thereto for the three and six months ended June 30, 2022, contained in this Quarterly Report on Form 10-Q (the "Form 10-Q") and the consolidated financial statements and notes thereto for the year ended December 31, 2021, contained in the Company’s Annual Report on Form 10-K for the year ended December 31, 2021, filed with the Securities and Exchange Commission (the “SEC”) on February 28, 2022 (the “2021 Form 10-K”). This discussion contains forward-looking statements and involves numerous risks and uncertainties, including, but not limited to, those described in the "Risk Factors" section of the 2021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By empowering physicians with access to data-driven, personalized insights at the point of care through our software platform, Clover Assistant, we believe we can improve clinical decision making.</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Preferred Provider Organization ("PPO") and Health Maintenance Organization ("HMO") Medicare Advantage ("MA") plans for Medicare-eligible consumers. We aim to provide great, affordable healthcare for all. We offer most members in our MA plans (the "members") among the lowest average out-of-pocket costs for primary care provider co-pays, specialist co-pays, drug deductibles and drug costs in their markets. We deeply believe in providing our members provider choice, and we consider our PPO plan to be our flagship insurance plan. An important feature of our MA product is wide network access. We believe the use of Clover Assistant and related data insights allows us to improve clinical decision-making through a highly scalable asset-light approach. As of June 30, 2022, we operated our MA plans in nine states and 209 counties, with 86,629 members.</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1, 2021, our subsidiary, Clover Health Partners, LLC ("Health Partners"), began participating as a Direct Contracting Entity ("DCE") in the Global and Professional Direct Contracting Model ("DC Model") of the Centers for Medicare and Medicaid Services ("CMS"), which will transition to the Accountable Care Organization Realizing Equity, Access, and Community Health Model ("ACO Reach") in 2023. Our DCE assumes full risk (i.e., 100.0% shared savings and shared losses) for the total cost of care of aligned Original Medicare beneficiaries (the “Non-Insurance Beneficiaries” and, collectively with the members, “Lives under Clover Management” or the “beneficiaries”). Through our Direct Contracting operations, we focus on leveraging our technology platform, Clover Assistant, to enhance healthcare delivery, reduce expenditures, and improve care for our Non-Insurance Beneficiaries. As of June 30, 2022, we had approximately 1,810 contracted participating providers who manage primary care for our Non-Insurance Beneficiaries. Additionally, as of June 30, 2022, we had approximately 1,630 preferred providers and preferred facilities in our DCE network. Our participation in the DC Model has enabled us to move beyond the MA market and target the Medicare fee-for-service ("FFS") market, which is the largest segment of Medicare. We believe that expanding into the FFS market is not only a strategic milestone for Clover but also demonstrates the scalability of Clover Assistant.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we were partnering with providers to care for 255,406 Lives under Clover Management, which included 86,629 Insurance members and 168,777 aligned Non-Insurance Beneficiaries.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Expansion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14, 2022, we announced plans to make our MA plans available in 13 new counties beginning in 2023. The expansion, which is subject to CMS approval, would make our MA plans available in a total of 220 counties across eight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societal and economic impact of the Coronavirus Disease 2019 ("COVID-19") pandemic and its variants continues to evolve, and the ultimate impact on our business, results of operations, financial condition, and cash flows is uncertain and difficult to predict. The global pandemic has severely impacted businesses worldwide, including many in the health insurance sector.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spacing w:after="0" w:line="268" w:lineRule="auto"/>
        <w:rPr>
          <w:sz w:val="20"/>
          <w:szCs w:val="20"/>
          <w:color w:val="auto"/>
        </w:rPr>
      </w:pPr>
      <w:r>
        <w:rPr>
          <w:rFonts w:ascii="Arial" w:cs="Arial" w:eastAsia="Arial" w:hAnsi="Arial"/>
          <w:sz w:val="17"/>
          <w:szCs w:val="17"/>
          <w:color w:val="auto"/>
        </w:rPr>
        <w:t>We are continuing to monitor the ongoing financial impact of COVID-19 on our business and operations and are making adjustments accordingly. A large portion of our membership is elderly and generally in the high-risk category for COVID-19, and we have worked closely with our network of providers to ensure that members are receiving necessary care. During the first two quarters of 2022 and all of 2021, we incurred elevated costs as compared to prior to the outbreak of the pandemic in 2020 to care for those members who have contracted the virus, and indirect costs attributable to the COVID-19 pandemic were elevated as well, as deferral of services and increased costs related to conditions that were exacerbated by a lack of diagnoses and treatment in the earlier periods of the pandemic contributed to increased utilization. Additionally, CMS is currently increasing inpatient hospital fees by 20.0% for any patient diagnosed with COVID-19 regardless of whether that patient was admitted directly for COVID-19 or for a different condition or procedure. This has impacted medical costs especially due to the widespread transmission of recent COVID-19 variants. We will continue to monitor the pandemic’s emerging treatment-related trends as well as the impact on our beneficiaries. Additionally, CMS risk adjustment requires that a member’s health issues be documented annually regardless of the permanence of the underlying causes. Historically, this documentation was required to be completed during an in-person visit with a patient. As part of relief measures adopted pursuant to the Coronavirus Aid, Relief, and Economic Security Act (the "CARES Act"), CMS is allowing documentation prepared during video visits with patients to serve as support for CMS risk adjustments. Due to fewer visits in 2020, the providers' ability to document health conditions accurately and formulate treatment plans was adversely impacted due to COVID-19. However, we experienced improvements in documentation in 2021 with increased utilization of health services, impacting our 2022 risk score. We believe that this increase in documentation has supported our provider partners with better diagnosis accuracy and improved care planning and that this will result in increased revenue and a reduced medical care ratio ("MCR").</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 of Our Operating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operations based on two reportable operating segments: Insurance and Non-Insurance. Through our Insurance segment, we provide PPO and HMO plans to Medicare Advantage members in several states. Our Non-Insurance segment consists of our operations in connection with our participation in the Direct Contracting program, which will transition to the ACO Reach model in 2023. All other clinical services and all corporate overhead not included in the reportable segments are included within Corporate/Other.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segment groupings are consistent with the information used by our Chief Executive Officer, our chief operating decision maker, to assess performance and allocate resources.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segment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Through our Insurance segment, we provide PPO and HMO plans to members in several states. We seek to improve care and lower costs for our Insurance members by empowering providers with data-driven, personalized insights at the point of care through our software platform, Clover Assistant.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4"/>
              </w:rPr>
              <w:t>2022</w:t>
            </w:r>
          </w:p>
        </w:tc>
        <w:tc>
          <w:tcPr>
            <w:tcW w:w="1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4"/>
              </w:rPr>
              <w:t>2021</w:t>
            </w:r>
          </w:p>
        </w:tc>
        <w:tc>
          <w:tcPr>
            <w:tcW w:w="1100" w:type="dxa"/>
            <w:vAlign w:val="bottom"/>
            <w:tcBorders>
              <w:bottom w:val="single" w:sz="8" w:color="auto"/>
            </w:tcBorders>
          </w:tcPr>
          <w:p>
            <w:pPr>
              <w:spacing w:after="0"/>
              <w:rPr>
                <w:sz w:val="20"/>
                <w:szCs w:val="20"/>
                <w:color w:val="auto"/>
              </w:rPr>
            </w:pPr>
          </w:p>
        </w:tc>
      </w:tr>
      <w:tr>
        <w:trPr>
          <w:trHeight w:val="263"/>
        </w:trPr>
        <w:tc>
          <w:tcPr>
            <w:tcW w:w="5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xml:space="preserve">PMPM </w:t>
            </w:r>
            <w:r>
              <w:rPr>
                <w:rFonts w:ascii="Arial" w:cs="Arial" w:eastAsia="Arial" w:hAnsi="Arial"/>
                <w:sz w:val="23"/>
                <w:szCs w:val="23"/>
                <w:b w:val="1"/>
                <w:bCs w:val="1"/>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xml:space="preserve">PMPM </w:t>
            </w:r>
            <w:r>
              <w:rPr>
                <w:rFonts w:ascii="Arial" w:cs="Arial" w:eastAsia="Arial" w:hAnsi="Arial"/>
                <w:sz w:val="23"/>
                <w:szCs w:val="23"/>
                <w:b w:val="1"/>
                <w:bCs w:val="1"/>
                <w:color w:val="auto"/>
                <w:vertAlign w:val="superscript"/>
              </w:rPr>
              <w:t>(1)</w:t>
            </w:r>
          </w:p>
        </w:tc>
      </w:tr>
      <w:tr>
        <w:trPr>
          <w:trHeight w:val="181"/>
        </w:trPr>
        <w:tc>
          <w:tcPr>
            <w:tcW w:w="5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360" w:type="dxa"/>
            <w:vAlign w:val="bottom"/>
            <w:gridSpan w:val="7"/>
          </w:tcPr>
          <w:p>
            <w:pPr>
              <w:jc w:val="right"/>
              <w:ind w:right="570"/>
              <w:spacing w:after="0"/>
              <w:rPr>
                <w:sz w:val="20"/>
                <w:szCs w:val="20"/>
                <w:color w:val="auto"/>
              </w:rPr>
            </w:pPr>
            <w:r>
              <w:rPr>
                <w:rFonts w:ascii="Arial" w:cs="Arial" w:eastAsia="Arial" w:hAnsi="Arial"/>
                <w:sz w:val="14"/>
                <w:szCs w:val="14"/>
                <w:b w:val="1"/>
                <w:bCs w:val="1"/>
                <w:color w:val="auto"/>
                <w:w w:val="99"/>
              </w:rPr>
              <w:t>(Premium and expense amounts in thousands, except PMPM amounts)</w:t>
            </w:r>
          </w:p>
        </w:tc>
      </w:tr>
      <w:tr>
        <w:trPr>
          <w:trHeight w:val="231"/>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members as of period end (#)</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86,629</w:t>
            </w:r>
          </w:p>
        </w:tc>
        <w:tc>
          <w:tcPr>
            <w:tcW w:w="4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66,566</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Premiums earned, gross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546,912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1,065</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394,983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993</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Premiums earned, net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546,674</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1,065</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394,733</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Insurance medical claim expense incurred, gross</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515,593</w:t>
            </w:r>
          </w:p>
        </w:tc>
        <w:tc>
          <w:tcPr>
            <w:tcW w:w="4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432,552</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net medical claims incurred</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515,401</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431,963</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r>
      <w:tr>
        <w:trPr>
          <w:trHeight w:val="230"/>
        </w:trPr>
        <w:tc>
          <w:tcPr>
            <w:tcW w:w="54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Medical care ratio, gross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94.3 %</w:t>
            </w: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19"/>
                <w:szCs w:val="19"/>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109.5 %</w:t>
            </w:r>
          </w:p>
        </w:tc>
        <w:tc>
          <w:tcPr>
            <w:tcW w:w="11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Medical care ratio, net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-1148080</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left="180" w:hanging="172"/>
        <w:spacing w:after="0" w:line="239" w:lineRule="auto"/>
        <w:tabs>
          <w:tab w:leader="none" w:pos="15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52" w:lineRule="exact"/>
        <w:rPr>
          <w:rFonts w:ascii="Arial" w:cs="Arial" w:eastAsia="Arial" w:hAnsi="Arial"/>
          <w:sz w:val="17"/>
          <w:szCs w:val="17"/>
          <w:color w:val="auto"/>
          <w:vertAlign w:val="superscript"/>
        </w:rPr>
      </w:pPr>
    </w:p>
    <w:p>
      <w:pPr>
        <w:ind w:left="220" w:hanging="212"/>
        <w:spacing w:after="0"/>
        <w:tabs>
          <w:tab w:leader="none" w:pos="2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Defined as Insurance gross medical claims incurred divided by premiums earned, gross.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Membership and associated premiums earned and medical claim expenses.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because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 earned, gross.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 or any other measure presented in accordance with generally accepted accounting principles in the United States ("GAAP").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 earned,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 for the period including the member months for which the payment is designated by CMS.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Insurance gross medical claims incurred.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Insurance gross medical claims incurred excludes the effects of medical claims and associated costs ceded to reinsurers, and therefore should not be used as a substitute for net claims incurred, total expenses or any other measure presented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net medical claims incurred.</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Insurance net medical claims incurred are our medical expenses and consists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care ratio, gross and net.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calculate our MCR by dividing total Insurance medical claim expenses incurred by premiums earned, in each case on a gross or net basis, as the case may be, in a given period. We believe our MCR is an indicator of our gross margin for our Insurance plans and the ability of our Clover Assistant platform to capture and analyze data over time to generate actionable insights for returning members to improve care and reduce medical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Non-Insurance segment</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Non-Insurance segment consists of operations in connection with our participation in the Direct Contracting program, which we began in April 2021 and which will transition to the ACO Reach model in 2023. As part of our Non-Insurance operations, we empower providers with Clover Assistant and offer a variety of programs aimed at reducing expenditures and preserving or enhancing the quality of care for our Non-Insurance Beneficiaries.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b w:val="1"/>
                <w:bCs w:val="1"/>
                <w:color w:val="auto"/>
                <w:w w:val="84"/>
              </w:rPr>
              <w:t>2022</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b w:val="1"/>
                <w:bCs w:val="1"/>
                <w:color w:val="auto"/>
                <w:w w:val="84"/>
              </w:rPr>
              <w:t>2021</w:t>
            </w:r>
          </w:p>
        </w:tc>
        <w:tc>
          <w:tcPr>
            <w:tcW w:w="1040" w:type="dxa"/>
            <w:vAlign w:val="bottom"/>
          </w:tcPr>
          <w:p>
            <w:pPr>
              <w:spacing w:after="0"/>
              <w:rPr>
                <w:sz w:val="20"/>
                <w:szCs w:val="20"/>
                <w:color w:val="auto"/>
              </w:rPr>
            </w:pPr>
          </w:p>
        </w:tc>
      </w:tr>
      <w:tr>
        <w:trPr>
          <w:trHeight w:val="223"/>
        </w:trPr>
        <w:tc>
          <w:tcPr>
            <w:tcW w:w="5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PBPM</w:t>
            </w:r>
          </w:p>
        </w:tc>
        <w:tc>
          <w:tcPr>
            <w:tcW w:w="8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PBPM</w:t>
            </w:r>
          </w:p>
        </w:tc>
      </w:tr>
      <w:tr>
        <w:trPr>
          <w:trHeight w:val="181"/>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380" w:type="dxa"/>
            <w:vAlign w:val="bottom"/>
            <w:gridSpan w:val="8"/>
          </w:tcPr>
          <w:p>
            <w:pPr>
              <w:jc w:val="right"/>
              <w:ind w:right="670"/>
              <w:spacing w:after="0"/>
              <w:rPr>
                <w:sz w:val="20"/>
                <w:szCs w:val="20"/>
                <w:color w:val="auto"/>
              </w:rPr>
            </w:pPr>
            <w:r>
              <w:rPr>
                <w:rFonts w:ascii="Arial" w:cs="Arial" w:eastAsia="Arial" w:hAnsi="Arial"/>
                <w:sz w:val="14"/>
                <w:szCs w:val="14"/>
                <w:b w:val="1"/>
                <w:bCs w:val="1"/>
                <w:color w:val="auto"/>
              </w:rPr>
              <w:t>(Revenue and claims amounts in thousands, except PBPM amounts)</w:t>
            </w:r>
          </w:p>
        </w:tc>
      </w:tr>
      <w:tr>
        <w:trPr>
          <w:trHeight w:val="231"/>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Non-Insurance Beneficiaries as of period end (#)</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168,777</w:t>
            </w:r>
          </w:p>
        </w:tc>
        <w:tc>
          <w:tcPr>
            <w:tcW w:w="5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62,025</w:t>
            </w: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Non-Insurance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1,172,268</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216,373</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229"/>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Non-Insurance net medical claims incurred</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1,206,121</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241,912</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304"/>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 xml:space="preserve">Non-Insurance MCR </w:t>
            </w:r>
            <w:r>
              <w:rPr>
                <w:rFonts w:ascii="Arial" w:cs="Arial" w:eastAsia="Arial" w:hAnsi="Arial"/>
                <w:sz w:val="23"/>
                <w:szCs w:val="23"/>
                <w:color w:val="auto"/>
                <w:vertAlign w:val="superscript"/>
              </w:rPr>
              <w:t>(1)</w:t>
            </w:r>
          </w:p>
        </w:tc>
        <w:tc>
          <w:tcPr>
            <w:tcW w:w="300" w:type="dxa"/>
            <w:vAlign w:val="bottom"/>
          </w:tcPr>
          <w:p>
            <w:pPr>
              <w:spacing w:after="0"/>
              <w:rPr>
                <w:sz w:val="24"/>
                <w:szCs w:val="24"/>
                <w:color w:val="auto"/>
              </w:rPr>
            </w:pP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102.9 %</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4"/>
                <w:szCs w:val="24"/>
                <w:color w:val="auto"/>
              </w:rPr>
            </w:pPr>
          </w:p>
        </w:tc>
        <w:tc>
          <w:tcPr>
            <w:tcW w:w="1440" w:type="dxa"/>
            <w:vAlign w:val="bottom"/>
            <w:gridSpan w:val="2"/>
          </w:tcPr>
          <w:p>
            <w:pPr>
              <w:jc w:val="right"/>
              <w:ind w:right="250"/>
              <w:spacing w:after="0"/>
              <w:rPr>
                <w:sz w:val="20"/>
                <w:szCs w:val="20"/>
                <w:color w:val="auto"/>
              </w:rPr>
            </w:pPr>
            <w:r>
              <w:rPr>
                <w:rFonts w:ascii="Arial" w:cs="Arial" w:eastAsia="Arial" w:hAnsi="Arial"/>
                <w:sz w:val="18"/>
                <w:szCs w:val="18"/>
                <w:color w:val="auto"/>
              </w:rPr>
              <w:t>111.8 %</w:t>
            </w: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9"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Defined as Non-Insurance net medical claims incurred divided by Non-Insurance revenue.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Non-Insurance Beneficiaries.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Non-Insurance Beneficiary is defined as an eligible Original Medicare covered life that has been aligned to our DCE, Health Partners, via attribution to a DCE-participating provider through alignment based on claims data or by beneficiary election through voluntary alignment. A beneficiary alignment is effective as of the first of the month, for the full calendar month, regardless of whether eligibility is lost during the course of the month.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Non-Insurance revenue.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Non-Insurance revenue represents CMS’ total expense incurred for medical services provided on behalf of Non-Insurance Beneficiaries during months in which they were alignment eligible during the performance year. Non-Insurance revenue is calculated by taking the sum of the capitation payments made to us for services within the scope of our capitation arrangement and FFS payments made to providers directly from CMS. Non-Insurance revenue is also known in the DC Model as performance year expenditures and is the primary component used to calculate shared savings or shared loss versus the performance year benchmark. Non-Insurance revenue includes a direct reduction or increase of shared savings or loss, as applicable. Premiums and recoupments incurred in direct relation to the DC Model are recognized as a reduction or increase in Non-Insurance revenue, as applicable. We believe Non-Insurance revenue provides useful insight into the gross economic benefit generated by our business operations and allows us to evaluate our performance without regard to changes in our underlying reinsurance structure.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Non-Insurance net medical claims incurred.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Non-Insurance net medical claims incurred consists of the total incurred expense that CMS and we will remit for medical services provided on behalf of Non-Insurance Beneficiaries during the months in which they are alignment eligible and aligned to the DCE. Additionally, Non-Insurance net medical claims incurred is inclusive of fees paid to providers for Clover Assistant usage, care coordination, and any shared savings or shared loss agreements with providers.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Non-Insurance MCR.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our MCR by dividing Non-Insurance net medical claims incurred by Non-Insurance revenue in a given period. We believe our MCR is an indicator of our gross profitability and the ability to capture and analyze data over time to generate actionable insights for returning beneficiaries to improve care and reduce medical expenses.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condensed consolidated results of operations for the three months ended June 30, 2022 and 2021. The period-to-period comparison of results is not necessarily indicative of results for future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7"/>
                <w:szCs w:val="17"/>
                <w:color w:val="auto"/>
              </w:rPr>
            </w:pPr>
          </w:p>
        </w:tc>
        <w:tc>
          <w:tcPr>
            <w:tcW w:w="24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Change between</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center"/>
              <w:ind w:left="491"/>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2022 and 2021</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9"/>
        </w:trPr>
        <w:tc>
          <w:tcPr>
            <w:tcW w:w="5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center"/>
              <w:ind w:left="511"/>
              <w:spacing w:after="0"/>
              <w:rPr>
                <w:sz w:val="20"/>
                <w:szCs w:val="20"/>
                <w:color w:val="auto"/>
              </w:rPr>
            </w:pPr>
            <w:r>
              <w:rPr>
                <w:rFonts w:ascii="Arial" w:cs="Arial" w:eastAsia="Arial" w:hAnsi="Arial"/>
                <w:sz w:val="14"/>
                <w:szCs w:val="14"/>
                <w:color w:val="auto"/>
                <w:w w:val="92"/>
              </w:rPr>
              <w:t>(in thousands)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740" w:type="dxa"/>
            <w:vAlign w:val="bottom"/>
          </w:tcPr>
          <w:p>
            <w:pPr>
              <w:ind w:left="140"/>
              <w:spacing w:after="0" w:line="176" w:lineRule="exact"/>
              <w:rPr>
                <w:sz w:val="20"/>
                <w:szCs w:val="20"/>
                <w:color w:val="auto"/>
              </w:rPr>
            </w:pPr>
            <w:r>
              <w:rPr>
                <w:rFonts w:ascii="Arial" w:cs="Arial" w:eastAsia="Arial" w:hAnsi="Arial"/>
                <w:sz w:val="18"/>
                <w:szCs w:val="18"/>
                <w:color w:val="auto"/>
                <w:w w:val="89"/>
              </w:rPr>
              <w:t>Premiums earned, net (Net of ceded premiums of $119 and $126 for the three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268,505</w:t>
            </w:r>
          </w:p>
        </w:tc>
        <w:tc>
          <w:tcPr>
            <w:tcW w:w="12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195,357</w:t>
            </w:r>
          </w:p>
        </w:tc>
        <w:tc>
          <w:tcPr>
            <w:tcW w:w="8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73,148</w:t>
            </w:r>
          </w:p>
        </w:tc>
        <w:tc>
          <w:tcPr>
            <w:tcW w:w="1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37.4 %</w:t>
            </w: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months ended June 30, 2022 and 2021, respectively)</w:t>
            </w: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revenue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360,997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70"/>
        </w:trPr>
        <w:tc>
          <w:tcPr>
            <w:tcW w:w="5740" w:type="dxa"/>
            <w:vAlign w:val="bottom"/>
            <w:tcBorders>
              <w:bottom w:val="single" w:sz="8" w:color="CCEEFF"/>
            </w:tcBorders>
          </w:tcPr>
          <w:p>
            <w:pPr>
              <w:jc w:val="center"/>
              <w:ind w:right="4110"/>
              <w:spacing w:after="0"/>
              <w:rPr>
                <w:sz w:val="20"/>
                <w:szCs w:val="20"/>
                <w:color w:val="auto"/>
              </w:rPr>
            </w:pPr>
            <w:r>
              <w:rPr>
                <w:rFonts w:ascii="Arial" w:cs="Arial" w:eastAsia="Arial" w:hAnsi="Arial"/>
                <w:sz w:val="18"/>
                <w:szCs w:val="18"/>
                <w:color w:val="auto"/>
                <w:w w:val="90"/>
              </w:rPr>
              <w:t>Other income</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jc w:val="center"/>
              <w:ind w:right="4110"/>
              <w:spacing w:after="0"/>
              <w:rPr>
                <w:sz w:val="20"/>
                <w:szCs w:val="20"/>
                <w:color w:val="auto"/>
              </w:rPr>
            </w:pPr>
            <w:r>
              <w:rPr>
                <w:rFonts w:ascii="Arial" w:cs="Arial" w:eastAsia="Arial" w:hAnsi="Arial"/>
                <w:sz w:val="18"/>
                <w:szCs w:val="18"/>
                <w:color w:val="auto"/>
                <w:w w:val="88"/>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846,700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434,228</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medical claims incurred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400,283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9"/>
        </w:trPr>
        <w:tc>
          <w:tcPr>
            <w:tcW w:w="574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70,491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8,324</w:t>
            </w:r>
          </w:p>
        </w:tc>
        <w:tc>
          <w:tcPr>
            <w:tcW w:w="1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Premium deficiency reserve (benefit)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(55,557)</w:t>
            </w:r>
          </w:p>
        </w:tc>
        <w:tc>
          <w:tcPr>
            <w:tcW w:w="1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949,246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594,334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354,912</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57"/>
        </w:trPr>
        <w:tc>
          <w:tcPr>
            <w:tcW w:w="5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warrants payable</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notes and securities discount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Loss on investment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jc w:val="center"/>
              <w:ind w:right="4150"/>
              <w:spacing w:after="0"/>
              <w:rPr>
                <w:sz w:val="20"/>
                <w:szCs w:val="20"/>
                <w:color w:val="auto"/>
              </w:rPr>
            </w:pPr>
            <w:r>
              <w:rPr>
                <w:rFonts w:ascii="Arial" w:cs="Arial" w:eastAsia="Arial" w:hAnsi="Arial"/>
                <w:sz w:val="18"/>
                <w:szCs w:val="18"/>
                <w:color w:val="auto"/>
                <w:w w:val="89"/>
              </w:rPr>
              <w:t>Net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-24765</wp:posOffset>
            </wp:positionV>
            <wp:extent cx="857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5143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857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714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-1087755</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-1087755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-1087755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-2270760</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-2270760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-2270760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-3119755</wp:posOffset>
            </wp:positionV>
            <wp:extent cx="85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3" w:lineRule="exact"/>
        <w:rPr>
          <w:sz w:val="20"/>
          <w:szCs w:val="20"/>
          <w:color w:val="auto"/>
        </w:rPr>
      </w:pPr>
    </w:p>
    <w:p>
      <w:pPr>
        <w:ind w:firstLine="8"/>
        <w:spacing w:after="0" w:line="275" w:lineRule="auto"/>
        <w:tabs>
          <w:tab w:leader="none" w:pos="1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Not presented because the current or prior period amount is zero or the amount for the line item changed from a gain to a loss (or vice versa) and thus yields a result that is 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Premiums earned, net increased $73.1 million, or 37.4%, to $268.5 million for the three months ended June 30, 2022, compared to the three months ended June 30, 2021. The increase was primarily due to a 30.1% increase in the number of our Insurance members, from 66,566 at June 30, 2021, to 86,629 at June 30, 2022. Risk adjustment revenue for prior periods of $18.6 million was recognized during the three months ended June 30, 2022.</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Non-Insurance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Non-Insurance revenue was $577.4 million for the three months ended June 30, 2022, up $361.0 million compared to $216.4 million for the three months ended June 30, 2021. This increase was largely driven by the increase in the number of our aligned Non-Insurance Beneficiaries from 62,025 at June 30, 2021, to 168,777 at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increased $0.1 million, or 11.2%, to $0.8 million for the three months ended June 30, 2022, compared to the three months ended June 30, 2021. The increase was largely due to a $0.4 million increase in net investment income and a $0.1 million increase in commission income, partially offset by a $0.4 million decrease in rental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medical claims incurred increased $400.3 million, or 87.3%, to $858.8 million for the three months ended June 30, 2022, compared to the three months ended June 30, 2021. The increase was primarily driven by an increase in net medical claims attributable to our Non-Insurance Beneficiaries from $241.9 million for the three months ended June 30, 2021, to $612.1 million for three months ended June 30, 2022, which was driven by an increase in the number of our aligned Non-Insurance Beneficiaries, and an increase of $30.5 million in net medical claims attributable to our Insurance members, which was primarily driven by an increase in Insurance members.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Salaries and benefits increased $8.3 million, or 13.4%, to $70.5 million for the three months ended June 30, 2022, compared to the three months ended June 30, 2021. The increase was primarily driven by increased headcount and additional cash awards, partially offset by a $1.1 million decrease in stock-based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increased $1.4 million, or 3.1%, to $47.0 million for the three months ended June 30, 2022, compared to the three months ended June 30, 2021. The increase was driven in part by supplemental administrative costs, which increased by $2.5 million, residual commissions, which are attributable to members retained by the Company from the previous plan year, which increased by $2.4 million, and a $1.6 million increase in public company costs and legal and other professional fees to support our growth. These increases were partially offset by a $4.8 million decrease in deferred acquisition costs related to the acquisition of new members.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(Benefit) Expense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 $27.7 million premium deficiency reserve benefit was recorded for the three months ended June 30, 2022, which includes amortization associated with a previously recorded reserve. A $27.9 million premium deficiency reserve expense was recorded for the three months ended June 30, 2021, in anticipation of a reserve deemed necessary for the remainder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Payable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was no change in fair value of warrants payable to report for the three months ended June 30, 2022, as there were no warrants outstanding. The change in fair value of warrants payable of $134.5 million for the three months ended June 30, 2021 was due to the mark-to-market adjustment of the public warrants (the "Public Warrants") and the private placement warrants (the "Private Placement Warrants") assumed by the Company in connection with its January 2021 business combination with an affiliate of Social Capital Hedosophia Holdings Corp. III (the "Business Combination"). For additional information, see Note 5 (Fair Value Measurements) and Note 13 (Warrants Payable) in our 2021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decreased $0.8 million, or 67.8%, to $0.4 million for the three months ended June 30, 2022, compared to the three months ended June 30, 2021, primarily related to the voluntary prepayment and termination of the remaining principal and interest associated with our Term Loan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Amortization of notes and securities discounts were less than $0.1 million in both the three months ended June 30, 2022 and the three months ended June 30, 2021 and decreased by 30.8% primarily due to the termination of our Term Loans during the three months ended June 30, 2021.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Loss on Investment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 loss on investment of $1.2 million for the three months ended June 30, 2022, on our minority equity investment in Character Biosciences, Inc. (f/k/a Clover Therapeutics Company) ("Character Biosciences"), attributable to our proportionate share of the loss on equity of that entity during the period. Prior to the first quarter of 2022, this entity was consolidated on the Company's financial statements, and therefore the Company did not recognize a loss or gain on investment in this entity for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condensed consolidated results of operations for the six months ended June 30, 2022 and 2021. The period-to-period comparison of results is not necessarily indicative of results for future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c>
          <w:tcPr>
            <w:tcW w:w="160" w:type="dxa"/>
            <w:vAlign w:val="bottom"/>
          </w:tcPr>
          <w:p>
            <w:pPr>
              <w:spacing w:after="0"/>
              <w:rPr>
                <w:sz w:val="17"/>
                <w:szCs w:val="17"/>
                <w:color w:val="auto"/>
              </w:rPr>
            </w:pPr>
          </w:p>
        </w:tc>
        <w:tc>
          <w:tcPr>
            <w:tcW w:w="20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Change between</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3"/>
          </w:tcPr>
          <w:p>
            <w:pPr>
              <w:jc w:val="center"/>
              <w:ind w:left="451"/>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2022 and 2021</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jc w:val="center"/>
              <w:ind w:right="130"/>
              <w:spacing w:after="0"/>
              <w:rPr>
                <w:sz w:val="20"/>
                <w:szCs w:val="20"/>
                <w:color w:val="auto"/>
              </w:rPr>
            </w:pPr>
            <w:r>
              <w:rPr>
                <w:rFonts w:ascii="Arial" w:cs="Arial" w:eastAsia="Arial" w:hAnsi="Arial"/>
                <w:sz w:val="14"/>
                <w:szCs w:val="14"/>
                <w:b w:val="1"/>
                <w:bCs w:val="1"/>
                <w:color w:val="auto"/>
                <w:w w:val="90"/>
              </w:rPr>
              <w:t>($ in thousands)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140"/>
              <w:spacing w:after="0" w:line="176" w:lineRule="exact"/>
              <w:rPr>
                <w:sz w:val="20"/>
                <w:szCs w:val="20"/>
                <w:color w:val="auto"/>
              </w:rPr>
            </w:pPr>
            <w:r>
              <w:rPr>
                <w:rFonts w:ascii="Arial" w:cs="Arial" w:eastAsia="Arial" w:hAnsi="Arial"/>
                <w:sz w:val="18"/>
                <w:szCs w:val="18"/>
                <w:color w:val="auto"/>
                <w:w w:val="90"/>
              </w:rPr>
              <w:t>Premiums earned, net (Net of ceded premiums of $238 and $250 for the six months ended</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546,674</w:t>
            </w:r>
          </w:p>
        </w:tc>
        <w:tc>
          <w:tcPr>
            <w:tcW w:w="8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394,733</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151,941</w:t>
            </w:r>
          </w:p>
        </w:tc>
        <w:tc>
          <w:tcPr>
            <w:tcW w:w="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June 30, 2022 and 2021, respectively)</w:t>
            </w:r>
          </w:p>
        </w:tc>
        <w:tc>
          <w:tcPr>
            <w:tcW w:w="2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Non-Insurance revenue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1,172,268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955,895</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7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8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1,721,079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612,797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1,108,282</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medical claims incurred</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1,047,585</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70"/>
        </w:trPr>
        <w:tc>
          <w:tcPr>
            <w:tcW w:w="670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139,582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128,191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11,391</w:t>
            </w:r>
          </w:p>
        </w:tc>
        <w:tc>
          <w:tcPr>
            <w:tcW w:w="80" w:type="dxa"/>
            <w:vAlign w:val="bottom"/>
          </w:tcPr>
          <w:p>
            <w:pPr>
              <w:spacing w:after="0"/>
              <w:rPr>
                <w:sz w:val="23"/>
                <w:szCs w:val="23"/>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Premium deficiency reserve (benefit)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(83,214)</w:t>
            </w:r>
          </w:p>
        </w:tc>
        <w:tc>
          <w:tcPr>
            <w:tcW w:w="8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1,910,925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913,747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997,178</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(189,846)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(300,950)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111,104</w:t>
            </w:r>
          </w:p>
        </w:tc>
        <w:tc>
          <w:tcPr>
            <w:tcW w:w="8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108"/>
        </w:trPr>
        <w:tc>
          <w:tcPr>
            <w:tcW w:w="6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Change in fair value of warrants payable</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(49,006)</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Amortization of notes and securities discount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(13,668)</w:t>
            </w:r>
          </w:p>
        </w:tc>
        <w:tc>
          <w:tcPr>
            <w:tcW w:w="8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investment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ind w:left="46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(179,490)</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(366,028)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186,538</w:t>
            </w:r>
          </w:p>
        </w:tc>
        <w:tc>
          <w:tcPr>
            <w:tcW w:w="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-1148080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-1148080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-2348230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-2348230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-3196590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ind w:left="180" w:hanging="172"/>
        <w:spacing w:after="0" w:line="275" w:lineRule="auto"/>
        <w:tabs>
          <w:tab w:leader="none" w:pos="268"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Not presented because the current or prior period amount is zero or the amount for the line item changed from a gain to a loss (or vice versa) and thus yields a result that is 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Premiums earned, net increased $151.9 million, or 38.5%, to $546.7 million for the six months ended June 30, 2022, compared to the six months ended June 30, 2021. The increase was primarily due to membership growth of 30.1% from 66,566 Insurance members at June 30, 2021, to 86,629 Insurance members at June 30, 2022. Risk adjustment revenue for prior periods of $41.2 million was recognized during the six months ended June 30,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Non-Insurance Revenue</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Non-Insurance revenue was $1,172.3 million for the six months ended June 30, 2022, compared to $216.4 million for the six months ended June 30, 2021. The increase was primarily driven by an increase in the number of our aligned Non-Insurance Beneficiaries from 62,025 at June 30, 2021, to 168,777 at June 30, 2022, and the fact that our DCE did not begin participation in Direct Contracting until the second quarter of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increased $0.4 million, or 26.4%, to $2.1 million for the six months ended June 30, 2022, compared to the six months ended June 30, 2021. The increase was largely due to a $0.7 million increase in net investment income and a $0.3 million increase in commission income, partially offset by a $0.5 million decrease in rental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medical claims incurred increased $1,047.6 million, or 155.7%, to $1,720.5 million for the six months ended June 30, 2022, compared to the six months ended June 30, 2021. The increase was primarily driven by an increase in net medical claims attributable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to our Non-Insurance Beneficiaries from $241.9 million for the six months ended June 30, 2021, to $1,206.1 million for the six months ended June 30, 2022, which was driven by an increase in the number of our aligned Non-Insurance Beneficiaries and the fact that our DCE did not begin participation in Direct Contracting until the second quarter of 2021, and an increase of $83.4 million in net medical claims attributable to our Insurance members, which was primarily driven by an increase in Insurance Members.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Salaries and benefits increased $11.4 million, or 8.9%, to $139.6 million for the six months ended June 30, 2022, compared to the six months ended June 30, 2021. The increase was primarily driven by increased headcount and additional cash awards, partially offset by a $3.2 million decrease in stock-based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 and administrative expenses increased $20.5 million, or 24.3%, to $104.7 million for the six months ended June 30, 2022, compared to the six months ended June 30, 2021. The increase was driven in part by increases in legal and other professional fees to support our growth and public company costs, including costs associated with obtaining and maintaining directors’ and officers’ liability insurance. Legal and professional fees increased $7.7 million for the six months ended June 30, 2022, compared to the six months ended June 30, 2021. Residual commissions, which are attributable to members retained by the Company from the previous plan year, increased by $6.5 million. For the six months ended June 30, 2022, we recognized $13.7 million of deferred acquisition costs related to the acquisition of new members, compared to $8.5 million for the six months ended June 30,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Deficiency Reserve (Benefit)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$55.3 million premium deficiency reserve benefit was recorded for the six months ended June 30, 2022, which includes amortization associated with a previously recorded reserve. A $27.9 million premium deficiency reserve expense was recorded for the six months ended June 30, 2021, in anticipation of a reserve deemed necessary for the remainder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Payable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was no change in fair value of warrants payable to report for the six months ended June 30, 2022, as there were no warrants outstanding. There was a decrease of $49.0 million for the six months ended June 30, 2021, due to the mark-to-market adjustment of the Public Warrants and Private Placement Warrants recognized for the six months ended June 30, 2021. For additional information, see Note 5 (Fair Value Measurements) and Note 13 (Warrants Payable) in our 2021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decreased $1.6 million, or 66.8%, to $0.8 million for the six months ended June 30, 2022, compared to the six months ended June 30, 2021, primarily related to the voluntary prepayment and termination of the remaining principal and interest associated with our Term Loan 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notes and securities discounts decreased by 99.9% primarily due to the completion of the Business Combination on January 7, 2021, whereby the unamortized discount associated with the August 2019 tranche of the Convertible Securities was accelerated, as well as the termination of our Term Loans during the six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Investment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2022, Character Biosciences completed a private capital transaction in which it raised $17.9 million from the issuance of 16,210,602 shares of its preferred stock. After evaluating our ownership interest in Character Biosciences, we began applying the equity method of accounting during the six months ended June 30, 2022, and recorded a gain on investment of $11.2 million, which is attributable to our proportionate share of the gain on equity of that entity during that period. Prior to the first quarter of 2022, this entity was consolidated on the Company's financial statements, and therefore the Company did not recognize a loss or gain on investment in this entity for the six months ended June 30,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we had cash, cash equivalents, and short-term investments of $428.5 million. Additionally, as of June 30, 2022, we had $254.4 million of available-for-sale and held-to-maturity investment securities, and an outstanding balance of $22.8 million on</w:t>
      </w:r>
    </w:p>
    <w:p>
      <w:pPr>
        <w:sectPr>
          <w:pgSz w:w="11900" w:h="16838" w:orient="portrait"/>
          <w:cols w:equalWidth="0" w:num="1">
            <w:col w:w="11240"/>
          </w:cols>
          <w:pgMar w:left="320" w:top="881"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color w:val="auto"/>
        </w:rPr>
        <w:t>convertible notes issued by Seek. Our cash equivalents, short-term investments, and investment securities consist primarily of money market funds and U.S. government debt securities.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Since inception, we have financed our operations primarily from the proceeds we received through public and private sales of equity securities, funds received in connection with the Business Combination, issuances of convertible notes, premiums earned under our MA plans, borrowings under our term loan facility and, most recently, with our Non-Insurance revenues. We expect that our cash, cash equivalents,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 Cash, cash equivalents, and short-term investments at the parent company, Clover Health Investments, Corp., were $200.6 million and $350.9 million as of June 30, 2022, and December 31, 2021, respectively. This decrease at the parent company primarily reflects operating expenses and capital contributions made to our regulated insurance subsidiaries. Additionally, our parent company held $123.4 million and $79.3 million of available-for-sale and held-to-maturity investment securities as of June 30, 2022, and December 31, 2021. Our unregulated subsidiaries held $116.2 million and $52.2 million of cash, cash equivalents, and short-term investments as of June 30, 2022, and December 31, 2021, respectively. Our regulated insurance subsidiaries held $111.7 million and $190.7 million of cash, cash equivalents, and short-term investments as of June 30, 2022, and December 31, 2021, respectively. Additionally, our regulated insurance subsidiaries held $131.0 million and $118.0 million of available-for-sale and held-to-maturity investment securities as of June 30, 2022, and December 31, 2021, respectively. Our use of operating cash derived from our unregulated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detailed discussion of our regulatory requirements, including aggregate statutory capital and surplus as well as dividends paid from the subsidiaries to the parent, please refer to Notes 24, 25, and 26 in our 2021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condensed consolidated cash flows for the six months ended June 30, 2022 and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181"/>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r>
      <w:tr>
        <w:trPr>
          <w:trHeight w:val="231"/>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Data:</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(96,213)</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(157,024)</w:t>
            </w: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125,866</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(86,611)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637,034</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393,399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flows from current operations and cash available for general corporate use.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largest source of operating cash flows is capitated payments from CMS. Our primary uses of cash from operating activities are payments for medical benefits and payments of operating expenses.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2022, net cash used in operating activities was $96.2 million, which reflects a net loss of $179.5 million. Non-cash activities included a $82.6 million charge to stock-based compensation expense, $55.3 million of amortization of the 2022 premium deficiency reserve, and a $11.2 million gain on investment related to the change in the equity structure of Character Biosciences. Payments due to CMS related to our Non-Insurance operations increased by $82.6 million. Change in our working capital included an increase in unpaid claims of $20.8 million.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2021, net cash used in operating activities was $157.0 million, which reflects a net loss of $366.0 million. Non-cash activities included a $48.9 million gain as a result of the change in fair value of warrants payable and a $85.7 million charge to stock-based compensation expense. Changes to our working capital included a $27.9 million charge to our premium deficiency reserve and an increase of $15.6 million in surety bonds and deposits related to Direct Contracting.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for the six months ended June 30, 2022, of $125.9 million was primarily due to $296.3 million provided from the sale and maturity of investment securities, offset by $169.9 million used to purchase investments.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2021, of $86.6 million was primarily due to $323.5 million used to purchase investment securities, partially offset by $237.1 million provided from the sale and maturity of investment securities.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investing activities, please refer to Note 3 (Investment Securities) to our condensed consolidated financial statements included in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for the six months ended June 30, 2022, of $5.2 million was primarily the result of the acquisition of $6.0 million in treasury stock.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2021, of $637.0 million was the result of $666.2 million in proceeds from the reverse capitalization in connection with the Business Combination, net of transaction costs, and $1.7 million in proceeds from the issuance of common stock, partially offset by $30.9 million in principal payments on our outstanding Term Loan Notes.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our financing arrangements as of June 30, 2022, as compared to those disclosed in our 2021 Form 10-K.</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funds from future operating cash flows, cash, and investments will be sufficient for future operations and commitments, and for capital acquisitions and other strategic transactions, over at least the next 12 months.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Material cash requirements from known contractual obligations and commitments as of June 30, 2022 include: (1) the recognition of a performance guarantee of $1,214.3 million in connection with the Company’s participation in the DC Model, (2) operating lease obligations of $6.7 million, and (3) the outstanding principal balance related to the convertible note entered into by Seek, our indirect wholly-owned subsidiary, on September 25, 2020, for an aggregate principal amount of $20.0 million. These commitments are associated with contracts that were enforceable and legally binding as of June 30, 2022,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For additional information regarding our remaining estimated contractual obligations and commitments, see Note 8 (Notes and Securities Payable), Note 15 (Commitments and Contingencies), and Note 16 (Non-Insurance) to Financial Statements in this report, and Note 16 (Leases) in the 2021 Form 10-K.</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we enter into agreements, with various parties (providers, vendors, consultants, etc.), of varying scope and terms pursuant to which we may agree to defend, indemnify, and hold harmless the other parties from any claim, demand, loss, lawsuit, settlement, judgment, fine, or other liability, and all related expenses which may accrue there from (including reasonable attorney’s fees), arising from or in connection with third party claims, including, but not limited to, negligence, recklessness, willful misconduct, fraud, or otherwise wrongful act or omission with respect to our obligations under the applicable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that the accounting policies and estimates involve a significant degree of judgment and complexity. There have been no significant changes in our critical accounting policies and estimates during the three months ended June 30, 2022, as compared to the critical accounting policies and estimates disclosed in 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the 2021 Form 10-K.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For recently adopted accounting pronouncements, see Note 2 (Summary of Significant Accounting Policies) to the Financial Statements in this Form 10-Q.</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See Note 2 (Summary of Significant Accounting Policies) to the Financial Statements in this report for a discussion of accounting pronouncements recently adopted and recently issued accounting pronouncements not yet adopted and their potential impact to our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also exposed to credit risk on our investment portfolio. We manage the exposure to credit risk in our portfolio by investing in high quality securities and diversifying our holdings.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As of June 30, 2022, none of our fixed maturity securities portfolio was unrated or rated below investment grade.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June 30, 2022, pursuant to Rule 13a-15(b) under the Securities Exchange Act of 1934, as amended (the "Exchange Act"). Based upon that evaluation, our Certifying Officers concluded that, as of June 30, 2022, our disclosure controls and procedures were effective.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Arial" w:cs="Arial" w:eastAsia="Arial" w:hAnsi="Arial"/>
          <w:sz w:val="17"/>
          <w:szCs w:val="17"/>
          <w:color w:val="000000"/>
        </w:rPr>
        <w:t>results</w:t>
      </w:r>
      <w:r>
        <w:rPr>
          <w:rFonts w:ascii="Arial" w:cs="Arial" w:eastAsia="Arial" w:hAnsi="Arial"/>
          <w:sz w:val="17"/>
          <w:szCs w:val="17"/>
          <w:color w:val="231F20"/>
        </w:rPr>
        <w:t xml:space="preserve"> of operation.</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For example, since February 2021, Clover has received subpoenas from the SEC related to certain disclosures and aspects of our business as well as certain matters described in an article issued on February 4, 2021, by Hindenburg Research LLC (the "Hindenburg article"). We are cooperating with the SEC's investigation. The Hindenburg article, which discussed, among other things, an ongoing inquiry by the U.S. Attorney's Office for the Eastern District of Pennsylvania relating to, among other things, certain of our arrangements with providers participating in our network and programs, and Clover Assistant, was the subject of our Current Report on Form 8-K filed with the SEC on February 5, 2021.</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legal proceedings can be found in Note 15 (Commitments and Contingencies) to the condensed consolidated financial statements included in Part I, Item 1 of this Form 10-Q, which information is incorporated by reference into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have been no material changes in our risk factors from those disclosed in Part I, Item 1A of the 2021 Form 10-K. In the course of conducting our business operations, we are exposed to a variety of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“Risk Factors” section in the 2021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below:</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420"/>
        <w:spacing w:after="0"/>
        <w:tabs>
          <w:tab w:leader="none" w:pos="580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3200"/>
        <w:spacing w:after="0" w:line="352" w:lineRule="auto"/>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Employment Agreement, dated as of May 11, 2022, between the Registrant and Scott J. Leffler</w:t>
        </w:r>
      </w:hyperlink>
      <w:r>
        <w:rPr>
          <w:rFonts w:ascii="Arial" w:cs="Arial" w:eastAsia="Arial" w:hAnsi="Arial"/>
          <w:sz w:val="16"/>
          <w:szCs w:val="16"/>
          <w:u w:val="single" w:color="auto"/>
          <w:color w:val="0000FF"/>
        </w:rPr>
        <w:t xml:space="preserve"> </w:t>
      </w:r>
      <w:hyperlink w:anchor="page87">
        <w:r>
          <w:rPr>
            <w:rFonts w:ascii="Arial" w:cs="Arial" w:eastAsia="Arial" w:hAnsi="Arial"/>
            <w:sz w:val="16"/>
            <w:szCs w:val="16"/>
            <w:u w:val="single" w:color="auto"/>
            <w:color w:val="0000FF"/>
          </w:rPr>
          <w:t>Employment Agreement, effective as of May 9, 2022, between the Registrant and Aric Sharp</w:t>
        </w:r>
      </w:hyperlink>
    </w:p>
    <w:p>
      <w:pPr>
        <w:ind w:right="440"/>
        <w:spacing w:after="0" w:line="273" w:lineRule="auto"/>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Certification of Principal Executive Officer Pursuant to Rules 13a-14(a) and 15d-14(a) under the Securities Exchange Act of 1934, as</w:t>
        </w:r>
      </w:hyperlink>
      <w:r>
        <w:rPr>
          <w:rFonts w:ascii="Arial" w:cs="Arial" w:eastAsia="Arial" w:hAnsi="Arial"/>
          <w:sz w:val="18"/>
          <w:szCs w:val="18"/>
          <w:u w:val="single" w:color="auto"/>
          <w:color w:val="0000FF"/>
        </w:rPr>
        <w:t xml:space="preserve"> </w:t>
      </w:r>
      <w:hyperlink w:anchor="page124">
        <w:r>
          <w:rPr>
            <w:rFonts w:ascii="Arial" w:cs="Arial" w:eastAsia="Arial" w:hAnsi="Arial"/>
            <w:sz w:val="18"/>
            <w:szCs w:val="18"/>
            <w:u w:val="single" w:color="auto"/>
            <w:color w:val="0000FF"/>
          </w:rPr>
          <w:t>Adopted Pursuant to Section 302 of the Sarbanes-Oxley Act of 2002</w:t>
        </w:r>
      </w:hyperlink>
    </w:p>
    <w:p>
      <w:pPr>
        <w:spacing w:after="0" w:line="1" w:lineRule="exact"/>
        <w:rPr>
          <w:sz w:val="20"/>
          <w:szCs w:val="20"/>
          <w:color w:val="auto"/>
        </w:rPr>
      </w:pPr>
    </w:p>
    <w:p>
      <w:pPr>
        <w:sectPr>
          <w:pgSz w:w="11900" w:h="16838" w:orient="portrait"/>
          <w:cols w:equalWidth="0" w:num="2">
            <w:col w:w="440" w:space="700"/>
            <w:col w:w="10040"/>
          </w:cols>
          <w:pgMar w:left="320" w:top="1093" w:right="399" w:bottom="1440" w:gutter="0" w:footer="0" w:header="0"/>
          <w:type w:val="continuous"/>
        </w:sectPr>
      </w:pPr>
    </w:p>
    <w:tbl>
      <w:tblPr>
        <w:tblLayout w:type="fixed"/>
        <w:tblInd w:w="20" w:type="dxa"/>
        <w:tblCellMar>
          <w:top w:w="0" w:type="dxa"/>
          <w:left w:w="0" w:type="dxa"/>
          <w:bottom w:w="0" w:type="dxa"/>
          <w:right w:w="0" w:type="dxa"/>
        </w:tblCellMar>
      </w:tblPr>
      <w:tr>
        <w:trPr>
          <w:trHeight w:val="205"/>
        </w:trPr>
        <w:tc>
          <w:tcPr>
            <w:tcW w:w="1120" w:type="dxa"/>
            <w:vAlign w:val="bottom"/>
          </w:tcPr>
          <w:p>
            <w:pPr>
              <w:spacing w:after="0" w:line="205" w:lineRule="exact"/>
              <w:rPr>
                <w:sz w:val="20"/>
                <w:szCs w:val="20"/>
                <w:color w:val="auto"/>
              </w:rPr>
            </w:pPr>
            <w:r>
              <w:rPr>
                <w:rFonts w:ascii="Arial" w:cs="Arial" w:eastAsia="Arial" w:hAnsi="Arial"/>
                <w:sz w:val="18"/>
                <w:szCs w:val="18"/>
                <w:color w:val="auto"/>
              </w:rPr>
              <w:t>31.2*</w:t>
            </w:r>
          </w:p>
        </w:tc>
        <w:tc>
          <w:tcPr>
            <w:tcW w:w="9560" w:type="dxa"/>
            <w:vAlign w:val="bottom"/>
            <w:tcBorders>
              <w:bottom w:val="single" w:sz="8" w:color="0000FF"/>
            </w:tcBorders>
            <w:gridSpan w:val="3"/>
          </w:tcPr>
          <w:p>
            <w:pPr>
              <w:spacing w:after="0" w:line="205" w:lineRule="exact"/>
              <w:rPr>
                <w:rFonts w:ascii="Arial" w:cs="Arial" w:eastAsia="Arial" w:hAnsi="Arial"/>
                <w:sz w:val="18"/>
                <w:szCs w:val="18"/>
                <w:color w:val="0000FF"/>
                <w:w w:val="90"/>
              </w:rPr>
            </w:pPr>
            <w:hyperlink w:anchor="page125">
              <w:r>
                <w:rPr>
                  <w:rFonts w:ascii="Arial" w:cs="Arial" w:eastAsia="Arial" w:hAnsi="Arial"/>
                  <w:sz w:val="18"/>
                  <w:szCs w:val="18"/>
                  <w:color w:val="0000FF"/>
                  <w:w w:val="90"/>
                </w:rPr>
                <w:t>Certification of Principal Financial Officer Pursuant to Rules 13a-14(a) and 15d-14(a) under the Securities Exchange Act of 1934, as</w:t>
              </w:r>
            </w:hyperlink>
          </w:p>
        </w:tc>
        <w:tc>
          <w:tcPr>
            <w:tcW w:w="48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94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125">
              <w:r>
                <w:rPr>
                  <w:rFonts w:ascii="Arial" w:cs="Arial" w:eastAsia="Arial" w:hAnsi="Arial"/>
                  <w:sz w:val="18"/>
                  <w:szCs w:val="18"/>
                  <w:color w:val="0000FF"/>
                  <w:w w:val="90"/>
                </w:rPr>
                <w:t>Adopted Pursuant to Section 302 of the Sarbanes-Oxley Act of 2002</w:t>
              </w:r>
            </w:hyperlink>
          </w:p>
        </w:tc>
        <w:tc>
          <w:tcPr>
            <w:tcW w:w="5100" w:type="dxa"/>
            <w:vAlign w:val="bottom"/>
            <w:gridSpan w:val="3"/>
          </w:tcPr>
          <w:p>
            <w:pPr>
              <w:spacing w:after="0"/>
              <w:rPr>
                <w:sz w:val="17"/>
                <w:szCs w:val="17"/>
                <w:color w:val="auto"/>
              </w:rPr>
            </w:pPr>
          </w:p>
        </w:tc>
      </w:tr>
      <w:tr>
        <w:trPr>
          <w:trHeight w:val="250"/>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100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26">
              <w:r>
                <w:rPr>
                  <w:rFonts w:ascii="Arial" w:cs="Arial" w:eastAsia="Arial" w:hAnsi="Arial"/>
                  <w:sz w:val="18"/>
                  <w:szCs w:val="18"/>
                  <w:color w:val="0000FF"/>
                  <w:w w:val="90"/>
                </w:rPr>
                <w:t>Certification of Principal Executive Officer Pursuant to 18 U.S.C. Section 1350, as Adopted Pursuant to Section 906 of the Sarbanes-Oxley</w:t>
              </w:r>
            </w:hyperlink>
          </w:p>
        </w:tc>
      </w:tr>
      <w:tr>
        <w:trPr>
          <w:trHeight w:val="196"/>
        </w:trPr>
        <w:tc>
          <w:tcPr>
            <w:tcW w:w="112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rFonts w:ascii="Arial" w:cs="Arial" w:eastAsia="Arial" w:hAnsi="Arial"/>
                <w:sz w:val="18"/>
                <w:szCs w:val="18"/>
                <w:color w:val="0000FF"/>
                <w:w w:val="92"/>
              </w:rPr>
            </w:pPr>
            <w:hyperlink w:anchor="page126">
              <w:r>
                <w:rPr>
                  <w:rFonts w:ascii="Arial" w:cs="Arial" w:eastAsia="Arial" w:hAnsi="Arial"/>
                  <w:sz w:val="18"/>
                  <w:szCs w:val="18"/>
                  <w:color w:val="0000FF"/>
                  <w:w w:val="92"/>
                </w:rPr>
                <w:t>Act of 2002</w:t>
              </w:r>
            </w:hyperlink>
          </w:p>
        </w:tc>
        <w:tc>
          <w:tcPr>
            <w:tcW w:w="9180" w:type="dxa"/>
            <w:vAlign w:val="bottom"/>
            <w:gridSpan w:val="4"/>
          </w:tcPr>
          <w:p>
            <w:pPr>
              <w:spacing w:after="0"/>
              <w:rPr>
                <w:sz w:val="17"/>
                <w:szCs w:val="17"/>
                <w:color w:val="auto"/>
              </w:rPr>
            </w:pPr>
          </w:p>
        </w:tc>
      </w:tr>
      <w:tr>
        <w:trPr>
          <w:trHeight w:val="250"/>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10040" w:type="dxa"/>
            <w:vAlign w:val="bottom"/>
            <w:gridSpan w:val="5"/>
          </w:tcPr>
          <w:p>
            <w:pPr>
              <w:spacing w:after="0"/>
              <w:rPr>
                <w:rFonts w:ascii="Arial" w:cs="Arial" w:eastAsia="Arial" w:hAnsi="Arial"/>
                <w:sz w:val="18"/>
                <w:szCs w:val="18"/>
                <w:color w:val="0000FF"/>
                <w:w w:val="91"/>
              </w:rPr>
            </w:pPr>
            <w:hyperlink w:anchor="page127">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r>
      <w:tr>
        <w:trPr>
          <w:trHeight w:val="196"/>
        </w:trPr>
        <w:tc>
          <w:tcPr>
            <w:tcW w:w="1120" w:type="dxa"/>
            <w:vAlign w:val="bottom"/>
          </w:tcPr>
          <w:p>
            <w:pPr>
              <w:spacing w:after="0"/>
              <w:rPr>
                <w:sz w:val="17"/>
                <w:szCs w:val="17"/>
                <w:color w:val="auto"/>
              </w:rPr>
            </w:pPr>
          </w:p>
        </w:tc>
        <w:tc>
          <w:tcPr>
            <w:tcW w:w="8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127">
              <w:r>
                <w:rPr>
                  <w:rFonts w:ascii="Arial" w:cs="Arial" w:eastAsia="Arial" w:hAnsi="Arial"/>
                  <w:sz w:val="18"/>
                  <w:szCs w:val="18"/>
                  <w:color w:val="0000FF"/>
                  <w:w w:val="92"/>
                </w:rPr>
                <w:t>Act of 2002</w:t>
              </w:r>
            </w:hyperlink>
          </w:p>
        </w:tc>
        <w:tc>
          <w:tcPr>
            <w:tcW w:w="9120" w:type="dxa"/>
            <w:vAlign w:val="bottom"/>
            <w:tcBorders>
              <w:top w:val="single" w:sz="8" w:color="0000FF"/>
            </w:tcBorders>
            <w:gridSpan w:val="3"/>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5"/>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r>
      <w:tr>
        <w:trPr>
          <w:trHeight w:val="229"/>
        </w:trPr>
        <w:tc>
          <w:tcPr>
            <w:tcW w:w="112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100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type w:val="continuous"/>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CLOVER HEALTH INVESTMENTS, CORP.</w:t>
      </w:r>
    </w:p>
    <w:p>
      <w:pPr>
        <w:spacing w:after="0" w:line="297" w:lineRule="exact"/>
        <w:rPr>
          <w:sz w:val="20"/>
          <w:szCs w:val="20"/>
          <w:color w:val="auto"/>
        </w:rPr>
      </w:pPr>
    </w:p>
    <w:p>
      <w:pPr>
        <w:ind w:left="20"/>
        <w:spacing w:after="0"/>
        <w:tabs>
          <w:tab w:leader="none" w:pos="5360" w:val="left"/>
          <w:tab w:leader="none" w:pos="786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3947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tabs>
          <w:tab w:leader="none" w:pos="5360" w:val="left"/>
          <w:tab w:leader="none" w:pos="788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3947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Scott J. Leffler</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7"/>
          <w:szCs w:val="17"/>
          <w:b w:val="1"/>
          <w:bCs w:val="1"/>
          <w:color w:val="auto"/>
        </w:rPr>
        <w:t>Chief Financial Officer (Principal Financial Officer and Principal</w:t>
      </w:r>
    </w:p>
    <w:p>
      <w:pPr>
        <w:ind w:left="7780"/>
        <w:spacing w:after="0"/>
        <w:rPr>
          <w:sz w:val="20"/>
          <w:szCs w:val="20"/>
          <w:color w:val="auto"/>
        </w:rPr>
      </w:pPr>
      <w:r>
        <w:rPr>
          <w:rFonts w:ascii="Arial" w:cs="Arial" w:eastAsia="Arial" w:hAnsi="Arial"/>
          <w:sz w:val="18"/>
          <w:szCs w:val="18"/>
          <w:b w:val="1"/>
          <w:bCs w:val="1"/>
          <w:color w:val="auto"/>
        </w:rPr>
        <w:t>Accounting Officer)</w:t>
      </w:r>
    </w:p>
    <w:p>
      <w:pPr>
        <w:sectPr>
          <w:pgSz w:w="11900" w:h="16838" w:orient="portrait"/>
          <w:cols w:equalWidth="0" w:num="1">
            <w:col w:w="11240"/>
          </w:cols>
          <w:pgMar w:left="320" w:top="823" w:right="339" w:bottom="1440" w:gutter="0" w:footer="0" w:header="0"/>
        </w:sectPr>
      </w:pPr>
    </w:p>
    <w:bookmarkStart w:id="48" w:name="page49"/>
    <w:bookmarkEnd w:id="48"/>
    <w:p>
      <w:pPr>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t>CONFIDENTIAL</w:t>
      </w:r>
    </w:p>
    <w:p>
      <w:pPr>
        <w:spacing w:after="0"/>
        <w:rPr>
          <w:sz w:val="20"/>
          <w:szCs w:val="20"/>
          <w:color w:val="auto"/>
        </w:rPr>
      </w:pPr>
      <w:r>
        <w:rPr>
          <w:rFonts w:ascii="Arial" w:cs="Arial" w:eastAsia="Arial" w:hAnsi="Arial"/>
          <w:sz w:val="20"/>
          <w:szCs w:val="20"/>
          <w:color w:val="auto"/>
        </w:rPr>
        <w:t>May 11, 2022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Clover Health Investments, Corp.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3401 Mallory Lane, Suite 210</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Franklin TN 37067</w:t>
      </w:r>
    </w:p>
    <w:p>
      <w:pPr>
        <w:spacing w:after="0" w:line="246"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u w:val="single" w:color="auto"/>
          <w:color w:val="auto"/>
        </w:rPr>
        <w:t>EMPLOYMENT AGREEMENT</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Dear Scott Leffler,</w:t>
      </w:r>
    </w:p>
    <w:p>
      <w:pPr>
        <w:spacing w:after="0" w:line="200" w:lineRule="exact"/>
        <w:rPr>
          <w:sz w:val="20"/>
          <w:szCs w:val="20"/>
          <w:color w:val="auto"/>
        </w:rPr>
      </w:pP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This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between you (referred to hereinafter as the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and Clover Health, LLC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sets forth the terms and conditions that shall govern Executive’s employment with the Company (referred to hereinafter as “</w:t>
      </w:r>
      <w:r>
        <w:rPr>
          <w:rFonts w:ascii="Arial" w:cs="Arial" w:eastAsia="Arial" w:hAnsi="Arial"/>
          <w:sz w:val="20"/>
          <w:szCs w:val="20"/>
          <w:b w:val="1"/>
          <w:bCs w:val="1"/>
          <w:i w:val="1"/>
          <w:iCs w:val="1"/>
          <w:color w:val="auto"/>
        </w:rPr>
        <w:t>Employment</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Employment Period</w:t>
      </w:r>
      <w:r>
        <w:rPr>
          <w:rFonts w:ascii="Arial" w:cs="Arial" w:eastAsia="Arial" w:hAnsi="Arial"/>
          <w:sz w:val="20"/>
          <w:szCs w:val="20"/>
          <w:color w:val="auto"/>
        </w:rPr>
        <w:t>”), effective as of Executive’s employment start date (the “Start Date”) which is to be mutually agreed, but no later than 95 days after the date of this Agreement (expected Start Date between August 1 and August 15, 2022).</w:t>
      </w:r>
    </w:p>
    <w:p>
      <w:pPr>
        <w:spacing w:after="0" w:line="181"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b w:val="1"/>
          <w:bCs w:val="1"/>
          <w:u w:val="single" w:color="auto"/>
          <w:color w:val="auto"/>
        </w:rPr>
        <w:t>Duties and Scope of Employment</w:t>
      </w:r>
      <w:r>
        <w:rPr>
          <w:rFonts w:ascii="Arial" w:cs="Arial" w:eastAsia="Arial" w:hAnsi="Arial"/>
          <w:sz w:val="20"/>
          <w:szCs w:val="20"/>
          <w:b w:val="1"/>
          <w:bCs w:val="1"/>
          <w:color w:val="auto"/>
        </w:rPr>
        <w:t>.</w:t>
      </w:r>
    </w:p>
    <w:p>
      <w:pPr>
        <w:spacing w:after="0" w:line="242" w:lineRule="exact"/>
        <w:rPr>
          <w:rFonts w:ascii="Arial" w:cs="Arial" w:eastAsia="Arial" w:hAnsi="Arial"/>
          <w:sz w:val="20"/>
          <w:szCs w:val="20"/>
          <w:color w:val="auto"/>
        </w:rPr>
      </w:pPr>
    </w:p>
    <w:p>
      <w:pPr>
        <w:jc w:val="both"/>
        <w:ind w:left="1300" w:hanging="320"/>
        <w:spacing w:after="0" w:line="273" w:lineRule="auto"/>
        <w:tabs>
          <w:tab w:leader="none" w:pos="1289" w:val="left"/>
        </w:tabs>
        <w:numPr>
          <w:ilvl w:val="1"/>
          <w:numId w:val="16"/>
        </w:numPr>
        <w:rPr>
          <w:rFonts w:ascii="Arial" w:cs="Arial" w:eastAsia="Arial" w:hAnsi="Arial"/>
          <w:sz w:val="20"/>
          <w:szCs w:val="20"/>
          <w:color w:val="auto"/>
        </w:rPr>
      </w:pPr>
      <w:r>
        <w:rPr>
          <w:rFonts w:ascii="Arial" w:cs="Arial" w:eastAsia="Arial" w:hAnsi="Arial"/>
          <w:sz w:val="20"/>
          <w:szCs w:val="20"/>
          <w:b w:val="1"/>
          <w:bCs w:val="1"/>
          <w:u w:val="single" w:color="auto"/>
          <w:color w:val="auto"/>
        </w:rPr>
        <w:t>At-Will Employment</w:t>
      </w:r>
      <w:r>
        <w:rPr>
          <w:rFonts w:ascii="Arial" w:cs="Arial" w:eastAsia="Arial" w:hAnsi="Arial"/>
          <w:sz w:val="20"/>
          <w:szCs w:val="20"/>
          <w:color w:val="auto"/>
        </w:rPr>
        <w:t>. Executive’s Employment with the Company is for no specified period and constitutes “at</w:t>
      </w:r>
      <w:r>
        <w:rPr>
          <w:rFonts w:ascii="Arial" w:cs="Arial" w:eastAsia="Arial" w:hAnsi="Arial"/>
          <w:sz w:val="20"/>
          <w:szCs w:val="20"/>
          <w:b w:val="1"/>
          <w:bCs w:val="1"/>
          <w:color w:val="auto"/>
        </w:rPr>
        <w:t xml:space="preserve"> </w:t>
      </w:r>
      <w:r>
        <w:rPr>
          <w:rFonts w:ascii="Arial" w:cs="Arial" w:eastAsia="Arial" w:hAnsi="Arial"/>
          <w:sz w:val="20"/>
          <w:szCs w:val="20"/>
          <w:color w:val="auto"/>
        </w:rPr>
        <w:t>will” employment. Except as otherwise set forth herein, Executive is free to terminate Employment at any time, with or without advance notice, and for any reason or for no reason. Similarly, the Company is free to terminate Executive’s Employment at any time, with or without advance notice, and with or without Cause (as defined below), subject to its obligations in this Agreement. Furthermore, although terms and conditions of Executive’s Employment with the Company may change over time, nothing shall change the at-will nature of Executive’s Employment.</w:t>
      </w:r>
    </w:p>
    <w:p>
      <w:pPr>
        <w:spacing w:after="0" w:line="139" w:lineRule="exact"/>
        <w:rPr>
          <w:rFonts w:ascii="Arial" w:cs="Arial" w:eastAsia="Arial" w:hAnsi="Arial"/>
          <w:sz w:val="20"/>
          <w:szCs w:val="20"/>
          <w:color w:val="auto"/>
        </w:rPr>
      </w:pPr>
    </w:p>
    <w:p>
      <w:pPr>
        <w:ind w:left="1300" w:hanging="320"/>
        <w:spacing w:after="0"/>
        <w:tabs>
          <w:tab w:leader="none" w:pos="1300" w:val="left"/>
        </w:tabs>
        <w:numPr>
          <w:ilvl w:val="1"/>
          <w:numId w:val="16"/>
        </w:numPr>
        <w:rPr>
          <w:rFonts w:ascii="Arial" w:cs="Arial" w:eastAsia="Arial" w:hAnsi="Arial"/>
          <w:sz w:val="19"/>
          <w:szCs w:val="19"/>
          <w:color w:val="auto"/>
        </w:rPr>
      </w:pPr>
      <w:r>
        <w:rPr>
          <w:rFonts w:ascii="Arial" w:cs="Arial" w:eastAsia="Arial" w:hAnsi="Arial"/>
          <w:sz w:val="19"/>
          <w:szCs w:val="19"/>
          <w:b w:val="1"/>
          <w:bCs w:val="1"/>
          <w:u w:val="single" w:color="auto"/>
          <w:color w:val="auto"/>
        </w:rPr>
        <w:t>Position and Responsibilities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Employment Period, the Company agrees to employ Executive in the</w:t>
      </w:r>
    </w:p>
    <w:p>
      <w:pPr>
        <w:spacing w:after="0" w:line="62" w:lineRule="exact"/>
        <w:rPr>
          <w:rFonts w:ascii="Arial" w:cs="Arial" w:eastAsia="Arial" w:hAnsi="Arial"/>
          <w:sz w:val="19"/>
          <w:szCs w:val="19"/>
          <w:color w:val="auto"/>
        </w:rPr>
      </w:pPr>
    </w:p>
    <w:p>
      <w:pPr>
        <w:jc w:val="both"/>
        <w:ind w:left="1300"/>
        <w:spacing w:after="0" w:line="269" w:lineRule="auto"/>
        <w:rPr>
          <w:rFonts w:ascii="Arial" w:cs="Arial" w:eastAsia="Arial" w:hAnsi="Arial"/>
          <w:sz w:val="19"/>
          <w:szCs w:val="19"/>
          <w:color w:val="auto"/>
        </w:rPr>
      </w:pPr>
      <w:r>
        <w:rPr>
          <w:rFonts w:ascii="Arial" w:cs="Arial" w:eastAsia="Arial" w:hAnsi="Arial"/>
          <w:sz w:val="20"/>
          <w:szCs w:val="20"/>
          <w:color w:val="auto"/>
        </w:rPr>
        <w:t>position of Chief Financial Officer. Executive will report to the Company’s Chief Executive Officer (Executive’s “</w:t>
      </w:r>
      <w:r>
        <w:rPr>
          <w:rFonts w:ascii="Arial" w:cs="Arial" w:eastAsia="Arial" w:hAnsi="Arial"/>
          <w:sz w:val="20"/>
          <w:szCs w:val="20"/>
          <w:b w:val="1"/>
          <w:bCs w:val="1"/>
          <w:i w:val="1"/>
          <w:iCs w:val="1"/>
          <w:color w:val="auto"/>
        </w:rPr>
        <w:t>Supervisor</w:t>
      </w:r>
      <w:r>
        <w:rPr>
          <w:rFonts w:ascii="Arial" w:cs="Arial" w:eastAsia="Arial" w:hAnsi="Arial"/>
          <w:sz w:val="20"/>
          <w:szCs w:val="20"/>
          <w:color w:val="auto"/>
        </w:rPr>
        <w:t>”), and Executive will be working remotely and based out of Florida. Executive will perform the duties and have the responsibilities and authority customarily performed and held by an employee in Executive’s position or as otherwise may be assigned or delegated to Executive by Executive’s Supervisor consistent with Executive’s position and experience.</w:t>
      </w:r>
    </w:p>
    <w:p>
      <w:pPr>
        <w:spacing w:after="0" w:line="158" w:lineRule="exact"/>
        <w:rPr>
          <w:rFonts w:ascii="Arial" w:cs="Arial" w:eastAsia="Arial" w:hAnsi="Arial"/>
          <w:sz w:val="19"/>
          <w:szCs w:val="19"/>
          <w:color w:val="auto"/>
        </w:rPr>
      </w:pPr>
    </w:p>
    <w:p>
      <w:pPr>
        <w:jc w:val="both"/>
        <w:ind w:left="1300" w:hanging="320"/>
        <w:spacing w:after="0" w:line="275" w:lineRule="auto"/>
        <w:tabs>
          <w:tab w:leader="none" w:pos="1292" w:val="left"/>
        </w:tabs>
        <w:numPr>
          <w:ilvl w:val="1"/>
          <w:numId w:val="16"/>
        </w:numPr>
        <w:rPr>
          <w:rFonts w:ascii="Arial" w:cs="Arial" w:eastAsia="Arial" w:hAnsi="Arial"/>
          <w:sz w:val="20"/>
          <w:szCs w:val="20"/>
          <w:color w:val="auto"/>
        </w:rPr>
      </w:pPr>
      <w:r>
        <w:rPr>
          <w:rFonts w:ascii="Arial" w:cs="Arial" w:eastAsia="Arial" w:hAnsi="Arial"/>
          <w:sz w:val="20"/>
          <w:szCs w:val="20"/>
          <w:b w:val="1"/>
          <w:bCs w:val="1"/>
          <w:u w:val="single" w:color="auto"/>
          <w:color w:val="auto"/>
        </w:rPr>
        <w:t>Obligations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Employment Period, Executive shall perform Executive’s duties</w:t>
      </w:r>
      <w:r>
        <w:rPr>
          <w:rFonts w:ascii="Arial" w:cs="Arial" w:eastAsia="Arial" w:hAnsi="Arial"/>
          <w:sz w:val="20"/>
          <w:szCs w:val="20"/>
          <w:b w:val="1"/>
          <w:bCs w:val="1"/>
          <w:color w:val="auto"/>
        </w:rPr>
        <w:t xml:space="preserve"> </w:t>
      </w:r>
      <w:r>
        <w:rPr>
          <w:rFonts w:ascii="Arial" w:cs="Arial" w:eastAsia="Arial" w:hAnsi="Arial"/>
          <w:sz w:val="20"/>
          <w:szCs w:val="20"/>
          <w:color w:val="auto"/>
        </w:rPr>
        <w:t>faithfully and to the best of Executive’s ability and will devote Executive’s full business efforts and time to the Company. During the Employment Period, without the prior written approval of Executive’s Supervisor, Executive shall not render services in any capacity to any other Person and shall not act as a sole proprietor, advisor or partner of any other Person or own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77" w:right="339" w:bottom="1440" w:gutter="0" w:footer="0" w:header="0"/>
        </w:sectPr>
      </w:pPr>
    </w:p>
    <w:bookmarkStart w:id="49" w:name="page50"/>
    <w:bookmarkEnd w:id="49"/>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jc w:val="both"/>
        <w:ind w:left="968"/>
        <w:spacing w:after="0" w:line="268" w:lineRule="auto"/>
        <w:rPr>
          <w:sz w:val="20"/>
          <w:szCs w:val="20"/>
          <w:color w:val="auto"/>
        </w:rPr>
      </w:pPr>
      <w:r>
        <w:rPr>
          <w:rFonts w:ascii="Arial" w:cs="Arial" w:eastAsia="Arial" w:hAnsi="Arial"/>
          <w:sz w:val="20"/>
          <w:szCs w:val="20"/>
          <w:color w:val="auto"/>
        </w:rPr>
        <w:t>than five percent (5%) of the stock of any other corporation. Notwithstanding the foregoing, Executive may serve on civic or charitable boards or committees, deliver lectures, fulfill speaking engagements, teach at educational institutions, or manage personal investments without advance written consent of Executive’s Supervisor; provided that such activities do not individually or in the aggregate interfere with the performance of Executive’s duties under this Agreement or create a potential business or fiduciary conflict. Executive shall comply with the Company’s policies and rules, as communicated to Executive in writing, and as they may be in effect from time to time during Executive’s Employment. Executive represents and warrants to the Company that Executive has returned all property and confidential information belonging to any prior employer.</w:t>
      </w:r>
    </w:p>
    <w:p>
      <w:pPr>
        <w:spacing w:after="0" w:line="163" w:lineRule="exact"/>
        <w:rPr>
          <w:sz w:val="20"/>
          <w:szCs w:val="20"/>
          <w:color w:val="auto"/>
        </w:rPr>
      </w:pPr>
    </w:p>
    <w:p>
      <w:pPr>
        <w:ind w:left="308" w:hanging="308"/>
        <w:spacing w:after="0"/>
        <w:tabs>
          <w:tab w:leader="none" w:pos="308" w:val="left"/>
        </w:tabs>
        <w:numPr>
          <w:ilvl w:val="0"/>
          <w:numId w:val="17"/>
        </w:numPr>
        <w:rPr>
          <w:rFonts w:ascii="Arial" w:cs="Arial" w:eastAsia="Arial" w:hAnsi="Arial"/>
          <w:sz w:val="20"/>
          <w:szCs w:val="20"/>
          <w:color w:val="auto"/>
        </w:rPr>
      </w:pPr>
      <w:r>
        <w:rPr>
          <w:rFonts w:ascii="Arial" w:cs="Arial" w:eastAsia="Arial" w:hAnsi="Arial"/>
          <w:sz w:val="20"/>
          <w:szCs w:val="20"/>
          <w:b w:val="1"/>
          <w:bCs w:val="1"/>
          <w:u w:val="single" w:color="auto"/>
          <w:color w:val="auto"/>
        </w:rPr>
        <w:t>Cash and Incentive Compensation</w:t>
      </w:r>
      <w:r>
        <w:rPr>
          <w:rFonts w:ascii="Arial" w:cs="Arial" w:eastAsia="Arial" w:hAnsi="Arial"/>
          <w:sz w:val="20"/>
          <w:szCs w:val="20"/>
          <w:b w:val="1"/>
          <w:bCs w:val="1"/>
          <w:color w:val="auto"/>
        </w:rPr>
        <w:t>.</w:t>
      </w:r>
    </w:p>
    <w:p>
      <w:pPr>
        <w:spacing w:after="0" w:line="202" w:lineRule="exact"/>
        <w:rPr>
          <w:rFonts w:ascii="Arial" w:cs="Arial" w:eastAsia="Arial" w:hAnsi="Arial"/>
          <w:sz w:val="20"/>
          <w:szCs w:val="20"/>
          <w:color w:val="auto"/>
        </w:rPr>
      </w:pPr>
    </w:p>
    <w:p>
      <w:pPr>
        <w:jc w:val="both"/>
        <w:ind w:left="968" w:hanging="320"/>
        <w:spacing w:after="0" w:line="276" w:lineRule="auto"/>
        <w:tabs>
          <w:tab w:leader="none" w:pos="957" w:val="left"/>
        </w:tabs>
        <w:numPr>
          <w:ilvl w:val="1"/>
          <w:numId w:val="17"/>
        </w:numPr>
        <w:rPr>
          <w:rFonts w:ascii="Arial" w:cs="Arial" w:eastAsia="Arial" w:hAnsi="Arial"/>
          <w:sz w:val="20"/>
          <w:szCs w:val="20"/>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shall pay Executive, as compensation for Executive’s services, a base salary at a</w:t>
      </w:r>
      <w:r>
        <w:rPr>
          <w:rFonts w:ascii="Arial" w:cs="Arial" w:eastAsia="Arial" w:hAnsi="Arial"/>
          <w:sz w:val="20"/>
          <w:szCs w:val="20"/>
          <w:b w:val="1"/>
          <w:bCs w:val="1"/>
          <w:color w:val="auto"/>
        </w:rPr>
        <w:t xml:space="preserve"> </w:t>
      </w:r>
      <w:r>
        <w:rPr>
          <w:rFonts w:ascii="Arial" w:cs="Arial" w:eastAsia="Arial" w:hAnsi="Arial"/>
          <w:sz w:val="20"/>
          <w:szCs w:val="20"/>
          <w:color w:val="auto"/>
        </w:rPr>
        <w:t>gross annual rate of $500,000.00, less all required tax withholdings and other applicable deductions, in accordance with the Company’s standard payroll procedures. The annual compensation specified in this</w:t>
      </w:r>
    </w:p>
    <w:p>
      <w:pPr>
        <w:jc w:val="both"/>
        <w:ind w:left="968"/>
        <w:spacing w:after="0" w:line="269" w:lineRule="auto"/>
        <w:rPr>
          <w:rFonts w:ascii="Arial" w:cs="Arial" w:eastAsia="Arial" w:hAnsi="Arial"/>
          <w:sz w:val="20"/>
          <w:szCs w:val="20"/>
          <w:color w:val="auto"/>
        </w:rPr>
      </w:pPr>
      <w:r>
        <w:rPr>
          <w:rFonts w:ascii="Arial" w:cs="Arial" w:eastAsia="Arial" w:hAnsi="Arial"/>
          <w:sz w:val="20"/>
          <w:szCs w:val="20"/>
          <w:color w:val="auto"/>
        </w:rPr>
        <w:t>subsection (a), together with any increases in such compensation that the Company may make from time to time, is referred to in this Agreement as the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Executive’s Base Salary will be subject to review and increases (but not decreases) that will be made based upon the Company’s normal performance review practices. Effective as of the date of any change to Executive’s Base Salary, the Base Salary as so changed shall be considered the new Base Salary for all purposes of this Agreement.</w:t>
      </w:r>
    </w:p>
    <w:p>
      <w:pPr>
        <w:spacing w:after="0" w:line="145" w:lineRule="exact"/>
        <w:rPr>
          <w:rFonts w:ascii="Arial" w:cs="Arial" w:eastAsia="Arial" w:hAnsi="Arial"/>
          <w:sz w:val="20"/>
          <w:szCs w:val="20"/>
          <w:color w:val="auto"/>
        </w:rPr>
      </w:pPr>
    </w:p>
    <w:p>
      <w:pPr>
        <w:jc w:val="both"/>
        <w:ind w:left="968" w:hanging="320"/>
        <w:spacing w:after="0" w:line="288" w:lineRule="auto"/>
        <w:tabs>
          <w:tab w:leader="none" w:pos="957" w:val="left"/>
        </w:tabs>
        <w:numPr>
          <w:ilvl w:val="1"/>
          <w:numId w:val="17"/>
        </w:numPr>
        <w:rPr>
          <w:rFonts w:ascii="Arial" w:cs="Arial" w:eastAsia="Arial" w:hAnsi="Arial"/>
          <w:sz w:val="19"/>
          <w:szCs w:val="19"/>
          <w:color w:val="auto"/>
        </w:rPr>
      </w:pPr>
      <w:r>
        <w:rPr>
          <w:rFonts w:ascii="Arial" w:cs="Arial" w:eastAsia="Arial" w:hAnsi="Arial"/>
          <w:sz w:val="19"/>
          <w:szCs w:val="19"/>
          <w:b w:val="1"/>
          <w:bCs w:val="1"/>
          <w:u w:val="single" w:color="auto"/>
          <w:color w:val="auto"/>
        </w:rPr>
        <w:t>Cash Incentive Bonus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will be eligible to be considered for an annual cash incentive bonus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Cash Bonus</w:t>
      </w:r>
      <w:r>
        <w:rPr>
          <w:rFonts w:ascii="Arial" w:cs="Arial" w:eastAsia="Arial" w:hAnsi="Arial"/>
          <w:sz w:val="19"/>
          <w:szCs w:val="19"/>
          <w:color w:val="auto"/>
        </w:rPr>
        <w:t>”) each calendar year during the Employment Period (the “</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based upon the achievement of certain objective or subjective criteria (collectively, the “</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In compliance with all relevant legal requirements and based on Executive’s level within the Company, the Performance Goals for</w:t>
      </w:r>
    </w:p>
    <w:p>
      <w:pPr>
        <w:spacing w:after="0" w:line="1" w:lineRule="exact"/>
        <w:rPr>
          <w:rFonts w:ascii="Arial" w:cs="Arial" w:eastAsia="Arial" w:hAnsi="Arial"/>
          <w:sz w:val="19"/>
          <w:szCs w:val="19"/>
          <w:color w:val="auto"/>
        </w:rPr>
      </w:pPr>
    </w:p>
    <w:p>
      <w:pPr>
        <w:jc w:val="both"/>
        <w:ind w:left="968"/>
        <w:spacing w:after="0" w:line="268" w:lineRule="auto"/>
        <w:rPr>
          <w:rFonts w:ascii="Arial" w:cs="Arial" w:eastAsia="Arial" w:hAnsi="Arial"/>
          <w:sz w:val="19"/>
          <w:szCs w:val="19"/>
          <w:color w:val="auto"/>
        </w:rPr>
      </w:pPr>
      <w:r>
        <w:rPr>
          <w:rFonts w:ascii="Arial" w:cs="Arial" w:eastAsia="Arial" w:hAnsi="Arial"/>
          <w:sz w:val="20"/>
          <w:szCs w:val="20"/>
          <w:color w:val="auto"/>
        </w:rPr>
        <w:t>Executive’s Cash Bonus for a particular year will be established by, and in the sole discretion of, the Company’s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any Compensation Committee of the Board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or a delegate of either the Board or the Committee (the “</w:t>
      </w:r>
      <w:r>
        <w:rPr>
          <w:rFonts w:ascii="Arial" w:cs="Arial" w:eastAsia="Arial" w:hAnsi="Arial"/>
          <w:sz w:val="20"/>
          <w:szCs w:val="20"/>
          <w:b w:val="1"/>
          <w:bCs w:val="1"/>
          <w:i w:val="1"/>
          <w:iCs w:val="1"/>
          <w:color w:val="auto"/>
        </w:rPr>
        <w:t>Delegate</w:t>
      </w:r>
      <w:r>
        <w:rPr>
          <w:rFonts w:ascii="Arial" w:cs="Arial" w:eastAsia="Arial" w:hAnsi="Arial"/>
          <w:sz w:val="20"/>
          <w:szCs w:val="20"/>
          <w:color w:val="auto"/>
        </w:rPr>
        <w:t>”), as applicable. The initial target amount for any such Cash Bonus will be 75% of Executive’s Base Salary (the “</w:t>
      </w:r>
      <w:r>
        <w:rPr>
          <w:rFonts w:ascii="Arial" w:cs="Arial" w:eastAsia="Arial" w:hAnsi="Arial"/>
          <w:sz w:val="20"/>
          <w:szCs w:val="20"/>
          <w:b w:val="1"/>
          <w:bCs w:val="1"/>
          <w:i w:val="1"/>
          <w:iCs w:val="1"/>
          <w:color w:val="auto"/>
        </w:rPr>
        <w:t>Target Bonus Percentage</w:t>
      </w:r>
      <w:r>
        <w:rPr>
          <w:rFonts w:ascii="Arial" w:cs="Arial" w:eastAsia="Arial" w:hAnsi="Arial"/>
          <w:sz w:val="20"/>
          <w:szCs w:val="20"/>
          <w:color w:val="auto"/>
        </w:rPr>
        <w:t>”). The determinations of the Board, the Committee or the Delegate, as applicable, with respect to such Cash Bonus shall be final and binding. Executive’s Target Bonus Percentage for any subsequent year may be increased but not decreased, as determined in the sole discretion of the Board, the Committee or the Delegate, as applicable. Executive shall not earn a Cash Bonus unless Executive (i) has been employed by the Company for a minimum of three (3) months of the Performance Period and (ii) is employed by the Company on the date when such Cash Bonus is actually paid by the Company. If Executive has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08"/>
          </w:cols>
          <w:pgMar w:left="652" w:top="1440" w:right="339" w:bottom="1440" w:gutter="0" w:footer="0" w:header="0"/>
        </w:sectPr>
      </w:pPr>
    </w:p>
    <w:bookmarkStart w:id="50" w:name="page51"/>
    <w:bookmarkEnd w:id="50"/>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jc w:val="both"/>
        <w:ind w:left="320"/>
        <w:spacing w:after="0" w:line="270" w:lineRule="auto"/>
        <w:rPr>
          <w:sz w:val="20"/>
          <w:szCs w:val="20"/>
          <w:color w:val="auto"/>
        </w:rPr>
      </w:pPr>
      <w:r>
        <w:rPr>
          <w:rFonts w:ascii="Arial" w:cs="Arial" w:eastAsia="Arial" w:hAnsi="Arial"/>
          <w:sz w:val="20"/>
          <w:szCs w:val="20"/>
          <w:color w:val="auto"/>
        </w:rPr>
        <w:t>employed by the Company for the full Performance Period associated with the Cash Bonus, Executive will not be eligible for the full Cash Bonus that year; instead, Executive’s Cash Bonus will be prorated based on the number of completed months Executive has been employed with the Company. Payment of the Cash Bonus amount, if any, is subject to all required tax withholdings and other applicable deductions.</w:t>
      </w:r>
    </w:p>
    <w:p>
      <w:pPr>
        <w:spacing w:after="0" w:line="156" w:lineRule="exact"/>
        <w:rPr>
          <w:sz w:val="20"/>
          <w:szCs w:val="20"/>
          <w:color w:val="auto"/>
        </w:rPr>
      </w:pPr>
    </w:p>
    <w:p>
      <w:pPr>
        <w:jc w:val="both"/>
        <w:ind w:left="320" w:right="20" w:hanging="320"/>
        <w:spacing w:after="0" w:line="280" w:lineRule="auto"/>
        <w:tabs>
          <w:tab w:leader="none" w:pos="308" w:val="left"/>
        </w:tabs>
        <w:numPr>
          <w:ilvl w:val="0"/>
          <w:numId w:val="18"/>
        </w:numPr>
        <w:rPr>
          <w:rFonts w:ascii="Arial" w:cs="Arial" w:eastAsia="Arial" w:hAnsi="Arial"/>
          <w:sz w:val="20"/>
          <w:szCs w:val="20"/>
          <w:color w:val="auto"/>
        </w:rPr>
      </w:pPr>
      <w:r>
        <w:rPr>
          <w:rFonts w:ascii="Arial" w:cs="Arial" w:eastAsia="Arial" w:hAnsi="Arial"/>
          <w:sz w:val="20"/>
          <w:szCs w:val="20"/>
          <w:b w:val="1"/>
          <w:bCs w:val="1"/>
          <w:u w:val="single" w:color="auto"/>
          <w:color w:val="auto"/>
        </w:rPr>
        <w:t>Restricted Stock Units</w:t>
      </w:r>
      <w:r>
        <w:rPr>
          <w:rFonts w:ascii="Arial" w:cs="Arial" w:eastAsia="Arial" w:hAnsi="Arial"/>
          <w:sz w:val="20"/>
          <w:szCs w:val="20"/>
          <w:color w:val="auto"/>
        </w:rPr>
        <w:t>. As an inducement for the Executive to accept the offer of employment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as contemplated by this Agreement, the Company shall award to the Executive a one-time sign on</w:t>
      </w:r>
    </w:p>
    <w:p>
      <w:pPr>
        <w:jc w:val="both"/>
        <w:ind w:left="320"/>
        <w:spacing w:after="0" w:line="281" w:lineRule="auto"/>
        <w:rPr>
          <w:rFonts w:ascii="Arial" w:cs="Arial" w:eastAsia="Arial" w:hAnsi="Arial"/>
          <w:sz w:val="20"/>
          <w:szCs w:val="20"/>
          <w:color w:val="auto"/>
        </w:rPr>
      </w:pPr>
      <w:r>
        <w:rPr>
          <w:rFonts w:ascii="Arial" w:cs="Arial" w:eastAsia="Arial" w:hAnsi="Arial"/>
          <w:sz w:val="19"/>
          <w:szCs w:val="19"/>
          <w:color w:val="auto"/>
        </w:rPr>
        <w:t>grant of restricted stock units covering shares of the Company’s Class A common stock with a grant date fair value (the “</w:t>
      </w:r>
      <w:r>
        <w:rPr>
          <w:rFonts w:ascii="Arial" w:cs="Arial" w:eastAsia="Arial" w:hAnsi="Arial"/>
          <w:sz w:val="19"/>
          <w:szCs w:val="19"/>
          <w:b w:val="1"/>
          <w:bCs w:val="1"/>
          <w:i w:val="1"/>
          <w:iCs w:val="1"/>
          <w:color w:val="auto"/>
        </w:rPr>
        <w:t>Sign-on RSU Cash Value</w:t>
      </w:r>
      <w:r>
        <w:rPr>
          <w:rFonts w:ascii="Arial" w:cs="Arial" w:eastAsia="Arial" w:hAnsi="Arial"/>
          <w:sz w:val="19"/>
          <w:szCs w:val="19"/>
          <w:color w:val="auto"/>
        </w:rPr>
        <w:t>”) of $12,000,000 (twelve million dollars) (the “</w:t>
      </w:r>
      <w:r>
        <w:rPr>
          <w:rFonts w:ascii="Arial" w:cs="Arial" w:eastAsia="Arial" w:hAnsi="Arial"/>
          <w:sz w:val="19"/>
          <w:szCs w:val="19"/>
          <w:b w:val="1"/>
          <w:bCs w:val="1"/>
          <w:i w:val="1"/>
          <w:iCs w:val="1"/>
          <w:color w:val="auto"/>
        </w:rPr>
        <w:t>Sign-on RSU Award</w:t>
      </w:r>
      <w:r>
        <w:rPr>
          <w:rFonts w:ascii="Arial" w:cs="Arial" w:eastAsia="Arial" w:hAnsi="Arial"/>
          <w:sz w:val="19"/>
          <w:szCs w:val="19"/>
          <w:color w:val="auto"/>
        </w:rPr>
        <w:t>”). The number of shares subject to the RSU Awards will be determined by dividing the Sign-on RSU Cash Value by the average closing price of a share of the Company’s Class A common stock as publicly reported for the thirty trading days ending on the trading day prior to the date of grant. The Sign-on RSU Awards shall be granted on the first day of your employment. Subject to any vesting acceleration rights Executive may have, the Sign-on RSU Award shall vest and become payable as follows: 25% of the Sign-on RSU Award will vest on the first anniversary of Executive’s Start Date, and the remainder of the Sign-on RSU Award will vest in twelve equal quarterly installments beginning on the date that is three months after the first anniversary of the Start Date, in each case subject to Executive continuing to provide services to the Company through the relevant vesting dates. For avoidance of doubt, the vesting schedule described in this provision (i) applies only to the Sign-on RSU Award and (ii) a different vesting schedule or vesting conditions may be approved by the Board, the Committee or the Delegate, as applicable for subsequent equity grants. The Sign-on RSU Award will be subject to the terms,</w:t>
      </w:r>
    </w:p>
    <w:p>
      <w:pPr>
        <w:spacing w:after="0" w:line="8" w:lineRule="exact"/>
        <w:rPr>
          <w:rFonts w:ascii="Arial" w:cs="Arial" w:eastAsia="Arial" w:hAnsi="Arial"/>
          <w:sz w:val="20"/>
          <w:szCs w:val="20"/>
          <w:color w:val="auto"/>
        </w:rPr>
      </w:pPr>
    </w:p>
    <w:p>
      <w:pPr>
        <w:jc w:val="both"/>
        <w:ind w:left="320"/>
        <w:spacing w:after="0" w:line="269" w:lineRule="auto"/>
        <w:rPr>
          <w:rFonts w:ascii="Arial" w:cs="Arial" w:eastAsia="Arial" w:hAnsi="Arial"/>
          <w:sz w:val="20"/>
          <w:szCs w:val="20"/>
          <w:color w:val="auto"/>
        </w:rPr>
      </w:pPr>
      <w:r>
        <w:rPr>
          <w:rFonts w:ascii="Arial" w:cs="Arial" w:eastAsia="Arial" w:hAnsi="Arial"/>
          <w:sz w:val="20"/>
          <w:szCs w:val="20"/>
          <w:color w:val="auto"/>
        </w:rPr>
        <w:t>definitions and provisions of the applicable equity plan of the Company and a restricted stock unit award agreement by and between Executive and the Company (the “</w:t>
      </w:r>
      <w:r>
        <w:rPr>
          <w:rFonts w:ascii="Arial" w:cs="Arial" w:eastAsia="Arial" w:hAnsi="Arial"/>
          <w:sz w:val="20"/>
          <w:szCs w:val="20"/>
          <w:b w:val="1"/>
          <w:bCs w:val="1"/>
          <w:i w:val="1"/>
          <w:iCs w:val="1"/>
          <w:color w:val="auto"/>
        </w:rPr>
        <w:t>Sign-on RSU Agreement</w:t>
      </w:r>
      <w:r>
        <w:rPr>
          <w:rFonts w:ascii="Arial" w:cs="Arial" w:eastAsia="Arial" w:hAnsi="Arial"/>
          <w:sz w:val="20"/>
          <w:szCs w:val="20"/>
          <w:color w:val="auto"/>
        </w:rPr>
        <w:t>”). In addition, commencing with the 2023 grant cycle, Executive will be eligible for a target annual equity award in an amount and on terms in line with your peers, as determined by the Board, the Committee or the Delegate, as applicable, under the terms of the Company’s 2020 Equity Plan or a replacement plan.</w:t>
      </w:r>
    </w:p>
    <w:p>
      <w:pPr>
        <w:spacing w:after="0" w:line="185" w:lineRule="exact"/>
        <w:rPr>
          <w:rFonts w:ascii="Arial" w:cs="Arial" w:eastAsia="Arial" w:hAnsi="Arial"/>
          <w:sz w:val="20"/>
          <w:szCs w:val="20"/>
          <w:color w:val="auto"/>
        </w:rPr>
      </w:pPr>
    </w:p>
    <w:p>
      <w:pPr>
        <w:ind w:left="320" w:hanging="320"/>
        <w:spacing w:after="0"/>
        <w:tabs>
          <w:tab w:leader="none" w:pos="32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Signing Bonus</w:t>
      </w:r>
      <w:r>
        <w:rPr>
          <w:rFonts w:ascii="Arial" w:cs="Arial" w:eastAsia="Arial" w:hAnsi="Arial"/>
          <w:sz w:val="20"/>
          <w:szCs w:val="20"/>
          <w:color w:val="auto"/>
        </w:rPr>
        <w:t>: You will be eligible for a one-time bonus of $100,000 (one hundred thousand dollars) (the</w:t>
      </w:r>
    </w:p>
    <w:p>
      <w:pPr>
        <w:spacing w:after="0" w:line="50" w:lineRule="exact"/>
        <w:rPr>
          <w:rFonts w:ascii="Arial" w:cs="Arial" w:eastAsia="Arial" w:hAnsi="Arial"/>
          <w:sz w:val="20"/>
          <w:szCs w:val="20"/>
          <w:color w:val="auto"/>
        </w:rPr>
      </w:pPr>
    </w:p>
    <w:p>
      <w:pPr>
        <w:jc w:val="both"/>
        <w:ind w:left="320"/>
        <w:spacing w:after="0" w:line="269" w:lineRule="auto"/>
        <w:rPr>
          <w:rFonts w:ascii="Arial" w:cs="Arial" w:eastAsia="Arial" w:hAnsi="Arial"/>
          <w:sz w:val="20"/>
          <w:szCs w:val="20"/>
          <w:color w:val="auto"/>
        </w:rPr>
      </w:pPr>
      <w:r>
        <w:rPr>
          <w:rFonts w:ascii="Arial" w:cs="Arial" w:eastAsia="Arial" w:hAnsi="Arial"/>
          <w:sz w:val="20"/>
          <w:szCs w:val="20"/>
          <w:color w:val="auto"/>
        </w:rPr>
        <w:t>“Signing Bonus”). This Signing Bonus will be paid in two installments as follows: (i) $50,000 (fifty thousand dollars) to be paid on the next regularly scheduled pay date after you start employment with the Company and (ii) $50,000 (fifty thousand dollars) to be paid on the next regularly scheduled pay date after the completion of your first year with the Company. The Signing Bonus is taxable, and all regular payroll taxes will be withheld as applicable by law. Should you voluntarily terminate your employment with the Company, or the Company terminates your employment for Cause, within 12 months of your start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260"/>
          </w:cols>
          <w:pgMar w:left="1300" w:top="1440" w:right="339" w:bottom="1440" w:gutter="0" w:footer="0" w:header="0"/>
        </w:sectPr>
      </w:pPr>
    </w:p>
    <w:bookmarkStart w:id="51" w:name="page52"/>
    <w:bookmarkEnd w:id="51"/>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ind w:left="968"/>
        <w:spacing w:after="0"/>
        <w:rPr>
          <w:sz w:val="20"/>
          <w:szCs w:val="20"/>
          <w:color w:val="auto"/>
        </w:rPr>
      </w:pPr>
      <w:r>
        <w:rPr>
          <w:rFonts w:ascii="Arial" w:cs="Arial" w:eastAsia="Arial" w:hAnsi="Arial"/>
          <w:sz w:val="20"/>
          <w:szCs w:val="20"/>
          <w:color w:val="auto"/>
        </w:rPr>
        <w:t>date, you agree to reimburse any portion of the Signing Bonus that has been paid.</w:t>
      </w:r>
    </w:p>
    <w:p>
      <w:pPr>
        <w:spacing w:after="0" w:line="219" w:lineRule="exact"/>
        <w:rPr>
          <w:sz w:val="20"/>
          <w:szCs w:val="20"/>
          <w:color w:val="auto"/>
        </w:rPr>
      </w:pPr>
    </w:p>
    <w:p>
      <w:pPr>
        <w:jc w:val="both"/>
        <w:ind w:left="328" w:hanging="328"/>
        <w:spacing w:after="0" w:line="273" w:lineRule="auto"/>
        <w:tabs>
          <w:tab w:leader="none" w:pos="317" w:val="left"/>
        </w:tabs>
        <w:numPr>
          <w:ilvl w:val="0"/>
          <w:numId w:val="19"/>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Employee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Employment Period, Executive shall be eligible to (a) receive paid time off (“</w:t>
      </w:r>
      <w:r>
        <w:rPr>
          <w:rFonts w:ascii="Arial" w:cs="Arial" w:eastAsia="Arial" w:hAnsi="Arial"/>
          <w:sz w:val="20"/>
          <w:szCs w:val="20"/>
          <w:b w:val="1"/>
          <w:bCs w:val="1"/>
          <w:i w:val="1"/>
          <w:iCs w:val="1"/>
          <w:color w:val="auto"/>
        </w:rPr>
        <w:t>PTO</w:t>
      </w:r>
      <w:r>
        <w:rPr>
          <w:rFonts w:ascii="Arial" w:cs="Arial" w:eastAsia="Arial" w:hAnsi="Arial"/>
          <w:sz w:val="20"/>
          <w:szCs w:val="20"/>
          <w:color w:val="auto"/>
        </w:rPr>
        <w:t>”)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Company’s PTO policy, as it may be amended from time to time (such amendments to be applicable to similarly situated employees of the Company) and (b) participate in the employee benefit plans maintained by the Company and generally available to similarly situated employees of the Company, subject in each case to the generally applicable terms and conditions of the plan or policy in question and to the determinations of any Person or committee administering such employee benefit plan or policy. The Company reserves the right to cancel or change the employee benefit plans, policies and programs it offers to its employees at any time.</w:t>
      </w:r>
    </w:p>
    <w:p>
      <w:pPr>
        <w:spacing w:after="0" w:line="180" w:lineRule="exact"/>
        <w:rPr>
          <w:rFonts w:ascii="Arial" w:cs="Arial" w:eastAsia="Arial" w:hAnsi="Arial"/>
          <w:sz w:val="20"/>
          <w:szCs w:val="20"/>
          <w:color w:val="auto"/>
        </w:rPr>
      </w:pPr>
    </w:p>
    <w:p>
      <w:pPr>
        <w:jc w:val="both"/>
        <w:ind w:left="328" w:hanging="328"/>
        <w:spacing w:after="0" w:line="278" w:lineRule="auto"/>
        <w:tabs>
          <w:tab w:leader="none" w:pos="317" w:val="left"/>
        </w:tabs>
        <w:numPr>
          <w:ilvl w:val="0"/>
          <w:numId w:val="19"/>
        </w:numPr>
        <w:rPr>
          <w:rFonts w:ascii="Arial" w:cs="Arial" w:eastAsia="Arial" w:hAnsi="Arial"/>
          <w:sz w:val="20"/>
          <w:szCs w:val="20"/>
          <w:color w:val="auto"/>
        </w:rPr>
      </w:pPr>
      <w:r>
        <w:rPr>
          <w:rFonts w:ascii="Arial" w:cs="Arial" w:eastAsia="Arial" w:hAnsi="Arial"/>
          <w:sz w:val="20"/>
          <w:szCs w:val="20"/>
          <w:b w:val="1"/>
          <w:bCs w:val="1"/>
          <w:u w:val="single" w:color="auto"/>
          <w:color w:val="auto"/>
        </w:rPr>
        <w:t>Business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will reimburse Executive for necessary and reasonable business expenses incurred</w:t>
      </w:r>
      <w:r>
        <w:rPr>
          <w:rFonts w:ascii="Arial" w:cs="Arial" w:eastAsia="Arial" w:hAnsi="Arial"/>
          <w:sz w:val="20"/>
          <w:szCs w:val="20"/>
          <w:b w:val="1"/>
          <w:bCs w:val="1"/>
          <w:color w:val="auto"/>
        </w:rPr>
        <w:t xml:space="preserve"> </w:t>
      </w:r>
      <w:r>
        <w:rPr>
          <w:rFonts w:ascii="Arial" w:cs="Arial" w:eastAsia="Arial" w:hAnsi="Arial"/>
          <w:sz w:val="20"/>
          <w:szCs w:val="20"/>
          <w:color w:val="auto"/>
        </w:rPr>
        <w:t>in connection with Executive’s duties hereunder upon presentation of an itemized account and appropriate supporting documentation, all in accordance with the Company’s generally applicable expense reimbursement policies as in effect from to time.</w:t>
      </w:r>
    </w:p>
    <w:p>
      <w:pPr>
        <w:spacing w:after="0" w:line="149" w:lineRule="exact"/>
        <w:rPr>
          <w:rFonts w:ascii="Arial" w:cs="Arial" w:eastAsia="Arial" w:hAnsi="Arial"/>
          <w:sz w:val="20"/>
          <w:szCs w:val="20"/>
          <w:color w:val="auto"/>
        </w:rPr>
      </w:pPr>
    </w:p>
    <w:p>
      <w:pPr>
        <w:jc w:val="both"/>
        <w:ind w:left="328" w:hanging="328"/>
        <w:spacing w:after="0" w:line="288" w:lineRule="auto"/>
        <w:tabs>
          <w:tab w:leader="none" w:pos="317" w:val="left"/>
        </w:tabs>
        <w:numPr>
          <w:ilvl w:val="0"/>
          <w:numId w:val="19"/>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Rights Upon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expressly provided in Section 6, upon the termination of Executive’s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period preceding the effective date of the termination of Employment, Executive shall only be entitled to the following: (i) the accrued but unpaid Base Salary compensation and PTO, (ii) the reimbursements for outstanding and unpaid business expenses described in Section 4 of this Agreement, and (iii) such other vested benefits earned under</w:t>
      </w:r>
    </w:p>
    <w:p>
      <w:pPr>
        <w:spacing w:after="0" w:line="1" w:lineRule="exact"/>
        <w:rPr>
          <w:rFonts w:ascii="Arial" w:cs="Arial" w:eastAsia="Arial" w:hAnsi="Arial"/>
          <w:sz w:val="19"/>
          <w:szCs w:val="19"/>
          <w:color w:val="auto"/>
        </w:rPr>
      </w:pPr>
    </w:p>
    <w:p>
      <w:pPr>
        <w:jc w:val="both"/>
        <w:ind w:left="328"/>
        <w:spacing w:after="0" w:line="269" w:lineRule="auto"/>
        <w:rPr>
          <w:rFonts w:ascii="Arial" w:cs="Arial" w:eastAsia="Arial" w:hAnsi="Arial"/>
          <w:sz w:val="19"/>
          <w:szCs w:val="19"/>
          <w:color w:val="auto"/>
        </w:rPr>
      </w:pPr>
      <w:r>
        <w:rPr>
          <w:rFonts w:ascii="Arial" w:cs="Arial" w:eastAsia="Arial" w:hAnsi="Arial"/>
          <w:sz w:val="20"/>
          <w:szCs w:val="20"/>
          <w:color w:val="auto"/>
        </w:rPr>
        <w:t>any Company-provided plans, policies, and arrangements in accordance with the governing documents and policies of any such, plans, policies and arrangements (collectively, the “</w:t>
      </w:r>
      <w:r>
        <w:rPr>
          <w:rFonts w:ascii="Arial" w:cs="Arial" w:eastAsia="Arial" w:hAnsi="Arial"/>
          <w:sz w:val="20"/>
          <w:szCs w:val="20"/>
          <w:b w:val="1"/>
          <w:bCs w:val="1"/>
          <w:i w:val="1"/>
          <w:iCs w:val="1"/>
          <w:color w:val="auto"/>
        </w:rPr>
        <w:t>Accrued Benefits</w:t>
      </w:r>
      <w:r>
        <w:rPr>
          <w:rFonts w:ascii="Arial" w:cs="Arial" w:eastAsia="Arial" w:hAnsi="Arial"/>
          <w:sz w:val="20"/>
          <w:szCs w:val="20"/>
          <w:color w:val="auto"/>
        </w:rPr>
        <w:t>”). The Accrued Benefits described in clauses (i) and (ii) of the preceding sentence shall be paid within thirty (30) days after the date of termination of Executive’s Employment (or such earlier date as may be required by applicable law) and the Accrued Benefits described in clause (iii) of the preceding sentence shall be paid in accordance with the terms of the governing plan, policy or arrangement.</w:t>
      </w:r>
    </w:p>
    <w:p>
      <w:pPr>
        <w:spacing w:after="0" w:line="143" w:lineRule="exact"/>
        <w:rPr>
          <w:rFonts w:ascii="Arial" w:cs="Arial" w:eastAsia="Arial" w:hAnsi="Arial"/>
          <w:sz w:val="19"/>
          <w:szCs w:val="19"/>
          <w:color w:val="auto"/>
        </w:rPr>
      </w:pPr>
    </w:p>
    <w:p>
      <w:pPr>
        <w:ind w:left="308" w:hanging="308"/>
        <w:spacing w:after="0"/>
        <w:tabs>
          <w:tab w:leader="none" w:pos="308" w:val="left"/>
        </w:tabs>
        <w:numPr>
          <w:ilvl w:val="0"/>
          <w:numId w:val="19"/>
        </w:numPr>
        <w:rPr>
          <w:rFonts w:ascii="Arial" w:cs="Arial" w:eastAsia="Arial" w:hAnsi="Arial"/>
          <w:sz w:val="20"/>
          <w:szCs w:val="20"/>
          <w:color w:val="auto"/>
        </w:rPr>
      </w:pPr>
      <w:r>
        <w:rPr>
          <w:rFonts w:ascii="Arial" w:cs="Arial" w:eastAsia="Arial" w:hAnsi="Arial"/>
          <w:sz w:val="20"/>
          <w:szCs w:val="20"/>
          <w:b w:val="1"/>
          <w:bCs w:val="1"/>
          <w:u w:val="single" w:color="auto"/>
          <w:color w:val="auto"/>
        </w:rPr>
        <w:t>Termination Benefits.</w:t>
      </w:r>
    </w:p>
    <w:p>
      <w:pPr>
        <w:spacing w:after="0" w:line="202" w:lineRule="exact"/>
        <w:rPr>
          <w:rFonts w:ascii="Arial" w:cs="Arial" w:eastAsia="Arial" w:hAnsi="Arial"/>
          <w:sz w:val="20"/>
          <w:szCs w:val="20"/>
          <w:color w:val="auto"/>
        </w:rPr>
      </w:pPr>
    </w:p>
    <w:p>
      <w:pPr>
        <w:ind w:left="968" w:hanging="324"/>
        <w:spacing w:after="0" w:line="274" w:lineRule="auto"/>
        <w:rPr>
          <w:rFonts w:ascii="Arial" w:cs="Arial" w:eastAsia="Arial" w:hAnsi="Arial"/>
          <w:sz w:val="20"/>
          <w:szCs w:val="20"/>
          <w:color w:val="auto"/>
        </w:rPr>
      </w:pPr>
      <w:r>
        <w:rPr>
          <w:rFonts w:ascii="Arial" w:cs="Arial" w:eastAsia="Arial" w:hAnsi="Arial"/>
          <w:sz w:val="20"/>
          <w:szCs w:val="20"/>
          <w:color w:val="auto"/>
        </w:rPr>
        <w:t xml:space="preserve">h. </w:t>
      </w:r>
      <w:r>
        <w:rPr>
          <w:rFonts w:ascii="Arial" w:cs="Arial" w:eastAsia="Arial" w:hAnsi="Arial"/>
          <w:sz w:val="20"/>
          <w:szCs w:val="20"/>
          <w:b w:val="1"/>
          <w:bCs w:val="1"/>
          <w:u w:val="single" w:color="auto"/>
          <w:color w:val="auto"/>
        </w:rPr>
        <w:t>Termination without Cause or Resignation for Good Reason outside of Change in Control Protection</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Period</w:t>
      </w:r>
      <w:r>
        <w:rPr>
          <w:rFonts w:ascii="Arial" w:cs="Arial" w:eastAsia="Arial" w:hAnsi="Arial"/>
          <w:sz w:val="20"/>
          <w:szCs w:val="20"/>
          <w:color w:val="auto"/>
        </w:rPr>
        <w:t>. If the Company (or any parent, subsidiary or successor of the Company) terminates Executive’s</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with the Company for a reason other than (i) Cause, (ii) Executive becoming Disabled or (iii) Executive’s death, or if Executive resigns from such employment for Good Reason, in each case, outside of the Change in Control Protection Period, then, subject to Section 7 (other than with respect to the Accrued Benefits), Executive will be entitled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08"/>
          </w:cols>
          <w:pgMar w:left="652" w:top="1440" w:right="339" w:bottom="1440" w:gutter="0" w:footer="0" w:header="0"/>
        </w:sectPr>
      </w:pPr>
    </w:p>
    <w:bookmarkStart w:id="52" w:name="page53"/>
    <w:bookmarkEnd w:id="52"/>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ind w:left="820" w:hanging="312"/>
        <w:spacing w:after="0"/>
        <w:tabs>
          <w:tab w:leader="none" w:pos="82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Accrued Compensation</w:t>
      </w:r>
      <w:r>
        <w:rPr>
          <w:rFonts w:ascii="Arial" w:cs="Arial" w:eastAsia="Arial" w:hAnsi="Arial"/>
          <w:sz w:val="20"/>
          <w:szCs w:val="20"/>
          <w:color w:val="auto"/>
        </w:rPr>
        <w:t>. The Company will pay Executive all Accrued Benefits.</w:t>
      </w:r>
    </w:p>
    <w:p>
      <w:pPr>
        <w:spacing w:after="0" w:line="215" w:lineRule="exact"/>
        <w:rPr>
          <w:rFonts w:ascii="Arial" w:cs="Arial" w:eastAsia="Arial" w:hAnsi="Arial"/>
          <w:sz w:val="20"/>
          <w:szCs w:val="20"/>
          <w:color w:val="auto"/>
        </w:rPr>
      </w:pPr>
    </w:p>
    <w:p>
      <w:pPr>
        <w:jc w:val="both"/>
        <w:ind w:left="840" w:hanging="332"/>
        <w:spacing w:after="0" w:line="263" w:lineRule="auto"/>
        <w:tabs>
          <w:tab w:leader="none" w:pos="834"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Severance Payment</w:t>
      </w:r>
      <w:r>
        <w:rPr>
          <w:rFonts w:ascii="Arial" w:cs="Arial" w:eastAsia="Arial" w:hAnsi="Arial"/>
          <w:sz w:val="20"/>
          <w:szCs w:val="20"/>
          <w:color w:val="auto"/>
        </w:rPr>
        <w:t>. In exchange for Executive timely signing and not revoking the Release in accordance with the terms therein and in this Agreement, Executive will receive semi-monthly continuing installments of severance pay in the aggregate equal to (x) the product of Executive’s Base Salary, as then in effect, multiplied by 1.5 , plus (y) the product of 1.5 multiplied by the Executive’s Cash Bonus calculated at target, using the Executive’s then current Target Bonus Percentage, with the sum of (x) and</w:t>
      </w:r>
    </w:p>
    <w:p>
      <w:pPr>
        <w:spacing w:after="0" w:line="3" w:lineRule="exact"/>
        <w:rPr>
          <w:rFonts w:ascii="Arial" w:cs="Arial" w:eastAsia="Arial" w:hAnsi="Arial"/>
          <w:sz w:val="20"/>
          <w:szCs w:val="20"/>
          <w:color w:val="auto"/>
        </w:rPr>
      </w:pPr>
    </w:p>
    <w:p>
      <w:pPr>
        <w:jc w:val="both"/>
        <w:ind w:left="840" w:hanging="8"/>
        <w:spacing w:after="0" w:line="274" w:lineRule="auto"/>
        <w:tabs>
          <w:tab w:leader="none" w:pos="1171" w:val="left"/>
        </w:tabs>
        <w:numPr>
          <w:ilvl w:val="1"/>
          <w:numId w:val="20"/>
        </w:numPr>
        <w:rPr>
          <w:rFonts w:ascii="Arial" w:cs="Arial" w:eastAsia="Arial" w:hAnsi="Arial"/>
          <w:sz w:val="20"/>
          <w:szCs w:val="20"/>
          <w:color w:val="auto"/>
        </w:rPr>
      </w:pPr>
      <w:r>
        <w:rPr>
          <w:rFonts w:ascii="Arial" w:cs="Arial" w:eastAsia="Arial" w:hAnsi="Arial"/>
          <w:sz w:val="20"/>
          <w:szCs w:val="20"/>
          <w:color w:val="auto"/>
        </w:rPr>
        <w:t>to be divided into 36 equal installments that continue for eighteen (18) months (the “</w:t>
      </w:r>
      <w:r>
        <w:rPr>
          <w:rFonts w:ascii="Arial" w:cs="Arial" w:eastAsia="Arial" w:hAnsi="Arial"/>
          <w:sz w:val="20"/>
          <w:szCs w:val="20"/>
          <w:b w:val="1"/>
          <w:bCs w:val="1"/>
          <w:i w:val="1"/>
          <w:iCs w:val="1"/>
          <w:color w:val="auto"/>
        </w:rPr>
        <w:t>Severance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Period</w:t>
      </w:r>
      <w:r>
        <w:rPr>
          <w:rFonts w:ascii="Arial" w:cs="Arial" w:eastAsia="Arial" w:hAnsi="Arial"/>
          <w:sz w:val="20"/>
          <w:szCs w:val="20"/>
          <w:color w:val="auto"/>
        </w:rPr>
        <w:t>”), in each case, less all required tax withholdings and other applicable deductions, which will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paid in accordance with the Company’s regular payroll procedures commencing on the Payment Date (as defined in Section 7(a)); provided that the first payment shall include any amounts that would have been paid to Executive if payment had commenced on the date of Executive’s separation from service.</w:t>
      </w:r>
    </w:p>
    <w:p>
      <w:pPr>
        <w:spacing w:after="0" w:line="164" w:lineRule="exact"/>
        <w:rPr>
          <w:rFonts w:ascii="Arial" w:cs="Arial" w:eastAsia="Arial" w:hAnsi="Arial"/>
          <w:sz w:val="20"/>
          <w:szCs w:val="20"/>
          <w:color w:val="auto"/>
        </w:rPr>
      </w:pPr>
    </w:p>
    <w:p>
      <w:pPr>
        <w:jc w:val="both"/>
        <w:ind w:left="840" w:hanging="332"/>
        <w:spacing w:after="0" w:line="268" w:lineRule="auto"/>
        <w:tabs>
          <w:tab w:leader="none" w:pos="838"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Continued Employee Benefits</w:t>
      </w:r>
      <w:r>
        <w:rPr>
          <w:rFonts w:ascii="Arial" w:cs="Arial" w:eastAsia="Arial" w:hAnsi="Arial"/>
          <w:sz w:val="20"/>
          <w:szCs w:val="20"/>
          <w:color w:val="auto"/>
        </w:rPr>
        <w:t>. If Executive elects continuation coverage pursuant to the Consolidated Omnibus Budget Reconciliation Act of 1985, as amended (“</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the end of the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48" w:lineRule="exact"/>
        <w:rPr>
          <w:rFonts w:ascii="Arial" w:cs="Arial" w:eastAsia="Arial" w:hAnsi="Arial"/>
          <w:sz w:val="20"/>
          <w:szCs w:val="20"/>
          <w:color w:val="auto"/>
        </w:rPr>
      </w:pPr>
    </w:p>
    <w:p>
      <w:pPr>
        <w:jc w:val="both"/>
        <w:ind w:left="840" w:hanging="332"/>
        <w:spacing w:after="0" w:line="289" w:lineRule="auto"/>
        <w:tabs>
          <w:tab w:leader="none" w:pos="821"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Equity</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In the event Executive’s employment is terminated for a reason other than for Cause or Executive resigns for Good Reason during Executive’s first year of employment only (but not in the case of the Executive’s death or the Executive becoming Disabled), then any unvested equity that has not vested which Executive would be entitled to upon completion of Executive’s first full year of employment shall immediately vest upon Executive’s termination. By way of example, if Executive is terminated for a reason other than Cause after (a) two months or (b) ten months of employment, in either case 25% of the shares subject to the RSU Award shall vest upon Executive’s termination for a total of twelve months of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120"/>
          </w:cols>
          <w:pgMar w:left="1440" w:top="1440" w:right="339" w:bottom="1440" w:gutter="0" w:footer="0" w:header="0"/>
        </w:sectPr>
      </w:pPr>
    </w:p>
    <w:bookmarkStart w:id="53" w:name="page54"/>
    <w:bookmarkEnd w:id="53"/>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jc w:val="both"/>
        <w:ind w:left="320" w:hanging="320"/>
        <w:spacing w:after="0" w:line="275" w:lineRule="auto"/>
        <w:tabs>
          <w:tab w:leader="none" w:pos="311" w:val="left"/>
        </w:tabs>
        <w:numPr>
          <w:ilvl w:val="0"/>
          <w:numId w:val="21"/>
        </w:numPr>
        <w:rPr>
          <w:rFonts w:ascii="Arial" w:cs="Arial" w:eastAsia="Arial" w:hAnsi="Arial"/>
          <w:sz w:val="20"/>
          <w:szCs w:val="20"/>
          <w:color w:val="auto"/>
        </w:rPr>
      </w:pPr>
      <w:r>
        <w:rPr>
          <w:rFonts w:ascii="Arial" w:cs="Arial" w:eastAsia="Arial" w:hAnsi="Arial"/>
          <w:sz w:val="20"/>
          <w:szCs w:val="20"/>
          <w:b w:val="1"/>
          <w:bCs w:val="1"/>
          <w:u w:val="single" w:color="auto"/>
          <w:color w:val="auto"/>
        </w:rPr>
        <w:t>Termination without Cause or Resignation for Good Reason within the Change in Control Protection Period</w:t>
      </w:r>
      <w:r>
        <w:rPr>
          <w:rFonts w:ascii="Arial" w:cs="Arial" w:eastAsia="Arial" w:hAnsi="Arial"/>
          <w:sz w:val="20"/>
          <w:szCs w:val="20"/>
          <w:color w:val="auto"/>
        </w:rPr>
        <w:t>. If, during the Change in Control Protection Period, (x) the Company terminates Executive’s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 without Cause, or (y) Executive resigns from such employment for Good Reason, then, subject to Section 7 (other than with respect to the Accrued Benefits), Executive will receive the following severance benefits from the Company in lieu of the benefits described in Section 6(a) above:</w:t>
      </w:r>
    </w:p>
    <w:p>
      <w:pPr>
        <w:spacing w:after="0" w:line="177" w:lineRule="exact"/>
        <w:rPr>
          <w:rFonts w:ascii="Arial" w:cs="Arial" w:eastAsia="Arial" w:hAnsi="Arial"/>
          <w:sz w:val="20"/>
          <w:szCs w:val="20"/>
          <w:color w:val="auto"/>
        </w:rPr>
      </w:pPr>
    </w:p>
    <w:p>
      <w:pPr>
        <w:ind w:left="960" w:hanging="312"/>
        <w:spacing w:after="0"/>
        <w:tabs>
          <w:tab w:leader="none" w:pos="960" w:val="left"/>
        </w:tabs>
        <w:numPr>
          <w:ilvl w:val="1"/>
          <w:numId w:val="21"/>
        </w:numPr>
        <w:rPr>
          <w:rFonts w:ascii="Arial" w:cs="Arial" w:eastAsia="Arial" w:hAnsi="Arial"/>
          <w:sz w:val="20"/>
          <w:szCs w:val="20"/>
          <w:color w:val="auto"/>
        </w:rPr>
      </w:pPr>
      <w:r>
        <w:rPr>
          <w:rFonts w:ascii="Arial" w:cs="Arial" w:eastAsia="Arial" w:hAnsi="Arial"/>
          <w:sz w:val="20"/>
          <w:szCs w:val="20"/>
          <w:u w:val="single" w:color="auto"/>
          <w:color w:val="auto"/>
        </w:rPr>
        <w:t>Accrued Compensation</w:t>
      </w:r>
      <w:r>
        <w:rPr>
          <w:rFonts w:ascii="Arial" w:cs="Arial" w:eastAsia="Arial" w:hAnsi="Arial"/>
          <w:sz w:val="20"/>
          <w:szCs w:val="20"/>
          <w:color w:val="auto"/>
        </w:rPr>
        <w:t>. The Company will pay Executive all Accrued Benefits.</w:t>
      </w:r>
    </w:p>
    <w:p>
      <w:pPr>
        <w:spacing w:after="0" w:line="202" w:lineRule="exact"/>
        <w:rPr>
          <w:rFonts w:ascii="Arial" w:cs="Arial" w:eastAsia="Arial" w:hAnsi="Arial"/>
          <w:sz w:val="20"/>
          <w:szCs w:val="20"/>
          <w:color w:val="auto"/>
        </w:rPr>
      </w:pPr>
    </w:p>
    <w:p>
      <w:pPr>
        <w:ind w:left="960" w:hanging="312"/>
        <w:spacing w:after="0"/>
        <w:tabs>
          <w:tab w:leader="none" w:pos="960" w:val="left"/>
        </w:tabs>
        <w:numPr>
          <w:ilvl w:val="1"/>
          <w:numId w:val="21"/>
        </w:numPr>
        <w:rPr>
          <w:rFonts w:ascii="Arial" w:cs="Arial" w:eastAsia="Arial" w:hAnsi="Arial"/>
          <w:sz w:val="20"/>
          <w:szCs w:val="20"/>
          <w:color w:val="auto"/>
        </w:rPr>
      </w:pPr>
      <w:r>
        <w:rPr>
          <w:rFonts w:ascii="Arial" w:cs="Arial" w:eastAsia="Arial" w:hAnsi="Arial"/>
          <w:sz w:val="20"/>
          <w:szCs w:val="20"/>
          <w:u w:val="single" w:color="auto"/>
          <w:color w:val="auto"/>
        </w:rPr>
        <w:t>Severance Payment</w:t>
      </w:r>
      <w:r>
        <w:rPr>
          <w:rFonts w:ascii="Arial" w:cs="Arial" w:eastAsia="Arial" w:hAnsi="Arial"/>
          <w:sz w:val="20"/>
          <w:szCs w:val="20"/>
          <w:color w:val="auto"/>
        </w:rPr>
        <w:t>. In  exchange  for  Executive  timely  signing  and  not  revoking  the  Release  in</w:t>
      </w:r>
    </w:p>
    <w:p>
      <w:pPr>
        <w:spacing w:after="0" w:line="26" w:lineRule="exact"/>
        <w:rPr>
          <w:rFonts w:ascii="Arial" w:cs="Arial" w:eastAsia="Arial" w:hAnsi="Arial"/>
          <w:sz w:val="20"/>
          <w:szCs w:val="20"/>
          <w:color w:val="auto"/>
        </w:rPr>
      </w:pPr>
    </w:p>
    <w:p>
      <w:pPr>
        <w:jc w:val="both"/>
        <w:ind w:left="980"/>
        <w:spacing w:after="0" w:line="268" w:lineRule="auto"/>
        <w:rPr>
          <w:rFonts w:ascii="Arial" w:cs="Arial" w:eastAsia="Arial" w:hAnsi="Arial"/>
          <w:sz w:val="20"/>
          <w:szCs w:val="20"/>
          <w:color w:val="auto"/>
        </w:rPr>
      </w:pPr>
      <w:r>
        <w:rPr>
          <w:rFonts w:ascii="Arial" w:cs="Arial" w:eastAsia="Arial" w:hAnsi="Arial"/>
          <w:sz w:val="20"/>
          <w:szCs w:val="20"/>
          <w:color w:val="auto"/>
        </w:rPr>
        <w:t>accordance with the terms therein and in this Agreement, Executive will receive a lump sum severance payment equal to (x) eighteen (18) months (the “</w:t>
      </w:r>
      <w:r>
        <w:rPr>
          <w:rFonts w:ascii="Arial" w:cs="Arial" w:eastAsia="Arial" w:hAnsi="Arial"/>
          <w:sz w:val="20"/>
          <w:szCs w:val="20"/>
          <w:b w:val="1"/>
          <w:bCs w:val="1"/>
          <w:i w:val="1"/>
          <w:iCs w:val="1"/>
          <w:color w:val="auto"/>
        </w:rPr>
        <w:t>CIC Severance Period</w:t>
      </w:r>
      <w:r>
        <w:rPr>
          <w:rFonts w:ascii="Arial" w:cs="Arial" w:eastAsia="Arial" w:hAnsi="Arial"/>
          <w:sz w:val="20"/>
          <w:szCs w:val="20"/>
          <w:color w:val="auto"/>
        </w:rPr>
        <w:t>”) of Executive’s Base Salary as in effect immediately prior to the date of Executive’s termination of employment, plus (y) the product of 1.5 multiplied by Executive’s Cash Bonus calculated at target using the Executive’s then current Target Bonus Percentage, in each case less all required tax withholdings and other applicable deductions, which will be paid in accordance with the Company’s regular payroll procedures, but no later than thirty (30) days following the Release Deadline.</w:t>
      </w:r>
    </w:p>
    <w:p>
      <w:pPr>
        <w:spacing w:after="0" w:line="173" w:lineRule="exact"/>
        <w:rPr>
          <w:rFonts w:ascii="Arial" w:cs="Arial" w:eastAsia="Arial" w:hAnsi="Arial"/>
          <w:sz w:val="20"/>
          <w:szCs w:val="20"/>
          <w:color w:val="auto"/>
        </w:rPr>
      </w:pPr>
    </w:p>
    <w:p>
      <w:pPr>
        <w:jc w:val="both"/>
        <w:ind w:left="980" w:hanging="332"/>
        <w:spacing w:after="0" w:line="268" w:lineRule="auto"/>
        <w:tabs>
          <w:tab w:leader="none" w:pos="978" w:val="left"/>
        </w:tabs>
        <w:numPr>
          <w:ilvl w:val="1"/>
          <w:numId w:val="21"/>
        </w:numPr>
        <w:rPr>
          <w:rFonts w:ascii="Arial" w:cs="Arial" w:eastAsia="Arial" w:hAnsi="Arial"/>
          <w:sz w:val="20"/>
          <w:szCs w:val="20"/>
          <w:color w:val="auto"/>
        </w:rPr>
      </w:pPr>
      <w:r>
        <w:rPr>
          <w:rFonts w:ascii="Arial" w:cs="Arial" w:eastAsia="Arial" w:hAnsi="Arial"/>
          <w:sz w:val="20"/>
          <w:szCs w:val="20"/>
          <w:u w:val="single" w:color="auto"/>
          <w:color w:val="auto"/>
        </w:rPr>
        <w:t>Continued Employee Benefits</w:t>
      </w:r>
      <w:r>
        <w:rPr>
          <w:rFonts w:ascii="Arial" w:cs="Arial" w:eastAsia="Arial" w:hAnsi="Arial"/>
          <w:sz w:val="20"/>
          <w:szCs w:val="20"/>
          <w:color w:val="auto"/>
        </w:rPr>
        <w:t>. If Executive elects continuation coverage pursuant to COBRA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the end of the CIC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86" w:lineRule="exact"/>
        <w:rPr>
          <w:rFonts w:ascii="Arial" w:cs="Arial" w:eastAsia="Arial" w:hAnsi="Arial"/>
          <w:sz w:val="20"/>
          <w:szCs w:val="20"/>
          <w:color w:val="auto"/>
        </w:rPr>
      </w:pPr>
    </w:p>
    <w:p>
      <w:pPr>
        <w:jc w:val="both"/>
        <w:ind w:left="980" w:hanging="332"/>
        <w:spacing w:after="0" w:line="270" w:lineRule="auto"/>
        <w:tabs>
          <w:tab w:leader="none" w:pos="961" w:val="left"/>
        </w:tabs>
        <w:numPr>
          <w:ilvl w:val="1"/>
          <w:numId w:val="21"/>
        </w:numPr>
        <w:rPr>
          <w:rFonts w:ascii="Arial" w:cs="Arial" w:eastAsia="Arial" w:hAnsi="Arial"/>
          <w:sz w:val="20"/>
          <w:szCs w:val="20"/>
          <w:color w:val="auto"/>
        </w:rPr>
      </w:pPr>
      <w:r>
        <w:rPr>
          <w:rFonts w:ascii="Arial" w:cs="Arial" w:eastAsia="Arial" w:hAnsi="Arial"/>
          <w:sz w:val="20"/>
          <w:szCs w:val="20"/>
          <w:u w:val="single" w:color="auto"/>
          <w:color w:val="auto"/>
        </w:rPr>
        <w:t>Equity</w:t>
      </w:r>
      <w:r>
        <w:rPr>
          <w:rFonts w:ascii="Arial" w:cs="Arial" w:eastAsia="Arial" w:hAnsi="Arial"/>
          <w:sz w:val="20"/>
          <w:szCs w:val="20"/>
          <w:color w:val="auto"/>
        </w:rPr>
        <w:t>. All of Executive’s unvested and outstanding time-based equity awards shall immediately vest and become exercisable as of the date of Executive’s termination and any unvested and outstanding performance-based awards shall be subject to the terms and conditions of the Equity Plan and the award agreement by and between Executive and the Company pursuant to which such award was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60"/>
          </w:cols>
          <w:pgMar w:left="1300" w:top="1440" w:right="3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spacing w:after="0" w:line="389" w:lineRule="exact"/>
        <w:rPr>
          <w:sz w:val="20"/>
          <w:szCs w:val="20"/>
          <w:color w:val="auto"/>
        </w:rPr>
      </w:pPr>
    </w:p>
    <w:p>
      <w:pPr>
        <w:jc w:val="both"/>
        <w:ind w:left="968" w:hanging="320"/>
        <w:spacing w:after="0" w:line="273" w:lineRule="auto"/>
        <w:tabs>
          <w:tab w:leader="none" w:pos="959" w:val="left"/>
        </w:tabs>
        <w:numPr>
          <w:ilvl w:val="1"/>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Disability; Death; Voluntary Resignation; Termination for Cause</w:t>
      </w:r>
      <w:r>
        <w:rPr>
          <w:rFonts w:ascii="Arial" w:cs="Arial" w:eastAsia="Arial" w:hAnsi="Arial"/>
          <w:sz w:val="20"/>
          <w:szCs w:val="20"/>
          <w:color w:val="auto"/>
        </w:rPr>
        <w:t>. If Executive’s employment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is terminated due to (i) Executive becoming Disabled or Executive’s death, (ii) Executive’s voluntary resignation (other than for Good Reason during the eighteen (18) month period immediately following a Change in Control),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w:t>
      </w:r>
    </w:p>
    <w:p>
      <w:pPr>
        <w:spacing w:after="0" w:line="139" w:lineRule="exact"/>
        <w:rPr>
          <w:rFonts w:ascii="Arial" w:cs="Arial" w:eastAsia="Arial" w:hAnsi="Arial"/>
          <w:sz w:val="20"/>
          <w:szCs w:val="20"/>
          <w:color w:val="auto"/>
        </w:rPr>
      </w:pPr>
    </w:p>
    <w:p>
      <w:pPr>
        <w:jc w:val="both"/>
        <w:ind w:left="968" w:hanging="320"/>
        <w:spacing w:after="0" w:line="283" w:lineRule="auto"/>
        <w:tabs>
          <w:tab w:leader="none" w:pos="960" w:val="left"/>
        </w:tabs>
        <w:numPr>
          <w:ilvl w:val="1"/>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Timing of Payments</w:t>
      </w:r>
      <w:r>
        <w:rPr>
          <w:rFonts w:ascii="Arial" w:cs="Arial" w:eastAsia="Arial" w:hAnsi="Arial"/>
          <w:sz w:val="20"/>
          <w:szCs w:val="20"/>
          <w:color w:val="auto"/>
        </w:rPr>
        <w:t>. Subject to any specific timing provisions in Section 6(a), 6(b), or 6(c), as applicable, or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Section 7, payment of the severance and benefits hereunder shall be made or commence to be made as soon as practicable following Executive’s termination of employment.</w:t>
      </w:r>
    </w:p>
    <w:p>
      <w:pPr>
        <w:spacing w:after="0" w:line="131" w:lineRule="exact"/>
        <w:rPr>
          <w:rFonts w:ascii="Arial" w:cs="Arial" w:eastAsia="Arial" w:hAnsi="Arial"/>
          <w:sz w:val="20"/>
          <w:szCs w:val="20"/>
          <w:color w:val="auto"/>
        </w:rPr>
      </w:pPr>
    </w:p>
    <w:p>
      <w:pPr>
        <w:jc w:val="both"/>
        <w:ind w:left="968" w:hanging="320"/>
        <w:spacing w:after="0" w:line="271" w:lineRule="auto"/>
        <w:tabs>
          <w:tab w:leader="none" w:pos="959" w:val="left"/>
        </w:tabs>
        <w:numPr>
          <w:ilvl w:val="1"/>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Exclusive Remedy</w:t>
      </w:r>
      <w:r>
        <w:rPr>
          <w:rFonts w:ascii="Arial" w:cs="Arial" w:eastAsia="Arial" w:hAnsi="Arial"/>
          <w:sz w:val="20"/>
          <w:szCs w:val="20"/>
          <w:color w:val="auto"/>
        </w:rPr>
        <w:t>. In the event of a termination of Executive’s employment with the Company (or any parent,</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or successor of the Company), the provisions of this Section 6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6 of this Agreement or pursuant to written equity award agreements with the Company.</w:t>
      </w:r>
    </w:p>
    <w:p>
      <w:pPr>
        <w:spacing w:after="0" w:line="160" w:lineRule="exact"/>
        <w:rPr>
          <w:rFonts w:ascii="Arial" w:cs="Arial" w:eastAsia="Arial" w:hAnsi="Arial"/>
          <w:sz w:val="20"/>
          <w:szCs w:val="20"/>
          <w:color w:val="auto"/>
        </w:rPr>
      </w:pPr>
    </w:p>
    <w:p>
      <w:pPr>
        <w:ind w:left="968" w:hanging="320"/>
        <w:spacing w:after="0" w:line="300" w:lineRule="auto"/>
        <w:tabs>
          <w:tab w:leader="none" w:pos="958" w:val="left"/>
        </w:tabs>
        <w:numPr>
          <w:ilvl w:val="1"/>
          <w:numId w:val="22"/>
        </w:numPr>
        <w:rPr>
          <w:rFonts w:ascii="Arial" w:cs="Arial" w:eastAsia="Arial" w:hAnsi="Arial"/>
          <w:sz w:val="20"/>
          <w:szCs w:val="20"/>
          <w:color w:val="auto"/>
        </w:rPr>
      </w:pPr>
      <w:r>
        <w:rPr>
          <w:rFonts w:ascii="Arial" w:cs="Arial" w:eastAsia="Arial" w:hAnsi="Arial"/>
          <w:sz w:val="20"/>
          <w:szCs w:val="20"/>
          <w:b w:val="1"/>
          <w:bCs w:val="1"/>
          <w:u w:val="single" w:color="auto"/>
          <w:color w:val="auto"/>
        </w:rPr>
        <w:t>No Duty to Mitigate</w:t>
      </w:r>
      <w:r>
        <w:rPr>
          <w:rFonts w:ascii="Arial" w:cs="Arial" w:eastAsia="Arial" w:hAnsi="Arial"/>
          <w:sz w:val="20"/>
          <w:szCs w:val="20"/>
          <w:color w:val="auto"/>
        </w:rPr>
        <w:t>. Executive will not be required to mitigate the amount of any payment contemplated by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nor will any earnings that Executive may receive from any other source reduce any such payment.</w:t>
      </w:r>
    </w:p>
    <w:p>
      <w:pPr>
        <w:spacing w:after="0" w:line="113" w:lineRule="exact"/>
        <w:rPr>
          <w:rFonts w:ascii="Arial" w:cs="Arial" w:eastAsia="Arial" w:hAnsi="Arial"/>
          <w:sz w:val="20"/>
          <w:szCs w:val="20"/>
          <w:color w:val="auto"/>
        </w:rPr>
      </w:pPr>
    </w:p>
    <w:p>
      <w:pPr>
        <w:ind w:left="308" w:hanging="308"/>
        <w:spacing w:after="0"/>
        <w:tabs>
          <w:tab w:leader="none" w:pos="308" w:val="left"/>
        </w:tabs>
        <w:numPr>
          <w:ilvl w:val="0"/>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Conditions to Receipt of Severance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968" w:hanging="320"/>
        <w:spacing w:after="0" w:line="280" w:lineRule="auto"/>
        <w:tabs>
          <w:tab w:leader="none" w:pos="957" w:val="left"/>
        </w:tabs>
        <w:numPr>
          <w:ilvl w:val="1"/>
          <w:numId w:val="23"/>
        </w:numPr>
        <w:rPr>
          <w:rFonts w:ascii="Arial" w:cs="Arial" w:eastAsia="Arial" w:hAnsi="Arial"/>
          <w:sz w:val="20"/>
          <w:szCs w:val="20"/>
          <w:color w:val="auto"/>
        </w:rPr>
      </w:pPr>
      <w:r>
        <w:rPr>
          <w:rFonts w:ascii="Arial" w:cs="Arial" w:eastAsia="Arial" w:hAnsi="Arial"/>
          <w:sz w:val="20"/>
          <w:szCs w:val="20"/>
          <w:b w:val="1"/>
          <w:bCs w:val="1"/>
          <w:u w:val="single" w:color="auto"/>
          <w:color w:val="auto"/>
        </w:rPr>
        <w:t>Release of Claims Agreement</w:t>
      </w:r>
      <w:r>
        <w:rPr>
          <w:rFonts w:ascii="Arial" w:cs="Arial" w:eastAsia="Arial" w:hAnsi="Arial"/>
          <w:sz w:val="20"/>
          <w:szCs w:val="20"/>
          <w:color w:val="auto"/>
        </w:rPr>
        <w:t>. The receipt of any severance payments or benefits pursuant to Section 6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is subject to Executive signing and not revoking a separation agreement and release of claims in a</w:t>
      </w:r>
    </w:p>
    <w:p>
      <w:pPr>
        <w:jc w:val="both"/>
        <w:ind w:left="968"/>
        <w:spacing w:after="0" w:line="270" w:lineRule="auto"/>
        <w:rPr>
          <w:rFonts w:ascii="Arial" w:cs="Arial" w:eastAsia="Arial" w:hAnsi="Arial"/>
          <w:sz w:val="20"/>
          <w:szCs w:val="20"/>
          <w:color w:val="auto"/>
        </w:rPr>
      </w:pPr>
      <w:r>
        <w:rPr>
          <w:rFonts w:ascii="Arial" w:cs="Arial" w:eastAsia="Arial" w:hAnsi="Arial"/>
          <w:sz w:val="20"/>
          <w:szCs w:val="20"/>
          <w:color w:val="auto"/>
        </w:rPr>
        <w:t xml:space="preserve">form substantially similar, as determined by the Company, as that attached hereto as </w:t>
      </w:r>
      <w:r>
        <w:rPr>
          <w:rFonts w:ascii="Arial" w:cs="Arial" w:eastAsia="Arial" w:hAnsi="Arial"/>
          <w:sz w:val="20"/>
          <w:szCs w:val="20"/>
          <w:u w:val="single" w:color="auto"/>
          <w:color w:val="auto"/>
        </w:rPr>
        <w:t>Attachment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 which must become effective no later than the sixtieth (60th) day following Executive’s termination of employment (the “</w:t>
      </w:r>
      <w:r>
        <w:rPr>
          <w:rFonts w:ascii="Arial" w:cs="Arial" w:eastAsia="Arial" w:hAnsi="Arial"/>
          <w:sz w:val="20"/>
          <w:szCs w:val="20"/>
          <w:b w:val="1"/>
          <w:bCs w:val="1"/>
          <w:i w:val="1"/>
          <w:iCs w:val="1"/>
          <w:color w:val="auto"/>
        </w:rPr>
        <w:t>Release Deadline</w:t>
      </w:r>
      <w:r>
        <w:rPr>
          <w:rFonts w:ascii="Arial" w:cs="Arial" w:eastAsia="Arial" w:hAnsi="Arial"/>
          <w:sz w:val="20"/>
          <w:szCs w:val="20"/>
          <w:color w:val="auto"/>
        </w:rPr>
        <w:t>”), and if not, Executive will forfeit any right to severance payments or benefits under this Agreement. To become effective, the Release must be timely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908"/>
          </w:cols>
          <w:pgMar w:left="652" w:top="1440" w:right="339" w:bottom="1440" w:gutter="0" w:footer="0" w:header="0"/>
        </w:sectPr>
      </w:pPr>
    </w:p>
    <w:bookmarkStart w:id="55" w:name="page56"/>
    <w:bookmarkEnd w:id="55"/>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jc w:val="both"/>
        <w:ind w:left="320"/>
        <w:spacing w:after="0" w:line="268" w:lineRule="auto"/>
        <w:rPr>
          <w:sz w:val="20"/>
          <w:szCs w:val="20"/>
          <w:color w:val="auto"/>
        </w:rPr>
      </w:pPr>
      <w:r>
        <w:rPr>
          <w:rFonts w:ascii="Arial" w:cs="Arial" w:eastAsia="Arial" w:hAnsi="Arial"/>
          <w:sz w:val="20"/>
          <w:szCs w:val="20"/>
          <w:color w:val="auto"/>
        </w:rPr>
        <w:t>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7(c)(i)) will be paid on the first payroll date to occur during the calendar year following the calendar year in which such termination occurs, or such later time as required by (i) the payment schedule applicable to each payment or benefit as set forth in Section 6, (ii) the date the Release becomes effective, or (iii) Section 7(c)(ii); provided that the first payment shall include all amounts that would have been paid to Executive if payment had commenced on the date of Executive’s termination of employment.</w:t>
      </w:r>
    </w:p>
    <w:p>
      <w:pPr>
        <w:spacing w:after="0" w:line="162" w:lineRule="exact"/>
        <w:rPr>
          <w:sz w:val="20"/>
          <w:szCs w:val="20"/>
          <w:color w:val="auto"/>
        </w:rPr>
      </w:pPr>
    </w:p>
    <w:p>
      <w:pPr>
        <w:jc w:val="both"/>
        <w:ind w:left="320" w:hanging="320"/>
        <w:spacing w:after="0" w:line="283" w:lineRule="auto"/>
        <w:tabs>
          <w:tab w:leader="none" w:pos="309" w:val="left"/>
        </w:tabs>
        <w:numPr>
          <w:ilvl w:val="0"/>
          <w:numId w:val="24"/>
        </w:numPr>
        <w:rPr>
          <w:rFonts w:ascii="Arial" w:cs="Arial" w:eastAsia="Arial" w:hAnsi="Arial"/>
          <w:sz w:val="20"/>
          <w:szCs w:val="20"/>
          <w:color w:val="auto"/>
        </w:rPr>
      </w:pPr>
      <w:r>
        <w:rPr>
          <w:rFonts w:ascii="Arial" w:cs="Arial" w:eastAsia="Arial" w:hAnsi="Arial"/>
          <w:sz w:val="20"/>
          <w:szCs w:val="20"/>
          <w:b w:val="1"/>
          <w:bCs w:val="1"/>
          <w:u w:val="single" w:color="auto"/>
          <w:color w:val="auto"/>
        </w:rPr>
        <w:t>Confidentiality Agreement</w:t>
      </w:r>
      <w:r>
        <w:rPr>
          <w:rFonts w:ascii="Arial" w:cs="Arial" w:eastAsia="Arial" w:hAnsi="Arial"/>
          <w:sz w:val="20"/>
          <w:szCs w:val="20"/>
          <w:color w:val="auto"/>
        </w:rPr>
        <w:t>. Executive’s receipt of any payments or benefits under Section 6 will be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continuing to comply with the terms of the Confidentiality Agreement (as defined in Section 11(a) below).</w:t>
      </w:r>
    </w:p>
    <w:p>
      <w:pPr>
        <w:spacing w:after="0" w:line="131" w:lineRule="exact"/>
        <w:rPr>
          <w:rFonts w:ascii="Arial" w:cs="Arial" w:eastAsia="Arial" w:hAnsi="Arial"/>
          <w:sz w:val="20"/>
          <w:szCs w:val="20"/>
          <w:color w:val="auto"/>
        </w:rPr>
      </w:pPr>
    </w:p>
    <w:p>
      <w:pPr>
        <w:ind w:left="320" w:hanging="320"/>
        <w:spacing w:after="0"/>
        <w:tabs>
          <w:tab w:leader="none" w:pos="320" w:val="left"/>
        </w:tabs>
        <w:numPr>
          <w:ilvl w:val="0"/>
          <w:numId w:val="24"/>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w:t>
      </w:r>
    </w:p>
    <w:p>
      <w:pPr>
        <w:spacing w:after="0" w:line="226" w:lineRule="exact"/>
        <w:rPr>
          <w:rFonts w:ascii="Arial" w:cs="Arial" w:eastAsia="Arial" w:hAnsi="Arial"/>
          <w:sz w:val="20"/>
          <w:szCs w:val="20"/>
          <w:color w:val="auto"/>
        </w:rPr>
      </w:pPr>
    </w:p>
    <w:p>
      <w:pPr>
        <w:jc w:val="both"/>
        <w:ind w:left="980" w:hanging="332"/>
        <w:spacing w:after="0" w:line="267" w:lineRule="auto"/>
        <w:tabs>
          <w:tab w:leader="none" w:pos="957" w:val="left"/>
        </w:tabs>
        <w:numPr>
          <w:ilvl w:val="1"/>
          <w:numId w:val="24"/>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no severance pay or benefits to be paid or provided to Executive, if any, pursuant to this Agreement that, when considered together with any other</w:t>
      </w:r>
    </w:p>
    <w:p>
      <w:pPr>
        <w:spacing w:after="0" w:line="1" w:lineRule="exact"/>
        <w:rPr>
          <w:rFonts w:ascii="Arial" w:cs="Arial" w:eastAsia="Arial" w:hAnsi="Arial"/>
          <w:sz w:val="20"/>
          <w:szCs w:val="20"/>
          <w:color w:val="auto"/>
        </w:rPr>
      </w:pPr>
    </w:p>
    <w:p>
      <w:pPr>
        <w:jc w:val="both"/>
        <w:ind w:left="980"/>
        <w:spacing w:after="0" w:line="268" w:lineRule="auto"/>
        <w:rPr>
          <w:rFonts w:ascii="Arial" w:cs="Arial" w:eastAsia="Arial" w:hAnsi="Arial"/>
          <w:sz w:val="20"/>
          <w:szCs w:val="20"/>
          <w:color w:val="auto"/>
        </w:rPr>
      </w:pPr>
      <w:r>
        <w:rPr>
          <w:rFonts w:ascii="Arial" w:cs="Arial" w:eastAsia="Arial" w:hAnsi="Arial"/>
          <w:sz w:val="20"/>
          <w:szCs w:val="20"/>
          <w:color w:val="auto"/>
        </w:rPr>
        <w:t>severance payments or separation benefits, are considered deferred compensation not exempt under Section 409A (together, the “</w:t>
      </w:r>
      <w:r>
        <w:rPr>
          <w:rFonts w:ascii="Arial" w:cs="Arial" w:eastAsia="Arial" w:hAnsi="Arial"/>
          <w:sz w:val="20"/>
          <w:szCs w:val="20"/>
          <w:b w:val="1"/>
          <w:bCs w:val="1"/>
          <w:i w:val="1"/>
          <w:iCs w:val="1"/>
          <w:color w:val="auto"/>
        </w:rPr>
        <w:t>Deferred Payments</w:t>
      </w:r>
      <w:r>
        <w:rPr>
          <w:rFonts w:ascii="Arial" w:cs="Arial" w:eastAsia="Arial" w:hAnsi="Arial"/>
          <w:sz w:val="20"/>
          <w:szCs w:val="20"/>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62" w:lineRule="exact"/>
        <w:rPr>
          <w:rFonts w:ascii="Arial" w:cs="Arial" w:eastAsia="Arial" w:hAnsi="Arial"/>
          <w:sz w:val="20"/>
          <w:szCs w:val="20"/>
          <w:color w:val="auto"/>
        </w:rPr>
      </w:pPr>
    </w:p>
    <w:p>
      <w:pPr>
        <w:jc w:val="both"/>
        <w:ind w:left="980" w:hanging="332"/>
        <w:spacing w:after="0" w:line="274" w:lineRule="auto"/>
        <w:tabs>
          <w:tab w:leader="none" w:pos="975" w:val="left"/>
        </w:tabs>
        <w:numPr>
          <w:ilvl w:val="1"/>
          <w:numId w:val="24"/>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if Executive is a “</w:t>
      </w:r>
      <w:r>
        <w:rPr>
          <w:rFonts w:ascii="Arial" w:cs="Arial" w:eastAsia="Arial" w:hAnsi="Arial"/>
          <w:sz w:val="20"/>
          <w:szCs w:val="20"/>
          <w:b w:val="1"/>
          <w:bCs w:val="1"/>
          <w:i w:val="1"/>
          <w:iCs w:val="1"/>
          <w:color w:val="auto"/>
        </w:rPr>
        <w:t>specified employee</w:t>
      </w:r>
      <w:r>
        <w:rPr>
          <w:rFonts w:ascii="Arial" w:cs="Arial" w:eastAsia="Arial" w:hAnsi="Arial"/>
          <w:sz w:val="20"/>
          <w:szCs w:val="20"/>
          <w:color w:val="auto"/>
        </w:rPr>
        <w:t>”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260"/>
          </w:cols>
          <w:pgMar w:left="1300" w:top="1440" w:right="339" w:bottom="1440" w:gutter="0" w:footer="0" w:header="0"/>
        </w:sectPr>
      </w:pPr>
    </w:p>
    <w:bookmarkStart w:id="56" w:name="page57"/>
    <w:bookmarkEnd w:id="56"/>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jc w:val="both"/>
        <w:ind w:left="840"/>
        <w:spacing w:after="0" w:line="268" w:lineRule="auto"/>
        <w:rPr>
          <w:sz w:val="20"/>
          <w:szCs w:val="20"/>
          <w:color w:val="auto"/>
        </w:rPr>
      </w:pPr>
      <w:r>
        <w:rPr>
          <w:rFonts w:ascii="Arial" w:cs="Arial" w:eastAsia="Arial" w:hAnsi="Arial"/>
          <w:sz w:val="20"/>
          <w:szCs w:val="20"/>
          <w:color w:val="auto"/>
        </w:rPr>
        <w:t>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87" w:lineRule="exact"/>
        <w:rPr>
          <w:sz w:val="20"/>
          <w:szCs w:val="20"/>
          <w:color w:val="auto"/>
        </w:rPr>
      </w:pPr>
    </w:p>
    <w:p>
      <w:pPr>
        <w:jc w:val="both"/>
        <w:ind w:left="840" w:hanging="332"/>
        <w:spacing w:after="0" w:line="271" w:lineRule="auto"/>
        <w:tabs>
          <w:tab w:leader="none" w:pos="839" w:val="left"/>
        </w:tabs>
        <w:numPr>
          <w:ilvl w:val="0"/>
          <w:numId w:val="25"/>
        </w:numPr>
        <w:rPr>
          <w:rFonts w:ascii="Arial" w:cs="Arial" w:eastAsia="Arial" w:hAnsi="Arial"/>
          <w:sz w:val="20"/>
          <w:szCs w:val="20"/>
          <w:color w:val="auto"/>
        </w:rPr>
      </w:pPr>
      <w:r>
        <w:rPr>
          <w:rFonts w:ascii="Arial" w:cs="Arial" w:eastAsia="Arial" w:hAnsi="Arial"/>
          <w:sz w:val="20"/>
          <w:szCs w:val="20"/>
          <w:color w:val="auto"/>
        </w:rPr>
        <w:t>Without limitation, any amount paid under this Agreement that satisfies the requirements of the “short-term deferral” rule set forth in Section 1.409A-1(b)(4) of the Treasury Regulations is not intended to constitute Deferred Payments for purposes of clause (i) above.</w:t>
      </w:r>
    </w:p>
    <w:p>
      <w:pPr>
        <w:spacing w:after="0" w:line="165" w:lineRule="exact"/>
        <w:rPr>
          <w:rFonts w:ascii="Arial" w:cs="Arial" w:eastAsia="Arial" w:hAnsi="Arial"/>
          <w:sz w:val="20"/>
          <w:szCs w:val="20"/>
          <w:color w:val="auto"/>
        </w:rPr>
      </w:pPr>
    </w:p>
    <w:p>
      <w:pPr>
        <w:jc w:val="both"/>
        <w:ind w:left="840" w:hanging="332"/>
        <w:spacing w:after="0" w:line="286" w:lineRule="auto"/>
        <w:tabs>
          <w:tab w:leader="none" w:pos="829" w:val="left"/>
        </w:tabs>
        <w:numPr>
          <w:ilvl w:val="0"/>
          <w:numId w:val="25"/>
        </w:numPr>
        <w:rPr>
          <w:rFonts w:ascii="Arial" w:cs="Arial" w:eastAsia="Arial" w:hAnsi="Arial"/>
          <w:sz w:val="19"/>
          <w:szCs w:val="19"/>
          <w:color w:val="auto"/>
        </w:rPr>
      </w:pPr>
      <w:r>
        <w:rPr>
          <w:rFonts w:ascii="Arial" w:cs="Arial" w:eastAsia="Arial" w:hAnsi="Arial"/>
          <w:sz w:val="19"/>
          <w:szCs w:val="19"/>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56" w:lineRule="exact"/>
        <w:rPr>
          <w:rFonts w:ascii="Arial" w:cs="Arial" w:eastAsia="Arial" w:hAnsi="Arial"/>
          <w:sz w:val="19"/>
          <w:szCs w:val="19"/>
          <w:color w:val="auto"/>
        </w:rPr>
      </w:pPr>
    </w:p>
    <w:p>
      <w:pPr>
        <w:jc w:val="both"/>
        <w:ind w:left="840" w:hanging="332"/>
        <w:spacing w:after="0" w:line="268" w:lineRule="auto"/>
        <w:tabs>
          <w:tab w:leader="none" w:pos="835" w:val="left"/>
        </w:tabs>
        <w:numPr>
          <w:ilvl w:val="0"/>
          <w:numId w:val="25"/>
        </w:numPr>
        <w:rPr>
          <w:rFonts w:ascii="Arial" w:cs="Arial" w:eastAsia="Arial" w:hAnsi="Arial"/>
          <w:sz w:val="20"/>
          <w:szCs w:val="20"/>
          <w:color w:val="auto"/>
        </w:rPr>
      </w:pPr>
      <w:r>
        <w:rPr>
          <w:rFonts w:ascii="Arial" w:cs="Arial" w:eastAsia="Arial" w:hAnsi="Arial"/>
          <w:sz w:val="20"/>
          <w:szCs w:val="20"/>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186" w:lineRule="exact"/>
        <w:rPr>
          <w:rFonts w:ascii="Arial" w:cs="Arial" w:eastAsia="Arial" w:hAnsi="Arial"/>
          <w:sz w:val="20"/>
          <w:szCs w:val="20"/>
          <w:color w:val="auto"/>
        </w:rPr>
      </w:pPr>
    </w:p>
    <w:p>
      <w:pPr>
        <w:jc w:val="both"/>
        <w:ind w:left="840" w:hanging="332"/>
        <w:spacing w:after="0" w:line="269" w:lineRule="auto"/>
        <w:tabs>
          <w:tab w:leader="none" w:pos="832"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payments and benefits provided under Sections 6(a) and 6(b)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120"/>
          </w:cols>
          <w:pgMar w:left="1440" w:top="1440" w:right="339" w:bottom="1440" w:gutter="0" w:footer="0" w:header="0"/>
        </w:sectPr>
      </w:pPr>
    </w:p>
    <w:bookmarkStart w:id="57" w:name="page58"/>
    <w:bookmarkEnd w:id="57"/>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ind w:left="1628"/>
        <w:spacing w:after="0" w:line="275" w:lineRule="auto"/>
        <w:rPr>
          <w:sz w:val="20"/>
          <w:szCs w:val="20"/>
          <w:color w:val="auto"/>
        </w:rPr>
      </w:pPr>
      <w:r>
        <w:rPr>
          <w:rFonts w:ascii="Arial" w:cs="Arial" w:eastAsia="Arial" w:hAnsi="Arial"/>
          <w:sz w:val="20"/>
          <w:szCs w:val="20"/>
          <w:color w:val="auto"/>
        </w:rPr>
        <w:t>take such reasonable actions that are necessary, appropriate or desirable to avoid imposition of any additional tax or income recognition prior to actual payment to Executive under Section 409A.</w:t>
      </w:r>
    </w:p>
    <w:p>
      <w:pPr>
        <w:spacing w:after="0" w:line="151" w:lineRule="exact"/>
        <w:rPr>
          <w:sz w:val="20"/>
          <w:szCs w:val="20"/>
          <w:color w:val="auto"/>
        </w:rPr>
      </w:pPr>
    </w:p>
    <w:p>
      <w:pPr>
        <w:ind w:left="648" w:right="1480" w:hanging="648"/>
        <w:spacing w:after="0" w:line="463" w:lineRule="auto"/>
        <w:tabs>
          <w:tab w:leader="none" w:pos="313" w:val="left"/>
        </w:tabs>
        <w:numPr>
          <w:ilvl w:val="0"/>
          <w:numId w:val="26"/>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 of Terms</w:t>
      </w:r>
      <w:r>
        <w:rPr>
          <w:rFonts w:ascii="Arial" w:cs="Arial" w:eastAsia="Arial" w:hAnsi="Arial"/>
          <w:sz w:val="20"/>
          <w:szCs w:val="20"/>
          <w:color w:val="auto"/>
        </w:rPr>
        <w:t>. The following terms referred to in this Agreement will have the following meanings: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 </w:t>
      </w:r>
      <w:r>
        <w:rPr>
          <w:rFonts w:ascii="Arial" w:cs="Arial" w:eastAsia="Arial" w:hAnsi="Arial"/>
          <w:sz w:val="20"/>
          <w:szCs w:val="20"/>
          <w:b w:val="1"/>
          <w:bCs w:val="1"/>
          <w:u w:val="single" w:color="auto"/>
          <w:color w:val="auto"/>
        </w:rPr>
        <w:t>Cause</w:t>
      </w:r>
      <w:r>
        <w:rPr>
          <w:rFonts w:ascii="Arial" w:cs="Arial" w:eastAsia="Arial" w:hAnsi="Arial"/>
          <w:sz w:val="20"/>
          <w:szCs w:val="20"/>
          <w:color w:val="auto"/>
        </w:rPr>
        <w:t>. “Cause” means:</w:t>
      </w:r>
    </w:p>
    <w:p>
      <w:pPr>
        <w:ind w:left="1628" w:hanging="332"/>
        <w:spacing w:after="0" w:line="275" w:lineRule="auto"/>
        <w:tabs>
          <w:tab w:leader="none" w:pos="1619" w:val="left"/>
        </w:tabs>
        <w:numPr>
          <w:ilvl w:val="2"/>
          <w:numId w:val="26"/>
        </w:numPr>
        <w:rPr>
          <w:rFonts w:ascii="Arial" w:cs="Arial" w:eastAsia="Arial" w:hAnsi="Arial"/>
          <w:sz w:val="20"/>
          <w:szCs w:val="20"/>
          <w:color w:val="auto"/>
        </w:rPr>
      </w:pPr>
      <w:r>
        <w:rPr>
          <w:rFonts w:ascii="Arial" w:cs="Arial" w:eastAsia="Arial" w:hAnsi="Arial"/>
          <w:sz w:val="20"/>
          <w:szCs w:val="20"/>
          <w:color w:val="auto"/>
        </w:rPr>
        <w:t>Executive’s gross negligence or willful misconduct in the performance of his or her duties and responsibilities to the Company or Executive’s violation of any written Company policy;</w:t>
      </w:r>
    </w:p>
    <w:p>
      <w:pPr>
        <w:spacing w:after="0" w:line="174" w:lineRule="exact"/>
        <w:rPr>
          <w:rFonts w:ascii="Arial" w:cs="Arial" w:eastAsia="Arial" w:hAnsi="Arial"/>
          <w:sz w:val="20"/>
          <w:szCs w:val="20"/>
          <w:color w:val="auto"/>
        </w:rPr>
      </w:pPr>
    </w:p>
    <w:p>
      <w:pPr>
        <w:jc w:val="both"/>
        <w:ind w:left="1628" w:hanging="332"/>
        <w:spacing w:after="0" w:line="271" w:lineRule="auto"/>
        <w:tabs>
          <w:tab w:leader="none" w:pos="1622" w:val="left"/>
        </w:tabs>
        <w:numPr>
          <w:ilvl w:val="2"/>
          <w:numId w:val="26"/>
        </w:numPr>
        <w:rPr>
          <w:rFonts w:ascii="Arial" w:cs="Arial" w:eastAsia="Arial" w:hAnsi="Arial"/>
          <w:sz w:val="20"/>
          <w:szCs w:val="20"/>
          <w:color w:val="auto"/>
        </w:rPr>
      </w:pPr>
      <w:r>
        <w:rPr>
          <w:rFonts w:ascii="Arial" w:cs="Arial" w:eastAsia="Arial" w:hAnsi="Arial"/>
          <w:sz w:val="20"/>
          <w:szCs w:val="20"/>
          <w:color w:val="auto"/>
        </w:rPr>
        <w:t>Executive’s commission of any act of fraud, theft, embezzlement, financial dishonesty, misappropriation from the Company or any other willful misconduct that has caused or is reasonably expected to result in injury to the Company;</w:t>
      </w:r>
    </w:p>
    <w:p>
      <w:pPr>
        <w:spacing w:after="0" w:line="165" w:lineRule="exact"/>
        <w:rPr>
          <w:rFonts w:ascii="Arial" w:cs="Arial" w:eastAsia="Arial" w:hAnsi="Arial"/>
          <w:sz w:val="20"/>
          <w:szCs w:val="20"/>
          <w:color w:val="auto"/>
        </w:rPr>
      </w:pPr>
    </w:p>
    <w:p>
      <w:pPr>
        <w:ind w:left="1628" w:right="20" w:hanging="332"/>
        <w:spacing w:after="0" w:line="275" w:lineRule="auto"/>
        <w:tabs>
          <w:tab w:leader="none" w:pos="1626" w:val="left"/>
        </w:tabs>
        <w:numPr>
          <w:ilvl w:val="2"/>
          <w:numId w:val="26"/>
        </w:numPr>
        <w:rPr>
          <w:rFonts w:ascii="Arial" w:cs="Arial" w:eastAsia="Arial" w:hAnsi="Arial"/>
          <w:sz w:val="20"/>
          <w:szCs w:val="20"/>
          <w:color w:val="auto"/>
        </w:rPr>
      </w:pPr>
      <w:r>
        <w:rPr>
          <w:rFonts w:ascii="Arial" w:cs="Arial" w:eastAsia="Arial" w:hAnsi="Arial"/>
          <w:sz w:val="20"/>
          <w:szCs w:val="20"/>
          <w:color w:val="auto"/>
        </w:rPr>
        <w:t>Executive’s conviction of, or pleading guilty or nolo contendre to, any felony or a lesser crime involving dishonesty or moral turpitude;</w:t>
      </w:r>
    </w:p>
    <w:p>
      <w:pPr>
        <w:spacing w:after="0" w:line="161" w:lineRule="exact"/>
        <w:rPr>
          <w:rFonts w:ascii="Arial" w:cs="Arial" w:eastAsia="Arial" w:hAnsi="Arial"/>
          <w:sz w:val="20"/>
          <w:szCs w:val="20"/>
          <w:color w:val="auto"/>
        </w:rPr>
      </w:pPr>
    </w:p>
    <w:p>
      <w:pPr>
        <w:ind w:left="1628" w:right="20" w:hanging="332"/>
        <w:spacing w:after="0" w:line="275" w:lineRule="auto"/>
        <w:tabs>
          <w:tab w:leader="none" w:pos="1609" w:val="left"/>
        </w:tabs>
        <w:numPr>
          <w:ilvl w:val="2"/>
          <w:numId w:val="26"/>
        </w:numPr>
        <w:rPr>
          <w:rFonts w:ascii="Arial" w:cs="Arial" w:eastAsia="Arial" w:hAnsi="Arial"/>
          <w:sz w:val="20"/>
          <w:szCs w:val="20"/>
          <w:color w:val="auto"/>
        </w:rPr>
      </w:pPr>
      <w:r>
        <w:rPr>
          <w:rFonts w:ascii="Arial" w:cs="Arial" w:eastAsia="Arial" w:hAnsi="Arial"/>
          <w:sz w:val="20"/>
          <w:szCs w:val="20"/>
          <w:color w:val="auto"/>
        </w:rPr>
        <w:t>Executive’s unlawful use (including being under the influence) or possession of illegal drugs on the premises of the Company or while performing Executive’s duties and responsibilities for the Company</w:t>
      </w:r>
    </w:p>
    <w:p>
      <w:pPr>
        <w:spacing w:after="0" w:line="174" w:lineRule="exact"/>
        <w:rPr>
          <w:rFonts w:ascii="Arial" w:cs="Arial" w:eastAsia="Arial" w:hAnsi="Arial"/>
          <w:sz w:val="20"/>
          <w:szCs w:val="20"/>
          <w:color w:val="auto"/>
        </w:rPr>
      </w:pPr>
    </w:p>
    <w:p>
      <w:pPr>
        <w:jc w:val="both"/>
        <w:ind w:left="1628" w:hanging="332"/>
        <w:spacing w:after="0" w:line="271" w:lineRule="auto"/>
        <w:tabs>
          <w:tab w:leader="none" w:pos="1605" w:val="left"/>
        </w:tabs>
        <w:numPr>
          <w:ilvl w:val="2"/>
          <w:numId w:val="26"/>
        </w:numPr>
        <w:rPr>
          <w:rFonts w:ascii="Arial" w:cs="Arial" w:eastAsia="Arial" w:hAnsi="Arial"/>
          <w:sz w:val="20"/>
          <w:szCs w:val="20"/>
          <w:color w:val="auto"/>
        </w:rPr>
      </w:pPr>
      <w:r>
        <w:rPr>
          <w:rFonts w:ascii="Arial" w:cs="Arial" w:eastAsia="Arial" w:hAnsi="Arial"/>
          <w:sz w:val="20"/>
          <w:szCs w:val="20"/>
          <w:color w:val="auto"/>
        </w:rPr>
        <w:t>Executive’s unauthorized use or disclosure of any proprietary information or trade secrets of the Company or any other party to whom Executive owes an obligation of nondisclosure as a result of his or her relationship with the Company; or</w:t>
      </w:r>
    </w:p>
    <w:p>
      <w:pPr>
        <w:spacing w:after="0" w:line="165" w:lineRule="exact"/>
        <w:rPr>
          <w:rFonts w:ascii="Arial" w:cs="Arial" w:eastAsia="Arial" w:hAnsi="Arial"/>
          <w:sz w:val="20"/>
          <w:szCs w:val="20"/>
          <w:color w:val="auto"/>
        </w:rPr>
      </w:pPr>
    </w:p>
    <w:p>
      <w:pPr>
        <w:ind w:left="1628" w:hanging="332"/>
        <w:spacing w:after="0" w:line="275" w:lineRule="auto"/>
        <w:tabs>
          <w:tab w:leader="none" w:pos="1623" w:val="left"/>
        </w:tabs>
        <w:numPr>
          <w:ilvl w:val="2"/>
          <w:numId w:val="26"/>
        </w:numPr>
        <w:rPr>
          <w:rFonts w:ascii="Arial" w:cs="Arial" w:eastAsia="Arial" w:hAnsi="Arial"/>
          <w:sz w:val="20"/>
          <w:szCs w:val="20"/>
          <w:color w:val="auto"/>
        </w:rPr>
      </w:pPr>
      <w:r>
        <w:rPr>
          <w:rFonts w:ascii="Arial" w:cs="Arial" w:eastAsia="Arial" w:hAnsi="Arial"/>
          <w:sz w:val="20"/>
          <w:szCs w:val="20"/>
          <w:color w:val="auto"/>
        </w:rPr>
        <w:t>Executive’s material breach of any of his or her obligations under any written agreement or covenant with the Company.</w:t>
      </w:r>
    </w:p>
    <w:p>
      <w:pPr>
        <w:spacing w:after="0" w:line="137" w:lineRule="exact"/>
        <w:rPr>
          <w:sz w:val="20"/>
          <w:szCs w:val="20"/>
          <w:color w:val="auto"/>
        </w:rPr>
      </w:pPr>
    </w:p>
    <w:p>
      <w:pPr>
        <w:ind w:left="968" w:hanging="320"/>
        <w:spacing w:after="0"/>
        <w:tabs>
          <w:tab w:leader="none" w:pos="968" w:val="left"/>
        </w:tabs>
        <w:numPr>
          <w:ilvl w:val="0"/>
          <w:numId w:val="27"/>
        </w:numPr>
        <w:rPr>
          <w:rFonts w:ascii="Arial" w:cs="Arial" w:eastAsia="Arial" w:hAnsi="Arial"/>
          <w:sz w:val="20"/>
          <w:szCs w:val="20"/>
          <w:color w:val="auto"/>
        </w:rPr>
      </w:pPr>
      <w:r>
        <w:rPr>
          <w:rFonts w:ascii="Arial" w:cs="Arial" w:eastAsia="Arial" w:hAnsi="Arial"/>
          <w:sz w:val="20"/>
          <w:szCs w:val="20"/>
          <w:b w:val="1"/>
          <w:bCs w:val="1"/>
          <w:u w:val="single" w:color="auto"/>
          <w:color w:val="auto"/>
        </w:rPr>
        <w:t>Change in Control</w:t>
      </w:r>
      <w:r>
        <w:rPr>
          <w:rFonts w:ascii="Arial" w:cs="Arial" w:eastAsia="Arial" w:hAnsi="Arial"/>
          <w:sz w:val="20"/>
          <w:szCs w:val="20"/>
          <w:color w:val="auto"/>
        </w:rPr>
        <w:t>. “Change in Control” shall have the meaning ascribed to such term in the Equity Plan.</w:t>
      </w:r>
    </w:p>
    <w:p>
      <w:pPr>
        <w:spacing w:after="0" w:line="215" w:lineRule="exact"/>
        <w:rPr>
          <w:rFonts w:ascii="Arial" w:cs="Arial" w:eastAsia="Arial" w:hAnsi="Arial"/>
          <w:sz w:val="20"/>
          <w:szCs w:val="20"/>
          <w:color w:val="auto"/>
        </w:rPr>
      </w:pPr>
    </w:p>
    <w:p>
      <w:pPr>
        <w:jc w:val="both"/>
        <w:ind w:left="968" w:hanging="320"/>
        <w:spacing w:after="0" w:line="328" w:lineRule="auto"/>
        <w:tabs>
          <w:tab w:leader="none" w:pos="957" w:val="left"/>
        </w:tabs>
        <w:numPr>
          <w:ilvl w:val="0"/>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Protection Period</w:t>
      </w:r>
      <w:r>
        <w:rPr>
          <w:rFonts w:ascii="Arial" w:cs="Arial" w:eastAsia="Arial" w:hAnsi="Arial"/>
          <w:sz w:val="19"/>
          <w:szCs w:val="19"/>
          <w:color w:val="auto"/>
        </w:rPr>
        <w:t>. “Change in Control Protection Period” means the period beginning one</w:t>
      </w:r>
      <w:r>
        <w:rPr>
          <w:rFonts w:ascii="Arial" w:cs="Arial" w:eastAsia="Arial" w:hAnsi="Arial"/>
          <w:sz w:val="19"/>
          <w:szCs w:val="19"/>
          <w:b w:val="1"/>
          <w:bCs w:val="1"/>
          <w:color w:val="auto"/>
        </w:rPr>
        <w:t xml:space="preserve"> </w:t>
      </w:r>
      <w:r>
        <w:rPr>
          <w:rFonts w:ascii="Arial" w:cs="Arial" w:eastAsia="Arial" w:hAnsi="Arial"/>
          <w:sz w:val="19"/>
          <w:szCs w:val="19"/>
          <w:color w:val="auto"/>
        </w:rPr>
        <w:t>month prior to and ending eighteen (18) months immediately following the consummation of a Change in Control.</w:t>
      </w:r>
    </w:p>
    <w:p>
      <w:pPr>
        <w:spacing w:after="0" w:line="91" w:lineRule="exact"/>
        <w:rPr>
          <w:rFonts w:ascii="Arial" w:cs="Arial" w:eastAsia="Arial" w:hAnsi="Arial"/>
          <w:sz w:val="19"/>
          <w:szCs w:val="19"/>
          <w:color w:val="auto"/>
        </w:rPr>
      </w:pPr>
    </w:p>
    <w:p>
      <w:pPr>
        <w:ind w:left="968" w:hanging="320"/>
        <w:spacing w:after="0"/>
        <w:tabs>
          <w:tab w:leader="none" w:pos="968" w:val="left"/>
        </w:tabs>
        <w:numPr>
          <w:ilvl w:val="0"/>
          <w:numId w:val="27"/>
        </w:numPr>
        <w:rPr>
          <w:rFonts w:ascii="Arial" w:cs="Arial" w:eastAsia="Arial" w:hAnsi="Arial"/>
          <w:sz w:val="20"/>
          <w:szCs w:val="20"/>
          <w:color w:val="auto"/>
        </w:rPr>
      </w:pPr>
      <w:r>
        <w:rPr>
          <w:rFonts w:ascii="Arial" w:cs="Arial" w:eastAsia="Arial" w:hAnsi="Arial"/>
          <w:sz w:val="20"/>
          <w:szCs w:val="20"/>
          <w:b w:val="1"/>
          <w:bCs w:val="1"/>
          <w:u w:val="single" w:color="auto"/>
          <w:color w:val="auto"/>
        </w:rPr>
        <w:t>Code</w:t>
      </w:r>
      <w:r>
        <w:rPr>
          <w:rFonts w:ascii="Arial" w:cs="Arial" w:eastAsia="Arial" w:hAnsi="Arial"/>
          <w:sz w:val="20"/>
          <w:szCs w:val="20"/>
          <w:color w:val="auto"/>
        </w:rPr>
        <w:t>. “Code” means the Internal Revenue Code of 1986, as amended.</w:t>
      </w:r>
    </w:p>
    <w:p>
      <w:pPr>
        <w:spacing w:after="0" w:line="202" w:lineRule="exact"/>
        <w:rPr>
          <w:rFonts w:ascii="Arial" w:cs="Arial" w:eastAsia="Arial" w:hAnsi="Arial"/>
          <w:sz w:val="20"/>
          <w:szCs w:val="20"/>
          <w:color w:val="auto"/>
        </w:rPr>
      </w:pPr>
    </w:p>
    <w:p>
      <w:pPr>
        <w:jc w:val="both"/>
        <w:ind w:left="968" w:hanging="320"/>
        <w:spacing w:after="0" w:line="283" w:lineRule="auto"/>
        <w:tabs>
          <w:tab w:leader="none" w:pos="957" w:val="left"/>
        </w:tabs>
        <w:numPr>
          <w:ilvl w:val="0"/>
          <w:numId w:val="27"/>
        </w:numPr>
        <w:rPr>
          <w:rFonts w:ascii="Arial" w:cs="Arial" w:eastAsia="Arial" w:hAnsi="Arial"/>
          <w:sz w:val="20"/>
          <w:szCs w:val="20"/>
          <w:color w:val="auto"/>
        </w:rPr>
      </w:pPr>
      <w:r>
        <w:rPr>
          <w:rFonts w:ascii="Arial" w:cs="Arial" w:eastAsia="Arial" w:hAnsi="Arial"/>
          <w:sz w:val="20"/>
          <w:szCs w:val="20"/>
          <w:b w:val="1"/>
          <w:bCs w:val="1"/>
          <w:u w:val="single" w:color="auto"/>
          <w:color w:val="auto"/>
        </w:rPr>
        <w:t>Disability</w:t>
      </w:r>
      <w:r>
        <w:rPr>
          <w:rFonts w:ascii="Arial" w:cs="Arial" w:eastAsia="Arial" w:hAnsi="Arial"/>
          <w:sz w:val="20"/>
          <w:szCs w:val="20"/>
          <w:color w:val="auto"/>
        </w:rPr>
        <w:t>. “Disability” or “Disabled” means that Executive is unable to engage in any substantial gainful activity</w:t>
      </w:r>
      <w:r>
        <w:rPr>
          <w:rFonts w:ascii="Arial" w:cs="Arial" w:eastAsia="Arial" w:hAnsi="Arial"/>
          <w:sz w:val="20"/>
          <w:szCs w:val="20"/>
          <w:b w:val="1"/>
          <w:bCs w:val="1"/>
          <w:color w:val="auto"/>
        </w:rPr>
        <w:t xml:space="preserve"> </w:t>
      </w:r>
      <w:r>
        <w:rPr>
          <w:rFonts w:ascii="Arial" w:cs="Arial" w:eastAsia="Arial" w:hAnsi="Arial"/>
          <w:sz w:val="20"/>
          <w:szCs w:val="20"/>
          <w:color w:val="auto"/>
        </w:rPr>
        <w:t>by reason of any medically determinable physical or mental impairment which can be expected to result in death or which has lasted, or can be expected to last, for a continuous period of not less than one (1)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908"/>
          </w:cols>
          <w:pgMar w:left="652" w:top="1440" w:right="339" w:bottom="1440" w:gutter="0" w:footer="0" w:header="0"/>
        </w:sectPr>
      </w:pPr>
    </w:p>
    <w:bookmarkStart w:id="58" w:name="page59"/>
    <w:bookmarkEnd w:id="58"/>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jc w:val="both"/>
        <w:ind w:left="320" w:hanging="320"/>
        <w:spacing w:after="0" w:line="283" w:lineRule="auto"/>
        <w:tabs>
          <w:tab w:leader="none" w:pos="309" w:val="left"/>
        </w:tabs>
        <w:numPr>
          <w:ilvl w:val="0"/>
          <w:numId w:val="28"/>
        </w:numPr>
        <w:rPr>
          <w:rFonts w:ascii="Arial" w:cs="Arial" w:eastAsia="Arial" w:hAnsi="Arial"/>
          <w:sz w:val="20"/>
          <w:szCs w:val="20"/>
          <w:color w:val="auto"/>
        </w:rPr>
      </w:pPr>
      <w:r>
        <w:rPr>
          <w:rFonts w:ascii="Arial" w:cs="Arial" w:eastAsia="Arial" w:hAnsi="Arial"/>
          <w:sz w:val="20"/>
          <w:szCs w:val="20"/>
          <w:b w:val="1"/>
          <w:bCs w:val="1"/>
          <w:u w:val="single" w:color="auto"/>
          <w:color w:val="auto"/>
        </w:rPr>
        <w:t>Good Reason</w:t>
      </w:r>
      <w:r>
        <w:rPr>
          <w:rFonts w:ascii="Arial" w:cs="Arial" w:eastAsia="Arial" w:hAnsi="Arial"/>
          <w:sz w:val="20"/>
          <w:szCs w:val="20"/>
          <w:color w:val="auto"/>
        </w:rPr>
        <w:t>. “Good Reason” means Executive’s resignation or termination of employment within thirty (30)</w:t>
      </w:r>
      <w:r>
        <w:rPr>
          <w:rFonts w:ascii="Arial" w:cs="Arial" w:eastAsia="Arial" w:hAnsi="Arial"/>
          <w:sz w:val="20"/>
          <w:szCs w:val="20"/>
          <w:b w:val="1"/>
          <w:bCs w:val="1"/>
          <w:color w:val="auto"/>
        </w:rPr>
        <w:t xml:space="preserve"> </w:t>
      </w:r>
      <w:r>
        <w:rPr>
          <w:rFonts w:ascii="Arial" w:cs="Arial" w:eastAsia="Arial" w:hAnsi="Arial"/>
          <w:sz w:val="20"/>
          <w:szCs w:val="20"/>
          <w:color w:val="auto"/>
        </w:rPr>
        <w:t>days following the expiration of any cure period (discussed below) following the occurrence of one or more of the following without Executive’s express written consent:</w:t>
      </w:r>
    </w:p>
    <w:p>
      <w:pPr>
        <w:spacing w:after="0" w:line="168" w:lineRule="exact"/>
        <w:rPr>
          <w:rFonts w:ascii="Arial" w:cs="Arial" w:eastAsia="Arial" w:hAnsi="Arial"/>
          <w:sz w:val="20"/>
          <w:szCs w:val="20"/>
          <w:color w:val="auto"/>
        </w:rPr>
      </w:pPr>
    </w:p>
    <w:p>
      <w:pPr>
        <w:jc w:val="both"/>
        <w:ind w:left="980" w:hanging="332"/>
        <w:spacing w:after="0" w:line="270" w:lineRule="auto"/>
        <w:tabs>
          <w:tab w:leader="none" w:pos="979" w:val="left"/>
        </w:tabs>
        <w:numPr>
          <w:ilvl w:val="1"/>
          <w:numId w:val="28"/>
        </w:numPr>
        <w:rPr>
          <w:rFonts w:ascii="Arial" w:cs="Arial" w:eastAsia="Arial" w:hAnsi="Arial"/>
          <w:sz w:val="20"/>
          <w:szCs w:val="20"/>
          <w:color w:val="auto"/>
        </w:rPr>
      </w:pPr>
      <w:r>
        <w:rPr>
          <w:rFonts w:ascii="Arial" w:cs="Arial" w:eastAsia="Arial" w:hAnsi="Arial"/>
          <w:sz w:val="20"/>
          <w:szCs w:val="20"/>
          <w:color w:val="auto"/>
        </w:rPr>
        <w:t>A material reduction of Executive’s duties, authority or responsibilities, relative to Executive’s duties, authority or responsibilities in effect immediately prior to such reduction, including a change in duties resulting from a Change in Control so that Executive no longer has the responsibility of a CFO of the top-level entity (parent, acquiror or merger partner);</w:t>
      </w:r>
    </w:p>
    <w:p>
      <w:pPr>
        <w:spacing w:after="0" w:line="166" w:lineRule="exact"/>
        <w:rPr>
          <w:rFonts w:ascii="Arial" w:cs="Arial" w:eastAsia="Arial" w:hAnsi="Arial"/>
          <w:sz w:val="20"/>
          <w:szCs w:val="20"/>
          <w:color w:val="auto"/>
        </w:rPr>
      </w:pPr>
    </w:p>
    <w:p>
      <w:pPr>
        <w:ind w:left="960" w:hanging="312"/>
        <w:spacing w:after="0"/>
        <w:tabs>
          <w:tab w:leader="none" w:pos="960" w:val="left"/>
        </w:tabs>
        <w:numPr>
          <w:ilvl w:val="1"/>
          <w:numId w:val="28"/>
        </w:numPr>
        <w:rPr>
          <w:rFonts w:ascii="Arial" w:cs="Arial" w:eastAsia="Arial" w:hAnsi="Arial"/>
          <w:sz w:val="20"/>
          <w:szCs w:val="20"/>
          <w:color w:val="auto"/>
        </w:rPr>
      </w:pPr>
      <w:r>
        <w:rPr>
          <w:rFonts w:ascii="Arial" w:cs="Arial" w:eastAsia="Arial" w:hAnsi="Arial"/>
          <w:sz w:val="20"/>
          <w:szCs w:val="20"/>
          <w:color w:val="auto"/>
        </w:rPr>
        <w:t>Any reduction in Executive’s Base Salary;</w:t>
      </w:r>
    </w:p>
    <w:p>
      <w:pPr>
        <w:spacing w:after="0" w:line="202" w:lineRule="exact"/>
        <w:rPr>
          <w:rFonts w:ascii="Arial" w:cs="Arial" w:eastAsia="Arial" w:hAnsi="Arial"/>
          <w:sz w:val="20"/>
          <w:szCs w:val="20"/>
          <w:color w:val="auto"/>
        </w:rPr>
      </w:pPr>
    </w:p>
    <w:p>
      <w:pPr>
        <w:jc w:val="both"/>
        <w:ind w:left="980" w:hanging="332"/>
        <w:spacing w:after="0" w:line="271" w:lineRule="auto"/>
        <w:tabs>
          <w:tab w:leader="none" w:pos="975" w:val="left"/>
        </w:tabs>
        <w:numPr>
          <w:ilvl w:val="1"/>
          <w:numId w:val="28"/>
        </w:numPr>
        <w:rPr>
          <w:rFonts w:ascii="Arial" w:cs="Arial" w:eastAsia="Arial" w:hAnsi="Arial"/>
          <w:sz w:val="20"/>
          <w:szCs w:val="20"/>
          <w:color w:val="auto"/>
        </w:rPr>
      </w:pPr>
      <w:r>
        <w:rPr>
          <w:rFonts w:ascii="Arial" w:cs="Arial" w:eastAsia="Arial" w:hAnsi="Arial"/>
          <w:sz w:val="20"/>
          <w:szCs w:val="20"/>
          <w:color w:val="auto"/>
        </w:rPr>
        <w:t>A material change in the geographic location of Executive’s primary work facility or location; provided, that a relocation of less than fifty (50) miles from Executive’s then-present work location will not be considered a material change in geographic location; or</w:t>
      </w:r>
    </w:p>
    <w:p>
      <w:pPr>
        <w:spacing w:after="0" w:line="179" w:lineRule="exact"/>
        <w:rPr>
          <w:rFonts w:ascii="Arial" w:cs="Arial" w:eastAsia="Arial" w:hAnsi="Arial"/>
          <w:sz w:val="20"/>
          <w:szCs w:val="20"/>
          <w:color w:val="auto"/>
        </w:rPr>
      </w:pPr>
    </w:p>
    <w:p>
      <w:pPr>
        <w:ind w:left="980" w:hanging="332"/>
        <w:spacing w:after="0" w:line="275" w:lineRule="auto"/>
        <w:tabs>
          <w:tab w:leader="none" w:pos="972" w:val="left"/>
        </w:tabs>
        <w:numPr>
          <w:ilvl w:val="1"/>
          <w:numId w:val="28"/>
        </w:numPr>
        <w:rPr>
          <w:rFonts w:ascii="Arial" w:cs="Arial" w:eastAsia="Arial" w:hAnsi="Arial"/>
          <w:sz w:val="20"/>
          <w:szCs w:val="20"/>
          <w:color w:val="auto"/>
        </w:rPr>
      </w:pPr>
      <w:r>
        <w:rPr>
          <w:rFonts w:ascii="Arial" w:cs="Arial" w:eastAsia="Arial" w:hAnsi="Arial"/>
          <w:sz w:val="20"/>
          <w:szCs w:val="20"/>
          <w:color w:val="auto"/>
        </w:rPr>
        <w:t>A material change to the reporting structure of the Company, such that Executive no longer reports to the Chief Executive Officer of the top-level parent entity;;</w:t>
      </w:r>
    </w:p>
    <w:p>
      <w:pPr>
        <w:spacing w:after="0" w:line="201" w:lineRule="exact"/>
        <w:rPr>
          <w:rFonts w:ascii="Arial" w:cs="Arial" w:eastAsia="Arial" w:hAnsi="Arial"/>
          <w:sz w:val="20"/>
          <w:szCs w:val="20"/>
          <w:color w:val="auto"/>
        </w:rPr>
      </w:pPr>
    </w:p>
    <w:p>
      <w:pPr>
        <w:ind w:left="960" w:hanging="312"/>
        <w:spacing w:after="0"/>
        <w:tabs>
          <w:tab w:leader="none" w:pos="960" w:val="left"/>
        </w:tabs>
        <w:numPr>
          <w:ilvl w:val="1"/>
          <w:numId w:val="28"/>
        </w:numPr>
        <w:rPr>
          <w:rFonts w:ascii="Arial" w:cs="Arial" w:eastAsia="Arial" w:hAnsi="Arial"/>
          <w:sz w:val="20"/>
          <w:szCs w:val="20"/>
          <w:color w:val="auto"/>
        </w:rPr>
      </w:pPr>
      <w:r>
        <w:rPr>
          <w:rFonts w:ascii="Arial" w:cs="Arial" w:eastAsia="Arial" w:hAnsi="Arial"/>
          <w:sz w:val="20"/>
          <w:szCs w:val="20"/>
          <w:color w:val="auto"/>
        </w:rPr>
        <w:t>A material breach by the Company of a material provision of this Agreement.</w:t>
      </w:r>
    </w:p>
    <w:p>
      <w:pPr>
        <w:spacing w:after="0" w:line="243" w:lineRule="exact"/>
        <w:rPr>
          <w:sz w:val="20"/>
          <w:szCs w:val="20"/>
          <w:color w:val="auto"/>
        </w:rPr>
      </w:pPr>
    </w:p>
    <w:p>
      <w:pPr>
        <w:jc w:val="both"/>
        <w:ind w:left="320"/>
        <w:spacing w:after="0" w:line="270" w:lineRule="auto"/>
        <w:rPr>
          <w:sz w:val="20"/>
          <w:szCs w:val="20"/>
          <w:color w:val="auto"/>
        </w:rPr>
      </w:pPr>
      <w:r>
        <w:rPr>
          <w:rFonts w:ascii="Arial" w:cs="Arial" w:eastAsia="Arial" w:hAnsi="Arial"/>
          <w:sz w:val="20"/>
          <w:szCs w:val="20"/>
          <w:color w:val="auto"/>
        </w:rPr>
        <w:t>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the Company receives such notice during which such condition must not have been cured.</w:t>
      </w:r>
    </w:p>
    <w:p>
      <w:pPr>
        <w:spacing w:after="0" w:line="183" w:lineRule="exact"/>
        <w:rPr>
          <w:sz w:val="20"/>
          <w:szCs w:val="20"/>
          <w:color w:val="auto"/>
        </w:rPr>
      </w:pPr>
    </w:p>
    <w:p>
      <w:pPr>
        <w:jc w:val="both"/>
        <w:ind w:left="320" w:hanging="323"/>
        <w:spacing w:after="0" w:line="283"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u w:val="single" w:color="auto"/>
          <w:color w:val="auto"/>
        </w:rPr>
        <w:t>Governmental Authority</w:t>
      </w:r>
      <w:r>
        <w:rPr>
          <w:rFonts w:ascii="Arial" w:cs="Arial" w:eastAsia="Arial" w:hAnsi="Arial"/>
          <w:sz w:val="20"/>
          <w:szCs w:val="20"/>
          <w:color w:val="auto"/>
        </w:rPr>
        <w:t>. “Governmental Authority” means any federal, state, municipal, foreign or other government, governmental department, commission, board, bureau, agency or instrumentality, or any private or public court or tribunal.</w:t>
      </w:r>
    </w:p>
    <w:p>
      <w:pPr>
        <w:spacing w:after="0" w:line="172" w:lineRule="exact"/>
        <w:rPr>
          <w:sz w:val="20"/>
          <w:szCs w:val="20"/>
          <w:color w:val="auto"/>
        </w:rPr>
      </w:pPr>
    </w:p>
    <w:p>
      <w:pPr>
        <w:ind w:left="320" w:hanging="320"/>
        <w:spacing w:after="0" w:line="300" w:lineRule="auto"/>
        <w:tabs>
          <w:tab w:leader="none" w:pos="309"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Payment Date</w:t>
      </w:r>
      <w:r>
        <w:rPr>
          <w:rFonts w:ascii="Arial" w:cs="Arial" w:eastAsia="Arial" w:hAnsi="Arial"/>
          <w:sz w:val="20"/>
          <w:szCs w:val="20"/>
          <w:color w:val="auto"/>
        </w:rPr>
        <w:t>. “Payment Date” means the first payroll date following the effective date of the Release,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delay under Section 7(a).</w:t>
      </w:r>
    </w:p>
    <w:p>
      <w:pPr>
        <w:spacing w:after="0" w:line="113" w:lineRule="exact"/>
        <w:rPr>
          <w:rFonts w:ascii="Arial" w:cs="Arial" w:eastAsia="Arial" w:hAnsi="Arial"/>
          <w:sz w:val="20"/>
          <w:szCs w:val="20"/>
          <w:color w:val="auto"/>
        </w:rPr>
      </w:pPr>
    </w:p>
    <w:p>
      <w:pPr>
        <w:jc w:val="both"/>
        <w:ind w:left="320" w:hanging="320"/>
        <w:spacing w:after="0" w:line="283" w:lineRule="auto"/>
        <w:tabs>
          <w:tab w:leader="none" w:pos="312" w:val="left"/>
        </w:tabs>
        <w:numPr>
          <w:ilvl w:val="0"/>
          <w:numId w:val="29"/>
        </w:numPr>
        <w:rPr>
          <w:rFonts w:ascii="Arial" w:cs="Arial" w:eastAsia="Arial" w:hAnsi="Arial"/>
          <w:sz w:val="20"/>
          <w:szCs w:val="20"/>
          <w:color w:val="auto"/>
        </w:rPr>
      </w:pPr>
      <w:r>
        <w:rPr>
          <w:rFonts w:ascii="Arial" w:cs="Arial" w:eastAsia="Arial" w:hAnsi="Arial"/>
          <w:sz w:val="20"/>
          <w:szCs w:val="20"/>
          <w:b w:val="1"/>
          <w:bCs w:val="1"/>
          <w:u w:val="single" w:color="auto"/>
          <w:color w:val="auto"/>
        </w:rPr>
        <w:t>Person</w:t>
      </w:r>
      <w:r>
        <w:rPr>
          <w:rFonts w:ascii="Arial" w:cs="Arial" w:eastAsia="Arial" w:hAnsi="Arial"/>
          <w:sz w:val="20"/>
          <w:szCs w:val="20"/>
          <w:color w:val="auto"/>
        </w:rPr>
        <w:t>. “Person” shall be construed in the broadest sense and means and includes any natural person, a</w:t>
      </w:r>
      <w:r>
        <w:rPr>
          <w:rFonts w:ascii="Arial" w:cs="Arial" w:eastAsia="Arial" w:hAnsi="Arial"/>
          <w:sz w:val="20"/>
          <w:szCs w:val="20"/>
          <w:b w:val="1"/>
          <w:bCs w:val="1"/>
          <w:color w:val="auto"/>
        </w:rPr>
        <w:t xml:space="preserve"> </w:t>
      </w:r>
      <w:r>
        <w:rPr>
          <w:rFonts w:ascii="Arial" w:cs="Arial" w:eastAsia="Arial" w:hAnsi="Arial"/>
          <w:sz w:val="20"/>
          <w:szCs w:val="20"/>
          <w:color w:val="auto"/>
        </w:rPr>
        <w:t>partnership, a corporation, an association, a joint stock company, a limited liability company, a trust, a joint venture, an unincorporated organization and other entity or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260"/>
          </w:cols>
          <w:pgMar w:left="1300" w:top="1440" w:right="339" w:bottom="1440" w:gutter="0" w:footer="0" w:header="0"/>
        </w:sectPr>
      </w:pPr>
    </w:p>
    <w:bookmarkStart w:id="59" w:name="page60"/>
    <w:bookmarkEnd w:id="59"/>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ind w:left="968" w:right="20" w:hanging="320"/>
        <w:spacing w:after="0" w:line="300" w:lineRule="auto"/>
        <w:tabs>
          <w:tab w:leader="none" w:pos="957" w:val="left"/>
        </w:tabs>
        <w:numPr>
          <w:ilvl w:val="1"/>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 “Section 409A” means Section 409A of the Code, and the final regulations and any guidance</w:t>
      </w:r>
      <w:r>
        <w:rPr>
          <w:rFonts w:ascii="Arial" w:cs="Arial" w:eastAsia="Arial" w:hAnsi="Arial"/>
          <w:sz w:val="20"/>
          <w:szCs w:val="20"/>
          <w:b w:val="1"/>
          <w:bCs w:val="1"/>
          <w:color w:val="auto"/>
        </w:rPr>
        <w:t xml:space="preserve"> </w:t>
      </w:r>
      <w:r>
        <w:rPr>
          <w:rFonts w:ascii="Arial" w:cs="Arial" w:eastAsia="Arial" w:hAnsi="Arial"/>
          <w:sz w:val="20"/>
          <w:szCs w:val="20"/>
          <w:color w:val="auto"/>
        </w:rPr>
        <w:t>promulgated thereunder or any state law equivalent.</w:t>
      </w:r>
    </w:p>
    <w:p>
      <w:pPr>
        <w:spacing w:after="0" w:line="127" w:lineRule="exact"/>
        <w:rPr>
          <w:rFonts w:ascii="Arial" w:cs="Arial" w:eastAsia="Arial" w:hAnsi="Arial"/>
          <w:sz w:val="20"/>
          <w:szCs w:val="20"/>
          <w:color w:val="auto"/>
        </w:rPr>
      </w:pPr>
    </w:p>
    <w:p>
      <w:pPr>
        <w:jc w:val="both"/>
        <w:ind w:left="968" w:hanging="320"/>
        <w:spacing w:after="0" w:line="274" w:lineRule="auto"/>
        <w:tabs>
          <w:tab w:leader="none" w:pos="957" w:val="left"/>
        </w:tabs>
        <w:numPr>
          <w:ilvl w:val="1"/>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Limit</w:t>
      </w:r>
      <w:r>
        <w:rPr>
          <w:rFonts w:ascii="Arial" w:cs="Arial" w:eastAsia="Arial" w:hAnsi="Arial"/>
          <w:sz w:val="20"/>
          <w:szCs w:val="20"/>
          <w:color w:val="auto"/>
        </w:rPr>
        <w:t>. “Section 409A Limit” shall mean two (2) times the lesser of: (i) Executive’s annualized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based upon 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separation from service occurred.</w:t>
      </w:r>
    </w:p>
    <w:p>
      <w:pPr>
        <w:spacing w:after="0" w:line="139" w:lineRule="exact"/>
        <w:rPr>
          <w:rFonts w:ascii="Arial" w:cs="Arial" w:eastAsia="Arial" w:hAnsi="Arial"/>
          <w:sz w:val="20"/>
          <w:szCs w:val="20"/>
          <w:color w:val="auto"/>
        </w:rPr>
      </w:pPr>
    </w:p>
    <w:p>
      <w:pPr>
        <w:ind w:left="308" w:hanging="308"/>
        <w:spacing w:after="0"/>
        <w:tabs>
          <w:tab w:leader="none" w:pos="308" w:val="left"/>
        </w:tabs>
        <w:numPr>
          <w:ilvl w:val="0"/>
          <w:numId w:val="31"/>
        </w:numPr>
        <w:rPr>
          <w:rFonts w:ascii="Arial" w:cs="Arial" w:eastAsia="Arial" w:hAnsi="Arial"/>
          <w:sz w:val="20"/>
          <w:szCs w:val="20"/>
          <w:color w:val="auto"/>
        </w:rPr>
      </w:pPr>
      <w:r>
        <w:rPr>
          <w:rFonts w:ascii="Arial" w:cs="Arial" w:eastAsia="Arial" w:hAnsi="Arial"/>
          <w:sz w:val="20"/>
          <w:szCs w:val="20"/>
          <w:b w:val="1"/>
          <w:bCs w:val="1"/>
          <w:u w:val="single" w:color="auto"/>
          <w:color w:val="auto"/>
        </w:rPr>
        <w:t>Golden Parachute</w:t>
      </w:r>
      <w:r>
        <w:rPr>
          <w:rFonts w:ascii="Arial" w:cs="Arial" w:eastAsia="Arial" w:hAnsi="Arial"/>
          <w:sz w:val="20"/>
          <w:szCs w:val="20"/>
          <w:color w:val="auto"/>
        </w:rPr>
        <w:t>.</w:t>
      </w:r>
    </w:p>
    <w:p>
      <w:pPr>
        <w:spacing w:after="0" w:line="226" w:lineRule="exact"/>
        <w:rPr>
          <w:rFonts w:ascii="Arial" w:cs="Arial" w:eastAsia="Arial" w:hAnsi="Arial"/>
          <w:sz w:val="20"/>
          <w:szCs w:val="20"/>
          <w:color w:val="auto"/>
        </w:rPr>
      </w:pPr>
    </w:p>
    <w:p>
      <w:pPr>
        <w:jc w:val="both"/>
        <w:ind w:left="968" w:hanging="320"/>
        <w:spacing w:after="0" w:line="267" w:lineRule="auto"/>
        <w:tabs>
          <w:tab w:leader="none" w:pos="956" w:val="left"/>
        </w:tabs>
        <w:numPr>
          <w:ilvl w:val="1"/>
          <w:numId w:val="31"/>
        </w:numPr>
        <w:rPr>
          <w:rFonts w:ascii="Arial" w:cs="Arial" w:eastAsia="Arial" w:hAnsi="Arial"/>
          <w:sz w:val="20"/>
          <w:szCs w:val="20"/>
          <w:color w:val="auto"/>
        </w:rPr>
      </w:pPr>
      <w:r>
        <w:rPr>
          <w:rFonts w:ascii="Arial" w:cs="Arial" w:eastAsia="Arial" w:hAnsi="Arial"/>
          <w:sz w:val="20"/>
          <w:szCs w:val="20"/>
          <w:color w:val="auto"/>
        </w:rPr>
        <w:t>Anything in this Agreement to the contrary notwithstanding, if any payment or benefit Executive would receive from the Company or otherwise (“</w:t>
      </w:r>
      <w:r>
        <w:rPr>
          <w:rFonts w:ascii="Arial" w:cs="Arial" w:eastAsia="Arial" w:hAnsi="Arial"/>
          <w:sz w:val="20"/>
          <w:szCs w:val="20"/>
          <w:b w:val="1"/>
          <w:bCs w:val="1"/>
          <w:i w:val="1"/>
          <w:iCs w:val="1"/>
          <w:color w:val="auto"/>
        </w:rPr>
        <w:t>Payment</w:t>
      </w:r>
      <w:r>
        <w:rPr>
          <w:rFonts w:ascii="Arial" w:cs="Arial" w:eastAsia="Arial" w:hAnsi="Arial"/>
          <w:sz w:val="20"/>
          <w:szCs w:val="20"/>
          <w:color w:val="auto"/>
        </w:rPr>
        <w:t>”) would (i) constitute a “parachute payment” within the meaning of</w:t>
      </w:r>
    </w:p>
    <w:p>
      <w:pPr>
        <w:spacing w:after="0" w:line="1" w:lineRule="exact"/>
        <w:rPr>
          <w:rFonts w:ascii="Arial" w:cs="Arial" w:eastAsia="Arial" w:hAnsi="Arial"/>
          <w:sz w:val="20"/>
          <w:szCs w:val="20"/>
          <w:color w:val="auto"/>
        </w:rPr>
      </w:pPr>
    </w:p>
    <w:p>
      <w:pPr>
        <w:jc w:val="both"/>
        <w:ind w:left="968"/>
        <w:spacing w:after="0" w:line="281" w:lineRule="auto"/>
        <w:rPr>
          <w:rFonts w:ascii="Arial" w:cs="Arial" w:eastAsia="Arial" w:hAnsi="Arial"/>
          <w:sz w:val="20"/>
          <w:szCs w:val="20"/>
          <w:color w:val="auto"/>
        </w:rPr>
      </w:pPr>
      <w:r>
        <w:rPr>
          <w:rFonts w:ascii="Arial" w:cs="Arial" w:eastAsia="Arial" w:hAnsi="Arial"/>
          <w:sz w:val="19"/>
          <w:szCs w:val="19"/>
          <w:color w:val="auto"/>
        </w:rPr>
        <w:t>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such Payment shall be equal to the Reduced Amount. The “</w:t>
      </w:r>
      <w:r>
        <w:rPr>
          <w:rFonts w:ascii="Arial" w:cs="Arial" w:eastAsia="Arial" w:hAnsi="Arial"/>
          <w:sz w:val="19"/>
          <w:szCs w:val="19"/>
          <w:b w:val="1"/>
          <w:bCs w:val="1"/>
          <w:i w:val="1"/>
          <w:iCs w:val="1"/>
          <w:color w:val="auto"/>
        </w:rPr>
        <w:t>Reduced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Amount</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be either (x) the largest portion of the Payment that would result in no portion of the Payment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9(a) shall be made in</w:t>
      </w:r>
    </w:p>
    <w:p>
      <w:pPr>
        <w:spacing w:after="0" w:line="4" w:lineRule="exact"/>
        <w:rPr>
          <w:rFonts w:ascii="Arial" w:cs="Arial" w:eastAsia="Arial" w:hAnsi="Arial"/>
          <w:sz w:val="20"/>
          <w:szCs w:val="20"/>
          <w:color w:val="auto"/>
        </w:rPr>
      </w:pPr>
    </w:p>
    <w:p>
      <w:pPr>
        <w:jc w:val="both"/>
        <w:ind w:left="968"/>
        <w:spacing w:after="0" w:line="281" w:lineRule="auto"/>
        <w:rPr>
          <w:rFonts w:ascii="Arial" w:cs="Arial" w:eastAsia="Arial" w:hAnsi="Arial"/>
          <w:sz w:val="20"/>
          <w:szCs w:val="20"/>
          <w:color w:val="auto"/>
        </w:rPr>
      </w:pPr>
      <w:r>
        <w:rPr>
          <w:rFonts w:ascii="Arial" w:cs="Arial" w:eastAsia="Arial" w:hAnsi="Arial"/>
          <w:sz w:val="19"/>
          <w:szCs w:val="19"/>
          <w:color w:val="auto"/>
        </w:rPr>
        <w:t>accordance with the following order of priority: (i) stock options whose exercise price exceeds the fair market value of the optioned stock (“</w:t>
      </w:r>
      <w:r>
        <w:rPr>
          <w:rFonts w:ascii="Arial" w:cs="Arial" w:eastAsia="Arial" w:hAnsi="Arial"/>
          <w:sz w:val="19"/>
          <w:szCs w:val="19"/>
          <w:b w:val="1"/>
          <w:bCs w:val="1"/>
          <w:i w:val="1"/>
          <w:iCs w:val="1"/>
          <w:color w:val="auto"/>
        </w:rPr>
        <w:t>Underwater Options</w:t>
      </w:r>
      <w:r>
        <w:rPr>
          <w:rFonts w:ascii="Arial" w:cs="Arial" w:eastAsia="Arial" w:hAnsi="Arial"/>
          <w:sz w:val="19"/>
          <w:szCs w:val="19"/>
          <w:color w:val="auto"/>
        </w:rPr>
        <w:t>”) (ii) Full Credit Payments (as defined below) that are payable in cash, (iii) non-cash Full Credit Payments that are taxable, (iv) non-cash Full Credit Payments that are not taxable (v) Partial Credit Payments (as defined below) and (vi) non-cash employee welfare benefits. In each case, reductions shall be made in reverse chronological order such that the payment or benefit owed on the latest</w:t>
      </w:r>
    </w:p>
    <w:p>
      <w:pPr>
        <w:spacing w:after="0" w:line="3" w:lineRule="exact"/>
        <w:rPr>
          <w:rFonts w:ascii="Arial" w:cs="Arial" w:eastAsia="Arial" w:hAnsi="Arial"/>
          <w:sz w:val="20"/>
          <w:szCs w:val="20"/>
          <w:color w:val="auto"/>
        </w:rPr>
      </w:pPr>
    </w:p>
    <w:p>
      <w:pPr>
        <w:jc w:val="both"/>
        <w:ind w:left="968"/>
        <w:spacing w:after="0" w:line="281" w:lineRule="auto"/>
        <w:rPr>
          <w:rFonts w:ascii="Arial" w:cs="Arial" w:eastAsia="Arial" w:hAnsi="Arial"/>
          <w:sz w:val="20"/>
          <w:szCs w:val="20"/>
          <w:color w:val="auto"/>
        </w:rPr>
      </w:pPr>
      <w:r>
        <w:rPr>
          <w:rFonts w:ascii="Arial" w:cs="Arial" w:eastAsia="Arial" w:hAnsi="Arial"/>
          <w:sz w:val="19"/>
          <w:szCs w:val="19"/>
          <w:color w:val="auto"/>
        </w:rPr>
        <w:t>date following the occurrence of the event triggering the excise tax will be the first payment or benefit to be reduced (with reductions made pro-rata in the event payments or benefits are owed at the same time). “</w:t>
      </w:r>
      <w:r>
        <w:rPr>
          <w:rFonts w:ascii="Arial" w:cs="Arial" w:eastAsia="Arial" w:hAnsi="Arial"/>
          <w:sz w:val="19"/>
          <w:szCs w:val="19"/>
          <w:b w:val="1"/>
          <w:bCs w:val="1"/>
          <w:i w:val="1"/>
          <w:iCs w:val="1"/>
          <w:color w:val="auto"/>
        </w:rPr>
        <w:t>Full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Credit Payment</w:t>
      </w:r>
      <w:r>
        <w:rPr>
          <w:rFonts w:ascii="Arial" w:cs="Arial" w:eastAsia="Arial" w:hAnsi="Arial"/>
          <w:sz w:val="19"/>
          <w:szCs w:val="19"/>
          <w:color w:val="auto"/>
        </w:rPr>
        <w:t>” means a payment, distribution or benefit, whether paid or payable or distributed or distributable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pursuant to the terms of this Agreement or otherwise, that if reduced in value by one dollar reduces the amount of</w:t>
      </w:r>
    </w:p>
    <w:p>
      <w:pPr>
        <w:spacing w:after="0" w:line="2" w:lineRule="exact"/>
        <w:rPr>
          <w:rFonts w:ascii="Arial" w:cs="Arial" w:eastAsia="Arial" w:hAnsi="Arial"/>
          <w:sz w:val="20"/>
          <w:szCs w:val="20"/>
          <w:color w:val="auto"/>
        </w:rPr>
      </w:pPr>
    </w:p>
    <w:p>
      <w:pPr>
        <w:jc w:val="both"/>
        <w:ind w:left="968"/>
        <w:spacing w:after="0" w:line="271" w:lineRule="auto"/>
        <w:rPr>
          <w:rFonts w:ascii="Arial" w:cs="Arial" w:eastAsia="Arial" w:hAnsi="Arial"/>
          <w:sz w:val="20"/>
          <w:szCs w:val="20"/>
          <w:color w:val="auto"/>
        </w:rPr>
      </w:pPr>
      <w:r>
        <w:rPr>
          <w:rFonts w:ascii="Arial" w:cs="Arial" w:eastAsia="Arial" w:hAnsi="Arial"/>
          <w:sz w:val="20"/>
          <w:szCs w:val="20"/>
          <w:color w:val="auto"/>
        </w:rPr>
        <w:t>the parachute payment (as defined in Section 280G of the Code) by one dollar, determined as if such payment, distribution or benefit had been paid or distributed on the date of the event triggering the excise tax. “</w:t>
      </w:r>
      <w:r>
        <w:rPr>
          <w:rFonts w:ascii="Arial" w:cs="Arial" w:eastAsia="Arial" w:hAnsi="Arial"/>
          <w:sz w:val="20"/>
          <w:szCs w:val="20"/>
          <w:b w:val="1"/>
          <w:bCs w:val="1"/>
          <w:i w:val="1"/>
          <w:iCs w:val="1"/>
          <w:color w:val="auto"/>
        </w:rPr>
        <w:t>Partial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Credit Payment</w:t>
      </w:r>
      <w:r>
        <w:rPr>
          <w:rFonts w:ascii="Arial" w:cs="Arial" w:eastAsia="Arial" w:hAnsi="Arial"/>
          <w:sz w:val="20"/>
          <w:szCs w:val="20"/>
          <w:color w:val="auto"/>
        </w:rPr>
        <w:t>” means any payment, distribution or benefit that is not a Full Credit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908"/>
          </w:cols>
          <w:pgMar w:left="652" w:top="1440" w:right="339" w:bottom="1440" w:gutter="0" w:footer="0" w:header="0"/>
        </w:sectPr>
      </w:pPr>
    </w:p>
    <w:bookmarkStart w:id="60" w:name="page61"/>
    <w:bookmarkEnd w:id="60"/>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jc w:val="both"/>
        <w:ind w:left="968" w:hanging="320"/>
        <w:spacing w:after="0" w:line="297" w:lineRule="auto"/>
        <w:tabs>
          <w:tab w:leader="none" w:pos="957" w:val="left"/>
        </w:tabs>
        <w:numPr>
          <w:ilvl w:val="1"/>
          <w:numId w:val="32"/>
        </w:numPr>
        <w:rPr>
          <w:rFonts w:ascii="Arial" w:cs="Arial" w:eastAsia="Arial" w:hAnsi="Arial"/>
          <w:sz w:val="19"/>
          <w:szCs w:val="19"/>
          <w:color w:val="auto"/>
        </w:rPr>
      </w:pPr>
      <w:r>
        <w:rPr>
          <w:rFonts w:ascii="Arial" w:cs="Arial" w:eastAsia="Arial" w:hAnsi="Arial"/>
          <w:sz w:val="19"/>
          <w:szCs w:val="19"/>
          <w:color w:val="auto"/>
        </w:rPr>
        <w:t>A nationally recognized certified public accounting firm selected by the Company (the “</w:t>
      </w:r>
      <w:r>
        <w:rPr>
          <w:rFonts w:ascii="Arial" w:cs="Arial" w:eastAsia="Arial" w:hAnsi="Arial"/>
          <w:sz w:val="19"/>
          <w:szCs w:val="19"/>
          <w:b w:val="1"/>
          <w:bCs w:val="1"/>
          <w:i w:val="1"/>
          <w:iCs w:val="1"/>
          <w:color w:val="auto"/>
        </w:rPr>
        <w:t>Accounting Firm</w:t>
      </w:r>
      <w:r>
        <w:rPr>
          <w:rFonts w:ascii="Arial" w:cs="Arial" w:eastAsia="Arial" w:hAnsi="Arial"/>
          <w:sz w:val="19"/>
          <w:szCs w:val="19"/>
          <w:color w:val="auto"/>
        </w:rPr>
        <w:t>”) shall perform the foregoing calculations related to the Excise Tax. If a reduction is required pursuant to Section 9(a), the Accounting Firm shall administer the ordering of the reduction as set forth in Section 9(a). The Company shall bear all expenses with respect to the determinations by such accounting firm required to be made hereunder.</w:t>
      </w:r>
    </w:p>
    <w:p>
      <w:pPr>
        <w:spacing w:after="0" w:line="157" w:lineRule="exact"/>
        <w:rPr>
          <w:rFonts w:ascii="Arial" w:cs="Arial" w:eastAsia="Arial" w:hAnsi="Arial"/>
          <w:sz w:val="19"/>
          <w:szCs w:val="19"/>
          <w:color w:val="auto"/>
        </w:rPr>
      </w:pPr>
    </w:p>
    <w:p>
      <w:pPr>
        <w:jc w:val="both"/>
        <w:ind w:left="968" w:hanging="320"/>
        <w:spacing w:after="0" w:line="270" w:lineRule="auto"/>
        <w:tabs>
          <w:tab w:leader="none" w:pos="957"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Accounting Firm engaged to make the determinations hereunder shall provide its calculations, together with detailed supporting documentation, to Executive and the Company within fifteen (15) calendar days after the date on which Executive’s right to a Payment is triggered. Any good faith determinations of the Accounting Firm made hereunder shall be final, binding, and conclusive upon Executive and the Company.</w:t>
      </w:r>
    </w:p>
    <w:p>
      <w:pPr>
        <w:spacing w:after="0" w:line="142" w:lineRule="exact"/>
        <w:rPr>
          <w:rFonts w:ascii="Arial" w:cs="Arial" w:eastAsia="Arial" w:hAnsi="Arial"/>
          <w:sz w:val="20"/>
          <w:szCs w:val="20"/>
          <w:color w:val="auto"/>
        </w:rPr>
      </w:pPr>
    </w:p>
    <w:p>
      <w:pPr>
        <w:jc w:val="both"/>
        <w:ind w:left="328" w:hanging="328"/>
        <w:spacing w:after="0" w:line="283" w:lineRule="auto"/>
        <w:tabs>
          <w:tab w:leader="none" w:pos="319" w:val="left"/>
        </w:tabs>
        <w:numPr>
          <w:ilvl w:val="0"/>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Arbitration</w:t>
      </w:r>
      <w:r>
        <w:rPr>
          <w:rFonts w:ascii="Arial" w:cs="Arial" w:eastAsia="Arial" w:hAnsi="Arial"/>
          <w:sz w:val="19"/>
          <w:szCs w:val="19"/>
          <w:color w:val="auto"/>
        </w:rPr>
        <w:t>. To the fullest extent permitted by applicable law, Executive and the Company agree that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disputes, demands, claims, or controversies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relating to, arising from or regarding Executive’s employment, including claims by the Company, claims against the Company, and claims against any current or former parent, affiliate, subsidiary, successor or predecessor of the Company, and each of the Company’s and these entities’ respective officers, directors, agents or employees, shall be resolved by final and binding arbitration before a single arbitrator in the State of Florida (or another mutually agreeable location). This does not prevent either Executive or the Company from seeking and obtaining temporary or preliminary injunctive relief in court to prevent irreparable harm to Executive’s or its confidential information or trade secrets pending the conclusion of any arbitration. This arbitration agreement does not apply to any claims that have been expressly excluded from arbitration by a governing law not preempted by the Federal Arbitration Act and does not restrict or preclude Executive from communicating with, filing an administrative charge or claim with, or providing testimony to any governmental entity about any actual or potential violation of law or obtaining relief through a government agency process. The parties hereto agree that claims shall be resolved on an individual</w:t>
      </w:r>
    </w:p>
    <w:p>
      <w:pPr>
        <w:spacing w:after="0" w:line="10" w:lineRule="exact"/>
        <w:rPr>
          <w:rFonts w:ascii="Arial" w:cs="Arial" w:eastAsia="Arial" w:hAnsi="Arial"/>
          <w:sz w:val="19"/>
          <w:szCs w:val="19"/>
          <w:color w:val="auto"/>
        </w:rPr>
      </w:pPr>
    </w:p>
    <w:p>
      <w:pPr>
        <w:jc w:val="both"/>
        <w:ind w:left="328"/>
        <w:spacing w:after="0" w:line="270" w:lineRule="auto"/>
        <w:rPr>
          <w:rFonts w:ascii="Arial" w:cs="Arial" w:eastAsia="Arial" w:hAnsi="Arial"/>
          <w:sz w:val="19"/>
          <w:szCs w:val="19"/>
          <w:color w:val="auto"/>
        </w:rPr>
      </w:pPr>
      <w:r>
        <w:rPr>
          <w:rFonts w:ascii="Arial" w:cs="Arial" w:eastAsia="Arial" w:hAnsi="Arial"/>
          <w:sz w:val="20"/>
          <w:szCs w:val="20"/>
          <w:color w:val="auto"/>
        </w:rPr>
        <w:t>basis only, and not on a class, collective, or representative basis on behalf of other employees to the fullest extent permitted by applicable law (“</w:t>
      </w:r>
      <w:r>
        <w:rPr>
          <w:rFonts w:ascii="Arial" w:cs="Arial" w:eastAsia="Arial" w:hAnsi="Arial"/>
          <w:sz w:val="20"/>
          <w:szCs w:val="20"/>
          <w:b w:val="1"/>
          <w:bCs w:val="1"/>
          <w:i w:val="1"/>
          <w:iCs w:val="1"/>
          <w:color w:val="auto"/>
        </w:rPr>
        <w:t>Class Waiver</w:t>
      </w:r>
      <w:r>
        <w:rPr>
          <w:rFonts w:ascii="Arial" w:cs="Arial" w:eastAsia="Arial" w:hAnsi="Arial"/>
          <w:sz w:val="20"/>
          <w:szCs w:val="20"/>
          <w:color w:val="auto"/>
        </w:rPr>
        <w:t>”). Any claim that all or part of the Class Waiver is invalid, unenforceable, or unconscionable may be determined only by a court. In no case may class, collective or representative claims proceed in arbitration on behalf of other employees.</w:t>
      </w:r>
    </w:p>
    <w:p>
      <w:pPr>
        <w:spacing w:after="0" w:line="207" w:lineRule="exact"/>
        <w:rPr>
          <w:rFonts w:ascii="Arial" w:cs="Arial" w:eastAsia="Arial" w:hAnsi="Arial"/>
          <w:sz w:val="19"/>
          <w:szCs w:val="19"/>
          <w:color w:val="auto"/>
        </w:rPr>
      </w:pPr>
    </w:p>
    <w:p>
      <w:pPr>
        <w:jc w:val="both"/>
        <w:ind w:left="328"/>
        <w:spacing w:after="0" w:line="269" w:lineRule="auto"/>
        <w:rPr>
          <w:rFonts w:ascii="Arial" w:cs="Arial" w:eastAsia="Arial" w:hAnsi="Arial"/>
          <w:sz w:val="19"/>
          <w:szCs w:val="19"/>
          <w:color w:val="auto"/>
        </w:rPr>
      </w:pPr>
      <w:r>
        <w:rPr>
          <w:rFonts w:ascii="Arial" w:cs="Arial" w:eastAsia="Arial" w:hAnsi="Arial"/>
          <w:sz w:val="20"/>
          <w:szCs w:val="20"/>
          <w:color w:val="auto"/>
        </w:rPr>
        <w:t>The parties agree that the arbitration shall be conducted by a single neutral arbitrator through JAMS in accordance with JAMS Employment Arbitration Rules and Procedures (available at www.jamsadr.com/rules-employment-arbitration). Except as to the Class Waiver, the arbitrator shall determine arbitrability. The Company will bear all JAMS arbitration fees and administrative costs in excess of the amount of administrative fees and costs that Executive otherwise would have been required to pay if the claims were litigated in court. The arbitrator shall apply the applicable substantive law in deciding the claims at issue. Claims will be governed by their applicable statute of limitations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908"/>
          </w:cols>
          <w:pgMar w:left="652" w:top="1440" w:right="339" w:bottom="1440" w:gutter="0" w:footer="0" w:header="0"/>
        </w:sectPr>
      </w:pPr>
    </w:p>
    <w:bookmarkStart w:id="61" w:name="page62"/>
    <w:bookmarkEnd w:id="61"/>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jc w:val="both"/>
        <w:ind w:left="328"/>
        <w:spacing w:after="0" w:line="268" w:lineRule="auto"/>
        <w:rPr>
          <w:sz w:val="20"/>
          <w:szCs w:val="20"/>
          <w:color w:val="auto"/>
        </w:rPr>
      </w:pPr>
      <w:r>
        <w:rPr>
          <w:rFonts w:ascii="Arial" w:cs="Arial" w:eastAsia="Arial" w:hAnsi="Arial"/>
          <w:sz w:val="20"/>
          <w:szCs w:val="20"/>
          <w:color w:val="auto"/>
        </w:rPr>
        <w:t>failure to demand arbitration within the prescribed time period shall bar the claims as provided by law. The decision or award of the arbitrator shall be final and binding upon the parties. This arbitration agreement is enforceable under and governed by the Federal Arbitration Act. In the event that any portion of this arbitration agreement is held to be invalid or unenforceable, any such provision shall be severed, and the remainder of this arbitration agreement will be given full force and effect. By signing the offer letter, Executive acknowledges and agrees that Executive has read this arbitration agreement carefully, are bound by it and are WAIVING ANY RIGHT TO HAVE A TRIAL BEFORE A COURT OR JURY OF ANY AND ALL CLAIMS SUBJECT TO ARBITRATION UNDER THIS ARBITRATION AGREEMENT.</w:t>
      </w:r>
    </w:p>
    <w:p>
      <w:pPr>
        <w:spacing w:after="0" w:line="190" w:lineRule="exact"/>
        <w:rPr>
          <w:sz w:val="20"/>
          <w:szCs w:val="20"/>
          <w:color w:val="auto"/>
        </w:rPr>
      </w:pPr>
    </w:p>
    <w:p>
      <w:pPr>
        <w:ind w:left="308" w:hanging="308"/>
        <w:spacing w:after="0"/>
        <w:tabs>
          <w:tab w:leader="none" w:pos="308"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Pre-Employment Conditions</w:t>
      </w:r>
      <w:r>
        <w:rPr>
          <w:rFonts w:ascii="Arial" w:cs="Arial" w:eastAsia="Arial" w:hAnsi="Arial"/>
          <w:sz w:val="20"/>
          <w:szCs w:val="20"/>
          <w:b w:val="1"/>
          <w:bCs w:val="1"/>
          <w:color w:val="auto"/>
        </w:rPr>
        <w:t>.</w:t>
      </w:r>
    </w:p>
    <w:p>
      <w:pPr>
        <w:spacing w:after="0" w:line="242" w:lineRule="exact"/>
        <w:rPr>
          <w:rFonts w:ascii="Arial" w:cs="Arial" w:eastAsia="Arial" w:hAnsi="Arial"/>
          <w:sz w:val="20"/>
          <w:szCs w:val="20"/>
          <w:color w:val="auto"/>
        </w:rPr>
      </w:pPr>
    </w:p>
    <w:p>
      <w:pPr>
        <w:jc w:val="both"/>
        <w:ind w:left="968" w:hanging="320"/>
        <w:spacing w:after="0" w:line="294" w:lineRule="auto"/>
        <w:tabs>
          <w:tab w:leader="none" w:pos="957" w:val="left"/>
        </w:tabs>
        <w:numPr>
          <w:ilvl w:val="1"/>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Confidentiality Agreement</w:t>
      </w:r>
      <w:r>
        <w:rPr>
          <w:rFonts w:ascii="Arial" w:cs="Arial" w:eastAsia="Arial" w:hAnsi="Arial"/>
          <w:sz w:val="19"/>
          <w:szCs w:val="19"/>
          <w:color w:val="auto"/>
        </w:rPr>
        <w:t>. Executive’s acceptance of this offer and Executive’s Employment with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is contingent upon the execution, and delivery to an officer of the Company, of the Company’s Employee</w:t>
      </w:r>
    </w:p>
    <w:p>
      <w:pPr>
        <w:spacing w:after="0" w:line="1" w:lineRule="exact"/>
        <w:rPr>
          <w:rFonts w:ascii="Arial" w:cs="Arial" w:eastAsia="Arial" w:hAnsi="Arial"/>
          <w:sz w:val="19"/>
          <w:szCs w:val="19"/>
          <w:color w:val="auto"/>
        </w:rPr>
      </w:pPr>
    </w:p>
    <w:p>
      <w:pPr>
        <w:jc w:val="both"/>
        <w:ind w:left="968"/>
        <w:spacing w:after="0" w:line="271" w:lineRule="auto"/>
        <w:rPr>
          <w:rFonts w:ascii="Arial" w:cs="Arial" w:eastAsia="Arial" w:hAnsi="Arial"/>
          <w:sz w:val="19"/>
          <w:szCs w:val="19"/>
          <w:color w:val="auto"/>
        </w:rPr>
      </w:pPr>
      <w:r>
        <w:rPr>
          <w:rFonts w:ascii="Arial" w:cs="Arial" w:eastAsia="Arial" w:hAnsi="Arial"/>
          <w:sz w:val="20"/>
          <w:szCs w:val="20"/>
          <w:color w:val="auto"/>
        </w:rPr>
        <w:t xml:space="preserve">Nondisclosure, Non-Solicitation, Confidentiality and Developments Agreement, a copy of which is attached hereto as </w:t>
      </w:r>
      <w:r>
        <w:rPr>
          <w:rFonts w:ascii="Arial" w:cs="Arial" w:eastAsia="Arial" w:hAnsi="Arial"/>
          <w:sz w:val="20"/>
          <w:szCs w:val="20"/>
          <w:u w:val="single" w:color="auto"/>
          <w:color w:val="auto"/>
        </w:rPr>
        <w:t>Attachment [B]</w:t>
      </w:r>
      <w:r>
        <w:rPr>
          <w:rFonts w:ascii="Arial" w:cs="Arial" w:eastAsia="Arial" w:hAnsi="Arial"/>
          <w:sz w:val="20"/>
          <w:szCs w:val="20"/>
          <w:color w:val="auto"/>
        </w:rPr>
        <w:t xml:space="preserve"> for Executive’s review and execution (the “</w:t>
      </w:r>
      <w:r>
        <w:rPr>
          <w:rFonts w:ascii="Arial" w:cs="Arial" w:eastAsia="Arial" w:hAnsi="Arial"/>
          <w:sz w:val="20"/>
          <w:szCs w:val="20"/>
          <w:b w:val="1"/>
          <w:bCs w:val="1"/>
          <w:i w:val="1"/>
          <w:iCs w:val="1"/>
          <w:color w:val="auto"/>
        </w:rPr>
        <w:t>Confidentiality Agreement</w:t>
      </w:r>
      <w:r>
        <w:rPr>
          <w:rFonts w:ascii="Arial" w:cs="Arial" w:eastAsia="Arial" w:hAnsi="Arial"/>
          <w:sz w:val="20"/>
          <w:szCs w:val="20"/>
          <w:color w:val="auto"/>
        </w:rPr>
        <w:t>”), prior to or on the Effective Date.</w:t>
      </w:r>
    </w:p>
    <w:p>
      <w:pPr>
        <w:spacing w:after="0" w:line="155" w:lineRule="exact"/>
        <w:rPr>
          <w:rFonts w:ascii="Arial" w:cs="Arial" w:eastAsia="Arial" w:hAnsi="Arial"/>
          <w:sz w:val="19"/>
          <w:szCs w:val="19"/>
          <w:color w:val="auto"/>
        </w:rPr>
      </w:pPr>
    </w:p>
    <w:p>
      <w:pPr>
        <w:jc w:val="both"/>
        <w:ind w:left="968" w:hanging="320"/>
        <w:spacing w:after="0" w:line="278" w:lineRule="auto"/>
        <w:tabs>
          <w:tab w:leader="none" w:pos="960" w:val="left"/>
        </w:tabs>
        <w:numPr>
          <w:ilvl w:val="1"/>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 to Work</w:t>
      </w:r>
      <w:r>
        <w:rPr>
          <w:rFonts w:ascii="Arial" w:cs="Arial" w:eastAsia="Arial" w:hAnsi="Arial"/>
          <w:sz w:val="20"/>
          <w:szCs w:val="20"/>
          <w:color w:val="auto"/>
        </w:rPr>
        <w:t>. For purposes of federal immigration law, Executive will be required, if Executive has not already,</w:t>
      </w:r>
      <w:r>
        <w:rPr>
          <w:rFonts w:ascii="Arial" w:cs="Arial" w:eastAsia="Arial" w:hAnsi="Arial"/>
          <w:sz w:val="20"/>
          <w:szCs w:val="20"/>
          <w:b w:val="1"/>
          <w:bCs w:val="1"/>
          <w:color w:val="auto"/>
        </w:rPr>
        <w:t xml:space="preserve"> </w:t>
      </w:r>
      <w:r>
        <w:rPr>
          <w:rFonts w:ascii="Arial" w:cs="Arial" w:eastAsia="Arial" w:hAnsi="Arial"/>
          <w:sz w:val="20"/>
          <w:szCs w:val="20"/>
          <w:color w:val="auto"/>
        </w:rPr>
        <w:t>to provide to the Company documentary evidence of Executive’s identity and eligibility for employment in the United States. Such documentation must be provided to the Company within three (3) business days of the Effective Date, or the Employment relationship with Executive may be terminated.</w:t>
      </w:r>
    </w:p>
    <w:p>
      <w:pPr>
        <w:spacing w:after="0" w:line="135" w:lineRule="exact"/>
        <w:rPr>
          <w:rFonts w:ascii="Arial" w:cs="Arial" w:eastAsia="Arial" w:hAnsi="Arial"/>
          <w:sz w:val="20"/>
          <w:szCs w:val="20"/>
          <w:color w:val="auto"/>
        </w:rPr>
      </w:pPr>
    </w:p>
    <w:p>
      <w:pPr>
        <w:jc w:val="both"/>
        <w:ind w:left="968" w:hanging="320"/>
        <w:spacing w:after="0" w:line="275" w:lineRule="auto"/>
        <w:tabs>
          <w:tab w:leader="none" w:pos="957" w:val="left"/>
        </w:tabs>
        <w:numPr>
          <w:ilvl w:val="1"/>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Verification of Information</w:t>
      </w:r>
      <w:r>
        <w:rPr>
          <w:rFonts w:ascii="Arial" w:cs="Arial" w:eastAsia="Arial" w:hAnsi="Arial"/>
          <w:sz w:val="20"/>
          <w:szCs w:val="20"/>
          <w:color w:val="auto"/>
        </w:rPr>
        <w:t>. Executive’s application process, as well as a general background check performed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Company to confirm Executive’s suitability for Employment has been completed to the Company’s satisfaction. By accepting this Agreement, Executive warrants that all information provided by Executive during the application process is true and correct to the best of Executive’s knowledge, Executive agrees to execute any and all documentation necessary for the Company to conduct a background check.</w:t>
      </w:r>
    </w:p>
    <w:p>
      <w:pPr>
        <w:spacing w:after="0" w:line="140" w:lineRule="exact"/>
        <w:rPr>
          <w:rFonts w:ascii="Arial" w:cs="Arial" w:eastAsia="Arial" w:hAnsi="Arial"/>
          <w:sz w:val="20"/>
          <w:szCs w:val="20"/>
          <w:color w:val="auto"/>
        </w:rPr>
      </w:pPr>
    </w:p>
    <w:p>
      <w:pPr>
        <w:ind w:left="308" w:hanging="308"/>
        <w:spacing w:after="0"/>
        <w:tabs>
          <w:tab w:leader="none" w:pos="308"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Successors</w:t>
      </w:r>
      <w:r>
        <w:rPr>
          <w:rFonts w:ascii="Arial" w:cs="Arial" w:eastAsia="Arial" w:hAnsi="Arial"/>
          <w:sz w:val="20"/>
          <w:szCs w:val="20"/>
          <w:b w:val="1"/>
          <w:bCs w:val="1"/>
          <w:color w:val="auto"/>
        </w:rPr>
        <w:t>.</w:t>
      </w:r>
    </w:p>
    <w:p>
      <w:pPr>
        <w:spacing w:after="0" w:line="215" w:lineRule="exact"/>
        <w:rPr>
          <w:rFonts w:ascii="Arial" w:cs="Arial" w:eastAsia="Arial" w:hAnsi="Arial"/>
          <w:sz w:val="20"/>
          <w:szCs w:val="20"/>
          <w:color w:val="auto"/>
        </w:rPr>
      </w:pPr>
    </w:p>
    <w:p>
      <w:pPr>
        <w:ind w:left="968" w:hanging="320"/>
        <w:spacing w:after="0"/>
        <w:tabs>
          <w:tab w:leader="none" w:pos="968" w:val="left"/>
        </w:tabs>
        <w:numPr>
          <w:ilvl w:val="1"/>
          <w:numId w:val="35"/>
        </w:numPr>
        <w:rPr>
          <w:rFonts w:ascii="Arial" w:cs="Arial" w:eastAsia="Arial" w:hAnsi="Arial"/>
          <w:sz w:val="20"/>
          <w:szCs w:val="20"/>
          <w:color w:val="auto"/>
        </w:rPr>
      </w:pPr>
      <w:r>
        <w:rPr>
          <w:rFonts w:ascii="Arial" w:cs="Arial" w:eastAsia="Arial" w:hAnsi="Arial"/>
          <w:sz w:val="20"/>
          <w:szCs w:val="20"/>
          <w:b w:val="1"/>
          <w:bCs w:val="1"/>
          <w:u w:val="single" w:color="auto"/>
          <w:color w:val="auto"/>
        </w:rPr>
        <w:t>Company’s 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binding upon any successor (whether direct or indirect and</w:t>
      </w:r>
    </w:p>
    <w:p>
      <w:pPr>
        <w:spacing w:after="0" w:line="50" w:lineRule="exact"/>
        <w:rPr>
          <w:rFonts w:ascii="Arial" w:cs="Arial" w:eastAsia="Arial" w:hAnsi="Arial"/>
          <w:sz w:val="20"/>
          <w:szCs w:val="20"/>
          <w:color w:val="auto"/>
        </w:rPr>
      </w:pPr>
    </w:p>
    <w:p>
      <w:pPr>
        <w:jc w:val="both"/>
        <w:ind w:left="968"/>
        <w:spacing w:after="0" w:line="270" w:lineRule="auto"/>
        <w:rPr>
          <w:rFonts w:ascii="Arial" w:cs="Arial" w:eastAsia="Arial" w:hAnsi="Arial"/>
          <w:sz w:val="20"/>
          <w:szCs w:val="20"/>
          <w:color w:val="auto"/>
        </w:rPr>
      </w:pPr>
      <w:r>
        <w:rPr>
          <w:rFonts w:ascii="Arial" w:cs="Arial" w:eastAsia="Arial" w:hAnsi="Arial"/>
          <w:sz w:val="20"/>
          <w:szCs w:val="20"/>
          <w:color w:val="auto"/>
        </w:rPr>
        <w:t>whether by purchase, lease, merger, consolidation, liquidation or otherwise) to all or substantially all of the Company’s business and/or assets. For all purposes under this Agreement, the term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shall include any successor to the Company’s business or assets that become bound by this Agreement or any affiliate of any such successor that employs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908"/>
          </w:cols>
          <w:pgMar w:left="652" w:top="1440" w:right="339" w:bottom="1440" w:gutter="0" w:footer="0" w:header="0"/>
        </w:sectPr>
      </w:pPr>
    </w:p>
    <w:bookmarkStart w:id="62" w:name="page63"/>
    <w:bookmarkEnd w:id="62"/>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jc w:val="both"/>
        <w:ind w:left="968" w:hanging="320"/>
        <w:spacing w:after="0" w:line="283" w:lineRule="auto"/>
        <w:tabs>
          <w:tab w:leader="none" w:pos="959" w:val="left"/>
        </w:tabs>
        <w:numPr>
          <w:ilvl w:val="1"/>
          <w:numId w:val="36"/>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Executive’s 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all of Executive’s rights hereunder shall inure to the benefit of,</w:t>
      </w:r>
      <w:r>
        <w:rPr>
          <w:rFonts w:ascii="Arial" w:cs="Arial" w:eastAsia="Arial" w:hAnsi="Arial"/>
          <w:sz w:val="20"/>
          <w:szCs w:val="20"/>
          <w:b w:val="1"/>
          <w:bCs w:val="1"/>
          <w:color w:val="auto"/>
        </w:rPr>
        <w:t xml:space="preserve"> </w:t>
      </w:r>
      <w:r>
        <w:rPr>
          <w:rFonts w:ascii="Arial" w:cs="Arial" w:eastAsia="Arial" w:hAnsi="Arial"/>
          <w:sz w:val="20"/>
          <w:szCs w:val="20"/>
          <w:color w:val="auto"/>
        </w:rPr>
        <w:t>and be enforceable by, Executive’s personal or legal representatives, executors, administrators, successors, heirs, distributees, devisees and legatees.</w:t>
      </w:r>
    </w:p>
    <w:p>
      <w:pPr>
        <w:spacing w:after="0" w:line="144" w:lineRule="exact"/>
        <w:rPr>
          <w:rFonts w:ascii="Arial" w:cs="Arial" w:eastAsia="Arial" w:hAnsi="Arial"/>
          <w:sz w:val="20"/>
          <w:szCs w:val="20"/>
          <w:color w:val="auto"/>
        </w:rPr>
      </w:pPr>
    </w:p>
    <w:p>
      <w:pPr>
        <w:ind w:left="308" w:hanging="308"/>
        <w:spacing w:after="0"/>
        <w:tabs>
          <w:tab w:leader="none" w:pos="308" w:val="left"/>
        </w:tabs>
        <w:numPr>
          <w:ilvl w:val="0"/>
          <w:numId w:val="37"/>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 Provisions</w:t>
      </w:r>
      <w:r>
        <w:rPr>
          <w:rFonts w:ascii="Arial" w:cs="Arial" w:eastAsia="Arial" w:hAnsi="Arial"/>
          <w:sz w:val="20"/>
          <w:szCs w:val="20"/>
          <w:b w:val="1"/>
          <w:bCs w:val="1"/>
          <w:color w:val="auto"/>
        </w:rPr>
        <w:t>.</w:t>
      </w:r>
    </w:p>
    <w:p>
      <w:pPr>
        <w:spacing w:after="0" w:line="202" w:lineRule="exact"/>
        <w:rPr>
          <w:rFonts w:ascii="Arial" w:cs="Arial" w:eastAsia="Arial" w:hAnsi="Arial"/>
          <w:sz w:val="20"/>
          <w:szCs w:val="20"/>
          <w:color w:val="auto"/>
        </w:rPr>
      </w:pPr>
    </w:p>
    <w:p>
      <w:pPr>
        <w:jc w:val="both"/>
        <w:ind w:left="968" w:hanging="320"/>
        <w:spacing w:after="0" w:line="278" w:lineRule="auto"/>
        <w:tabs>
          <w:tab w:leader="none" w:pos="956" w:val="left"/>
        </w:tabs>
        <w:numPr>
          <w:ilvl w:val="1"/>
          <w:numId w:val="37"/>
        </w:numPr>
        <w:rPr>
          <w:rFonts w:ascii="Arial" w:cs="Arial" w:eastAsia="Arial" w:hAnsi="Arial"/>
          <w:sz w:val="20"/>
          <w:szCs w:val="20"/>
          <w:color w:val="auto"/>
        </w:rPr>
      </w:pPr>
      <w:r>
        <w:rPr>
          <w:rFonts w:ascii="Arial" w:cs="Arial" w:eastAsia="Arial" w:hAnsi="Arial"/>
          <w:sz w:val="20"/>
          <w:szCs w:val="20"/>
          <w:b w:val="1"/>
          <w:bCs w:val="1"/>
          <w:u w:val="single" w:color="auto"/>
          <w:color w:val="auto"/>
        </w:rPr>
        <w:t>Indemnification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shall indemnify Executive to the maximum extent permitted by applicable law</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Company’s 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135" w:lineRule="exact"/>
        <w:rPr>
          <w:rFonts w:ascii="Arial" w:cs="Arial" w:eastAsia="Arial" w:hAnsi="Arial"/>
          <w:sz w:val="20"/>
          <w:szCs w:val="20"/>
          <w:color w:val="auto"/>
        </w:rPr>
      </w:pPr>
    </w:p>
    <w:p>
      <w:pPr>
        <w:ind w:left="968" w:right="20" w:hanging="320"/>
        <w:spacing w:after="0" w:line="300" w:lineRule="auto"/>
        <w:tabs>
          <w:tab w:leader="none" w:pos="957" w:val="left"/>
        </w:tabs>
        <w:numPr>
          <w:ilvl w:val="1"/>
          <w:numId w:val="37"/>
        </w:numPr>
        <w:rPr>
          <w:rFonts w:ascii="Arial" w:cs="Arial" w:eastAsia="Arial" w:hAnsi="Arial"/>
          <w:sz w:val="20"/>
          <w:szCs w:val="20"/>
          <w:color w:val="auto"/>
        </w:rPr>
      </w:pPr>
      <w:r>
        <w:rPr>
          <w:rFonts w:ascii="Arial" w:cs="Arial" w:eastAsia="Arial" w:hAnsi="Arial"/>
          <w:sz w:val="20"/>
          <w:szCs w:val="20"/>
          <w:b w:val="1"/>
          <w:bCs w:val="1"/>
          <w:u w:val="single" w:color="auto"/>
          <w:color w:val="auto"/>
        </w:rPr>
        <w:t>Headings</w:t>
      </w:r>
      <w:r>
        <w:rPr>
          <w:rFonts w:ascii="Arial" w:cs="Arial" w:eastAsia="Arial" w:hAnsi="Arial"/>
          <w:sz w:val="20"/>
          <w:szCs w:val="20"/>
          <w:color w:val="auto"/>
        </w:rPr>
        <w:t>. All captions and section headings used in this Agreement are for convenient reference only and do</w:t>
      </w:r>
      <w:r>
        <w:rPr>
          <w:rFonts w:ascii="Arial" w:cs="Arial" w:eastAsia="Arial" w:hAnsi="Arial"/>
          <w:sz w:val="20"/>
          <w:szCs w:val="20"/>
          <w:b w:val="1"/>
          <w:bCs w:val="1"/>
          <w:color w:val="auto"/>
        </w:rPr>
        <w:t xml:space="preserve"> </w:t>
      </w:r>
      <w:r>
        <w:rPr>
          <w:rFonts w:ascii="Arial" w:cs="Arial" w:eastAsia="Arial" w:hAnsi="Arial"/>
          <w:sz w:val="20"/>
          <w:szCs w:val="20"/>
          <w:color w:val="auto"/>
        </w:rPr>
        <w:t>not form a part of this Agreement.</w:t>
      </w:r>
    </w:p>
    <w:p>
      <w:pPr>
        <w:spacing w:after="0" w:line="127" w:lineRule="exact"/>
        <w:rPr>
          <w:rFonts w:ascii="Arial" w:cs="Arial" w:eastAsia="Arial" w:hAnsi="Arial"/>
          <w:sz w:val="20"/>
          <w:szCs w:val="20"/>
          <w:color w:val="auto"/>
        </w:rPr>
      </w:pPr>
    </w:p>
    <w:p>
      <w:pPr>
        <w:ind w:left="968" w:hanging="320"/>
        <w:spacing w:after="0"/>
        <w:tabs>
          <w:tab w:leader="none" w:pos="968" w:val="left"/>
        </w:tabs>
        <w:numPr>
          <w:ilvl w:val="1"/>
          <w:numId w:val="37"/>
        </w:numPr>
        <w:rPr>
          <w:rFonts w:ascii="Arial" w:cs="Arial" w:eastAsia="Arial" w:hAnsi="Arial"/>
          <w:sz w:val="20"/>
          <w:szCs w:val="20"/>
          <w:color w:val="auto"/>
        </w:rPr>
      </w:pPr>
      <w:r>
        <w:rPr>
          <w:rFonts w:ascii="Arial" w:cs="Arial" w:eastAsia="Arial" w:hAnsi="Arial"/>
          <w:sz w:val="20"/>
          <w:szCs w:val="20"/>
          <w:b w:val="1"/>
          <w:bCs w:val="1"/>
          <w:u w:val="single" w:color="auto"/>
          <w:color w:val="auto"/>
        </w:rPr>
        <w:t>Notice</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1628" w:hanging="332"/>
        <w:spacing w:after="0" w:line="269" w:lineRule="auto"/>
        <w:tabs>
          <w:tab w:leader="none" w:pos="1619" w:val="left"/>
        </w:tabs>
        <w:numPr>
          <w:ilvl w:val="2"/>
          <w:numId w:val="37"/>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spacing w:after="0" w:line="167" w:lineRule="exact"/>
        <w:rPr>
          <w:rFonts w:ascii="Arial" w:cs="Arial" w:eastAsia="Arial" w:hAnsi="Arial"/>
          <w:sz w:val="20"/>
          <w:szCs w:val="20"/>
          <w:color w:val="auto"/>
        </w:rPr>
      </w:pPr>
    </w:p>
    <w:p>
      <w:pPr>
        <w:jc w:val="both"/>
        <w:ind w:left="1628" w:hanging="332"/>
        <w:spacing w:after="0" w:line="268" w:lineRule="auto"/>
        <w:tabs>
          <w:tab w:leader="none" w:pos="1622" w:val="left"/>
        </w:tabs>
        <w:numPr>
          <w:ilvl w:val="2"/>
          <w:numId w:val="37"/>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Any termination by the Company for Cause or by Executive for Good Reason will be communicated by a notice of termination to the other party hereto given in accordance with Section 13(c)(i)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in the case of termination for Cause,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 Any termination by Executive without Good Reason will be communicated by Executive to the Company not less than sixty (60) days advance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908"/>
          </w:cols>
          <w:pgMar w:left="652" w:top="1440" w:right="339" w:bottom="1440" w:gutter="0" w:footer="0" w:header="0"/>
        </w:sectPr>
      </w:pPr>
    </w:p>
    <w:bookmarkStart w:id="63" w:name="page64"/>
    <w:bookmarkEnd w:id="63"/>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jc w:val="both"/>
        <w:ind w:left="320" w:hanging="320"/>
        <w:spacing w:after="0" w:line="275" w:lineRule="auto"/>
        <w:tabs>
          <w:tab w:leader="none" w:pos="312"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Modifications and Waivers</w:t>
      </w:r>
      <w:r>
        <w:rPr>
          <w:rFonts w:ascii="Arial" w:cs="Arial" w:eastAsia="Arial" w:hAnsi="Arial"/>
          <w:sz w:val="20"/>
          <w:szCs w:val="20"/>
          <w:b w:val="1"/>
          <w:bCs w:val="1"/>
          <w:color w:val="auto"/>
        </w:rPr>
        <w:t xml:space="preserve">. </w:t>
      </w:r>
      <w:r>
        <w:rPr>
          <w:rFonts w:ascii="Arial" w:cs="Arial" w:eastAsia="Arial" w:hAnsi="Arial"/>
          <w:sz w:val="20"/>
          <w:szCs w:val="20"/>
          <w:color w:val="auto"/>
        </w:rPr>
        <w:t>No provision of this Agreement shall be modified, waived or discharged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modification, waiver or discharge is agreed to in writing and signed by Executive and by an authorized officer of the Company (other than Executive ).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53" w:lineRule="exact"/>
        <w:rPr>
          <w:rFonts w:ascii="Arial" w:cs="Arial" w:eastAsia="Arial" w:hAnsi="Arial"/>
          <w:sz w:val="20"/>
          <w:szCs w:val="20"/>
          <w:color w:val="auto"/>
        </w:rPr>
      </w:pPr>
    </w:p>
    <w:p>
      <w:pPr>
        <w:jc w:val="both"/>
        <w:ind w:left="320" w:hanging="320"/>
        <w:spacing w:after="0" w:line="283" w:lineRule="auto"/>
        <w:tabs>
          <w:tab w:leader="none" w:pos="311"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the Confidentiality Agreement contain the entire understanding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with respect to the subject matter hereof and supersede all other prior or contemporaneous discussions, understandings and agreements, whether oral or written, between them relating to the subject matter hereof.</w:t>
      </w:r>
    </w:p>
    <w:p>
      <w:pPr>
        <w:spacing w:after="0" w:line="131" w:lineRule="exact"/>
        <w:rPr>
          <w:rFonts w:ascii="Arial" w:cs="Arial" w:eastAsia="Arial" w:hAnsi="Arial"/>
          <w:sz w:val="20"/>
          <w:szCs w:val="20"/>
          <w:color w:val="auto"/>
        </w:rPr>
      </w:pPr>
    </w:p>
    <w:p>
      <w:pPr>
        <w:ind w:left="320" w:hanging="320"/>
        <w:spacing w:after="0" w:line="300" w:lineRule="auto"/>
        <w:tabs>
          <w:tab w:leader="none" w:pos="310"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Withholding Taxes</w:t>
      </w:r>
      <w:r>
        <w:rPr>
          <w:rFonts w:ascii="Arial" w:cs="Arial" w:eastAsia="Arial" w:hAnsi="Arial"/>
          <w:sz w:val="20"/>
          <w:szCs w:val="20"/>
          <w:b w:val="1"/>
          <w:bCs w:val="1"/>
          <w:color w:val="auto"/>
        </w:rPr>
        <w:t xml:space="preserve">. </w:t>
      </w:r>
      <w:r>
        <w:rPr>
          <w:rFonts w:ascii="Arial" w:cs="Arial" w:eastAsia="Arial" w:hAnsi="Arial"/>
          <w:sz w:val="20"/>
          <w:szCs w:val="20"/>
          <w:color w:val="auto"/>
        </w:rPr>
        <w:t>All payments made under this Agreement shall be subject to reduction to reflect taxes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deductions required to be withheld by law.</w:t>
      </w:r>
    </w:p>
    <w:p>
      <w:pPr>
        <w:spacing w:after="0" w:line="113" w:lineRule="exact"/>
        <w:rPr>
          <w:rFonts w:ascii="Arial" w:cs="Arial" w:eastAsia="Arial" w:hAnsi="Arial"/>
          <w:sz w:val="20"/>
          <w:szCs w:val="20"/>
          <w:color w:val="auto"/>
        </w:rPr>
      </w:pPr>
    </w:p>
    <w:p>
      <w:pPr>
        <w:jc w:val="both"/>
        <w:ind w:left="320" w:hanging="320"/>
        <w:spacing w:after="0" w:line="286" w:lineRule="auto"/>
        <w:tabs>
          <w:tab w:leader="none" w:pos="309"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Choice of Law and 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interpreted in accordance with the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Florida without giving 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w:t>
      </w:r>
    </w:p>
    <w:p>
      <w:pPr>
        <w:jc w:val="both"/>
        <w:ind w:left="320"/>
        <w:spacing w:after="0" w:line="288" w:lineRule="auto"/>
        <w:rPr>
          <w:rFonts w:ascii="Arial" w:cs="Arial" w:eastAsia="Arial" w:hAnsi="Arial"/>
          <w:sz w:val="19"/>
          <w:szCs w:val="19"/>
          <w:color w:val="auto"/>
        </w:rPr>
      </w:pPr>
      <w:r>
        <w:rPr>
          <w:rFonts w:ascii="Arial" w:cs="Arial" w:eastAsia="Arial" w:hAnsi="Arial"/>
          <w:sz w:val="19"/>
          <w:szCs w:val="19"/>
          <w:color w:val="auto"/>
        </w:rPr>
        <w:t>Agreement shall continue in full force and effect. If any provision of this Agreement is rendered illegal by any present or future statute, law, ordinance or regulation (collectively, the “</w:t>
      </w:r>
      <w:r>
        <w:rPr>
          <w:rFonts w:ascii="Arial" w:cs="Arial" w:eastAsia="Arial" w:hAnsi="Arial"/>
          <w:sz w:val="19"/>
          <w:szCs w:val="19"/>
          <w:b w:val="1"/>
          <w:bCs w:val="1"/>
          <w:i w:val="1"/>
          <w:iCs w:val="1"/>
          <w:color w:val="auto"/>
        </w:rPr>
        <w:t>Law</w:t>
      </w:r>
      <w:r>
        <w:rPr>
          <w:rFonts w:ascii="Arial" w:cs="Arial" w:eastAsia="Arial" w:hAnsi="Arial"/>
          <w:sz w:val="19"/>
          <w:szCs w:val="19"/>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142" w:lineRule="exact"/>
        <w:rPr>
          <w:rFonts w:ascii="Arial" w:cs="Arial" w:eastAsia="Arial" w:hAnsi="Arial"/>
          <w:sz w:val="19"/>
          <w:szCs w:val="19"/>
          <w:color w:val="auto"/>
        </w:rPr>
      </w:pPr>
    </w:p>
    <w:p>
      <w:pPr>
        <w:jc w:val="both"/>
        <w:ind w:left="320" w:hanging="320"/>
        <w:spacing w:after="0" w:line="278" w:lineRule="auto"/>
        <w:tabs>
          <w:tab w:leader="none" w:pos="309"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No Assignment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all of Executive’s rights and obligations hereunder are personal to</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and may not be transferred or assigned by Executive at any time. The Company may assign its rights under this Agreement to any entity that assumes the Company’s obligations hereunder in connection with any sale or transfer to such entity of all or a substantial portion of the Company’s assets.</w:t>
      </w:r>
    </w:p>
    <w:p>
      <w:pPr>
        <w:spacing w:after="0" w:line="135" w:lineRule="exact"/>
        <w:rPr>
          <w:rFonts w:ascii="Arial" w:cs="Arial" w:eastAsia="Arial" w:hAnsi="Arial"/>
          <w:sz w:val="20"/>
          <w:szCs w:val="20"/>
          <w:color w:val="auto"/>
        </w:rPr>
      </w:pPr>
    </w:p>
    <w:p>
      <w:pPr>
        <w:jc w:val="both"/>
        <w:ind w:left="320" w:hanging="320"/>
        <w:spacing w:after="0" w:line="283" w:lineRule="auto"/>
        <w:tabs>
          <w:tab w:leader="none" w:pos="309"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Acknowledgment</w:t>
      </w:r>
      <w:r>
        <w:rPr>
          <w:rFonts w:ascii="Arial" w:cs="Arial" w:eastAsia="Arial" w:hAnsi="Arial"/>
          <w:sz w:val="20"/>
          <w:szCs w:val="20"/>
          <w:color w:val="auto"/>
        </w:rPr>
        <w:t>. Executive acknowledges that Executive has had the opportunity to discuss this matter with</w:t>
      </w:r>
      <w:r>
        <w:rPr>
          <w:rFonts w:ascii="Arial" w:cs="Arial" w:eastAsia="Arial" w:hAnsi="Arial"/>
          <w:sz w:val="20"/>
          <w:szCs w:val="20"/>
          <w:b w:val="1"/>
          <w:bCs w:val="1"/>
          <w:color w:val="auto"/>
        </w:rPr>
        <w:t xml:space="preserve"> </w:t>
      </w:r>
      <w:r>
        <w:rPr>
          <w:rFonts w:ascii="Arial" w:cs="Arial" w:eastAsia="Arial" w:hAnsi="Arial"/>
          <w:sz w:val="20"/>
          <w:szCs w:val="20"/>
          <w:color w:val="auto"/>
        </w:rPr>
        <w:t>and obtain advice from Executive’s personal attorney, has had sufficient time to, and has carefully read and fully understood all the provisions of this Agreement, and is knowingly and voluntarily entering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260"/>
          </w:cols>
          <w:pgMar w:left="1300" w:top="1440" w:right="339" w:bottom="1440" w:gutter="0" w:footer="0" w:header="0"/>
        </w:sectPr>
      </w:pPr>
    </w:p>
    <w:bookmarkStart w:id="64" w:name="page65"/>
    <w:bookmarkEnd w:id="64"/>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jc w:val="both"/>
        <w:ind w:left="320" w:hanging="320"/>
        <w:spacing w:after="0" w:line="278" w:lineRule="auto"/>
        <w:tabs>
          <w:tab w:leader="none" w:pos="309"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deemed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but all of which together shall constitute one and the same instrument. Execution of a facsimile copy will have the same force and effect as execution of an original, and a facsimile signature will be deemed an original and valid signature.</w:t>
      </w:r>
    </w:p>
    <w:p>
      <w:pPr>
        <w:spacing w:after="0" w:line="149" w:lineRule="exact"/>
        <w:rPr>
          <w:rFonts w:ascii="Arial" w:cs="Arial" w:eastAsia="Arial" w:hAnsi="Arial"/>
          <w:sz w:val="20"/>
          <w:szCs w:val="20"/>
          <w:color w:val="auto"/>
        </w:rPr>
      </w:pPr>
    </w:p>
    <w:p>
      <w:pPr>
        <w:jc w:val="both"/>
        <w:ind w:left="320" w:hanging="320"/>
        <w:spacing w:after="0" w:line="273" w:lineRule="auto"/>
        <w:tabs>
          <w:tab w:leader="none" w:pos="308" w:val="left"/>
        </w:tabs>
        <w:numPr>
          <w:ilvl w:val="0"/>
          <w:numId w:val="39"/>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may, in its sole discretion, decide to deliver any documents or notices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letter, securities of the Company or any of its affiliates or any other matter, including documents and/or notices required to be delivered to Executive by applicable securities law or any other law or the Company’s Certificate of Incorporation or Bylaws by email or any other electronic means. Executive hereby consents to (i)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w:t>
      </w:r>
    </w:p>
    <w:p>
      <w:pPr>
        <w:spacing w:after="0" w:line="184" w:lineRule="exact"/>
        <w:rPr>
          <w:sz w:val="20"/>
          <w:szCs w:val="20"/>
          <w:color w:val="auto"/>
        </w:rPr>
      </w:pPr>
    </w:p>
    <w:p>
      <w:pPr>
        <w:ind w:left="3540"/>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260"/>
          </w:cols>
          <w:pgMar w:left="1300" w:top="1440"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88900</wp:posOffset>
            </wp:positionV>
            <wp:extent cx="2023110" cy="2997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2023110" cy="299720"/>
                    </a:xfrm>
                    <a:prstGeom prst="rect">
                      <a:avLst/>
                    </a:prstGeom>
                    <a:noFill/>
                  </pic:spPr>
                </pic:pic>
              </a:graphicData>
            </a:graphic>
          </wp:anchor>
        </w:drawing>
      </w: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Vivek Garipalli</w:t>
      </w:r>
      <w:r>
        <w:rPr>
          <w:rFonts w:ascii="Arial" w:cs="Arial" w:eastAsia="Arial" w:hAnsi="Arial"/>
          <w:sz w:val="18"/>
          <w:szCs w:val="18"/>
          <w:color w:val="auto"/>
        </w:rPr>
        <w:t xml:space="preserve"> ___________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Vivek Garipalli, CEO &amp; Co-Founder</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to and Accepted by: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Scott Leffler</w:t>
      </w:r>
      <w:r>
        <w:rPr>
          <w:rFonts w:ascii="Arial" w:cs="Arial" w:eastAsia="Arial" w:hAnsi="Arial"/>
          <w:sz w:val="20"/>
          <w:szCs w:val="20"/>
          <w:color w:val="auto"/>
        </w:rPr>
        <w:t>__________________</w:t>
      </w:r>
    </w:p>
    <w:p>
      <w:pPr>
        <w:spacing w:after="0"/>
        <w:rPr>
          <w:sz w:val="20"/>
          <w:szCs w:val="20"/>
          <w:color w:val="auto"/>
        </w:rPr>
      </w:pPr>
      <w:r>
        <w:rPr>
          <w:rFonts w:ascii="Arial" w:cs="Arial" w:eastAsia="Arial" w:hAnsi="Arial"/>
          <w:sz w:val="20"/>
          <w:szCs w:val="20"/>
          <w:color w:val="auto"/>
        </w:rPr>
        <w:t>Scott Leffler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highlight w:val="black"/>
        </w:rPr>
        <w:t>_______________________________</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highlight w:val="black"/>
        </w:rPr>
        <w:t>_______________________________</w:t>
      </w:r>
    </w:p>
    <w:p>
      <w:pPr>
        <w:spacing w:after="0"/>
        <w:rPr>
          <w:sz w:val="20"/>
          <w:szCs w:val="20"/>
          <w:color w:val="auto"/>
        </w:rPr>
      </w:pPr>
      <w:r>
        <w:rPr>
          <w:rFonts w:ascii="Arial" w:cs="Arial" w:eastAsia="Arial" w:hAnsi="Arial"/>
          <w:sz w:val="20"/>
          <w:szCs w:val="20"/>
          <w:color w:val="auto"/>
          <w:highlight w:val="white"/>
        </w:rPr>
        <w:t>Address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Date: 5/11/2022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16"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ATTACHMENT A</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SEPARATION AGREEMENT AND RELEASE</w:t>
      </w:r>
    </w:p>
    <w:p>
      <w:pPr>
        <w:spacing w:after="0" w:line="226" w:lineRule="exact"/>
        <w:rPr>
          <w:sz w:val="20"/>
          <w:szCs w:val="20"/>
          <w:color w:val="auto"/>
        </w:rPr>
      </w:pPr>
    </w:p>
    <w:p>
      <w:pPr>
        <w:ind w:left="80" w:right="480" w:firstLine="648"/>
        <w:spacing w:after="0" w:line="218" w:lineRule="auto"/>
        <w:rPr>
          <w:sz w:val="20"/>
          <w:szCs w:val="20"/>
          <w:color w:val="auto"/>
        </w:rPr>
      </w:pPr>
      <w:r>
        <w:rPr>
          <w:rFonts w:ascii="Arial" w:cs="Arial" w:eastAsia="Arial" w:hAnsi="Arial"/>
          <w:sz w:val="22"/>
          <w:szCs w:val="22"/>
          <w:color w:val="auto"/>
        </w:rPr>
        <w:t>This Confidential Separation and Release Agreement (“Agreement”) sets forth the agreement reached concerning the separation of [EMPLOYEE NAME] (herein referred to as “you,” “your” or similar words, as the context requires) from employment with [ENTITY NAME] and/or its affiliates (collectively, the “Company”).</w:t>
      </w:r>
    </w:p>
    <w:p>
      <w:pPr>
        <w:spacing w:after="0" w:line="188" w:lineRule="exact"/>
        <w:rPr>
          <w:sz w:val="20"/>
          <w:szCs w:val="20"/>
          <w:color w:val="auto"/>
        </w:rPr>
      </w:pPr>
    </w:p>
    <w:p>
      <w:pPr>
        <w:ind w:left="80" w:firstLine="648"/>
        <w:spacing w:after="0" w:line="232" w:lineRule="auto"/>
        <w:rPr>
          <w:sz w:val="20"/>
          <w:szCs w:val="20"/>
          <w:color w:val="auto"/>
        </w:rPr>
      </w:pPr>
      <w:r>
        <w:rPr>
          <w:rFonts w:ascii="Arial" w:cs="Arial" w:eastAsia="Arial" w:hAnsi="Arial"/>
          <w:sz w:val="22"/>
          <w:szCs w:val="22"/>
          <w:color w:val="auto"/>
        </w:rPr>
        <w:t>WHEREAS, your employment with the Company is ending effective [DATE], (the “Separation Date”), and thereafter you no longer will be employed with the Company; and</w:t>
      </w:r>
    </w:p>
    <w:p>
      <w:pPr>
        <w:spacing w:after="0" w:line="253" w:lineRule="exact"/>
        <w:rPr>
          <w:sz w:val="20"/>
          <w:szCs w:val="20"/>
          <w:color w:val="auto"/>
        </w:rPr>
      </w:pPr>
    </w:p>
    <w:p>
      <w:pPr>
        <w:jc w:val="both"/>
        <w:ind w:left="80" w:right="620" w:firstLine="638"/>
        <w:spacing w:after="0" w:line="386" w:lineRule="auto"/>
        <w:rPr>
          <w:sz w:val="20"/>
          <w:szCs w:val="20"/>
          <w:color w:val="auto"/>
        </w:rPr>
      </w:pPr>
      <w:r>
        <w:rPr>
          <w:rFonts w:ascii="Arial" w:cs="Arial" w:eastAsia="Arial" w:hAnsi="Arial"/>
          <w:sz w:val="19"/>
          <w:szCs w:val="19"/>
          <w:color w:val="auto"/>
        </w:rPr>
        <w:t>WHEREAS, you and the Company desire to end your employment relationship amicably, and settle, compromise and resolve any and all claims and disputes, whether known or unknown, which you may have against the Company at any time up to and including the date you sign this Agreement;</w:t>
      </w:r>
    </w:p>
    <w:p>
      <w:pPr>
        <w:spacing w:after="0" w:line="107" w:lineRule="exact"/>
        <w:rPr>
          <w:sz w:val="20"/>
          <w:szCs w:val="20"/>
          <w:color w:val="auto"/>
        </w:rPr>
      </w:pPr>
    </w:p>
    <w:p>
      <w:pPr>
        <w:ind w:left="740"/>
        <w:spacing w:after="0"/>
        <w:rPr>
          <w:sz w:val="20"/>
          <w:szCs w:val="20"/>
          <w:color w:val="auto"/>
        </w:rPr>
      </w:pPr>
      <w:r>
        <w:rPr>
          <w:rFonts w:ascii="Arial" w:cs="Arial" w:eastAsia="Arial" w:hAnsi="Arial"/>
          <w:sz w:val="19"/>
          <w:szCs w:val="19"/>
          <w:color w:val="auto"/>
        </w:rPr>
        <w:t>NOW, THEREFORE, in consideration of the mutual promises contained in this Agreement, you and the</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Company agree as follows:</w:t>
      </w:r>
    </w:p>
    <w:p>
      <w:pPr>
        <w:spacing w:after="0" w:line="256" w:lineRule="exact"/>
        <w:rPr>
          <w:sz w:val="20"/>
          <w:szCs w:val="20"/>
          <w:color w:val="auto"/>
        </w:rPr>
      </w:pPr>
    </w:p>
    <w:p>
      <w:pPr>
        <w:jc w:val="both"/>
        <w:ind w:left="80" w:right="80" w:firstLine="651"/>
        <w:spacing w:after="0" w:line="314" w:lineRule="auto"/>
        <w:tabs>
          <w:tab w:leader="none" w:pos="137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Consideration for Execution of this Agreement.</w:t>
      </w:r>
      <w:r>
        <w:rPr>
          <w:rFonts w:ascii="Arial" w:cs="Arial" w:eastAsia="Arial" w:hAnsi="Arial"/>
          <w:sz w:val="22"/>
          <w:szCs w:val="22"/>
          <w:color w:val="auto"/>
        </w:rPr>
        <w:t xml:space="preserve"> As consideration for your promises and obligations under this Agreement, the Company will provide you with the following consideration to which you are not otherwise entitled, provided you sign this Agreement within twenty one (21) days of receipt but not before your actual Separation Date:</w:t>
      </w:r>
    </w:p>
    <w:p>
      <w:pPr>
        <w:spacing w:after="0" w:line="215" w:lineRule="exact"/>
        <w:rPr>
          <w:rFonts w:ascii="Arial" w:cs="Arial" w:eastAsia="Arial" w:hAnsi="Arial"/>
          <w:sz w:val="22"/>
          <w:szCs w:val="22"/>
          <w:color w:val="auto"/>
        </w:rPr>
      </w:pPr>
    </w:p>
    <w:p>
      <w:pPr>
        <w:jc w:val="both"/>
        <w:ind w:left="1400" w:right="80" w:hanging="332"/>
        <w:spacing w:after="0" w:line="312" w:lineRule="auto"/>
        <w:tabs>
          <w:tab w:leader="none" w:pos="1400"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The Company will pay you an amount equivalent to [ ] ([ ]) weeks of your regular base salary, in the gross amount of [ ] ($[ ]), less applicable taxes and withholdings (the “Severance Payment”). The Severance Payment will be paid in a one-time, lump sum payment and payable upon the next regularly scheduled Company payroll date after your signed Agreement is received by the Company.</w:t>
      </w:r>
    </w:p>
    <w:p>
      <w:pPr>
        <w:spacing w:after="0" w:line="219" w:lineRule="exact"/>
        <w:rPr>
          <w:sz w:val="20"/>
          <w:szCs w:val="20"/>
          <w:color w:val="auto"/>
        </w:rPr>
      </w:pPr>
    </w:p>
    <w:p>
      <w:pPr>
        <w:ind w:right="480"/>
        <w:spacing w:after="0" w:line="314" w:lineRule="auto"/>
        <w:rPr>
          <w:sz w:val="20"/>
          <w:szCs w:val="20"/>
          <w:color w:val="auto"/>
        </w:rPr>
      </w:pPr>
      <w:r>
        <w:rPr>
          <w:rFonts w:ascii="Arial" w:cs="Arial" w:eastAsia="Arial" w:hAnsi="Arial"/>
          <w:sz w:val="22"/>
          <w:szCs w:val="22"/>
          <w:color w:val="auto"/>
        </w:rPr>
        <w:t>You acknowledge and agree that you would not be otherwise entitled to any of the above consideration but for your signing this Agreement and adhering to its terms and conditions.</w:t>
      </w:r>
    </w:p>
    <w:p>
      <w:pPr>
        <w:spacing w:after="0" w:line="216" w:lineRule="exact"/>
        <w:rPr>
          <w:sz w:val="20"/>
          <w:szCs w:val="20"/>
          <w:color w:val="auto"/>
        </w:rPr>
      </w:pPr>
    </w:p>
    <w:p>
      <w:pPr>
        <w:jc w:val="both"/>
        <w:ind w:left="80" w:right="80" w:firstLine="651"/>
        <w:spacing w:after="0" w:line="371" w:lineRule="auto"/>
        <w:tabs>
          <w:tab w:leader="none" w:pos="137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General Release of Claims.</w:t>
      </w:r>
      <w:r>
        <w:rPr>
          <w:rFonts w:ascii="Arial" w:cs="Arial" w:eastAsia="Arial" w:hAnsi="Arial"/>
          <w:sz w:val="19"/>
          <w:szCs w:val="19"/>
          <w:color w:val="auto"/>
        </w:rPr>
        <w:t xml:space="preserve"> You agree to release and forever discharge the Company, the Company’s affiliates, subsidiaries, parents, predecessors, successors and assigns, and the officers, directors, shareholders, agents, employees, counsel and insurers of each of them (together, the “Released Parties”) from any and all claims you may have or have had against any of the Released Parties arising prior to or on the dates you execute this Agreement, including without limitation any and all claims arising out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020"/>
          </w:cols>
          <w:pgMar w:left="880" w:top="1440" w:right="999" w:bottom="1440" w:gutter="0" w:footer="0" w:header="0"/>
        </w:sectPr>
      </w:pPr>
    </w:p>
    <w:bookmarkStart w:id="67" w:name="page68"/>
    <w:bookmarkEnd w:id="67"/>
    <w:p>
      <w:pPr>
        <w:jc w:val="both"/>
        <w:spacing w:after="0" w:line="364" w:lineRule="auto"/>
        <w:rPr>
          <w:sz w:val="20"/>
          <w:szCs w:val="20"/>
          <w:color w:val="auto"/>
        </w:rPr>
      </w:pPr>
      <w:r>
        <w:rPr>
          <w:rFonts w:ascii="Arial" w:cs="Arial" w:eastAsia="Arial" w:hAnsi="Arial"/>
          <w:sz w:val="19"/>
          <w:szCs w:val="19"/>
          <w:color w:val="auto"/>
        </w:rPr>
        <w:t>with the Company and/or the termination of that employment. You understand and agree that this release is intended to waive all claims of every kind and nature, whether known or unknown, actual or contingent, asserted or unasserted, arising under common law, statutory law or otherwise. This release includes any and all causes of actions or claims you have had, now have, or may have up to the dates you execute this Agreement including, without limitation, any claims arising pursuant to the Age Discrimination in Employment Act (“ADEA”), Title VII of the Civil Rights Act, the Family and Medical Leave Act, and the Americans with Disabilities Act, and common, federal, state, and local laws, regulations, rules, and ordinances. You also waive any claim to reinstatement or re-employment with the Company following your Separation Date.</w:t>
      </w:r>
    </w:p>
    <w:p>
      <w:pPr>
        <w:spacing w:after="0" w:line="184"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19"/>
          <w:szCs w:val="19"/>
          <w:color w:val="auto"/>
        </w:rPr>
        <w:t>You expressly acknowledge and represent that you have received all wages, benefits, compensation, reimbursements, vacation and paid time off, or any other remuneration to which you were entitled as an employee of the Company and are not currently aware of any facts or circumstances constituting a claim or cause of action you could bring for violation of the Fair Labor Standards Act (“FLSA”) or any other federal, state or local constitution, statute, rule, regulation, or common law that applies to your employment relationship. You expressly acknowledge and represent that no one has interfered with your ability to report possible violations of any law and it is Released Parties’ policy to encourage such reporting. You further acknowledge and represent that you have not suffered any on-the-job injury for which you have not already filed a claim, and the end of your employment is not related to any such injury.</w:t>
      </w:r>
    </w:p>
    <w:p>
      <w:pPr>
        <w:spacing w:after="0" w:line="185"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21"/>
          <w:szCs w:val="21"/>
          <w:color w:val="auto"/>
        </w:rPr>
        <w:t>No claim of any sort is exempt from the above release, except claims that the law does not allow you to waive by signing this Agreement, such as claims for workers’ compensation benefits (but it does apply to, waive and affect claims of discrimination and/or retaliation on the basis of having made a workers’ compensation claim), claims for unemployment benefits, or your rights to any vested benefits to which you are entitled under the terms of the applicable employee benefit plan. For the purpose of implementing a full and complete release, you expressly acknowledge that the release given in this Agreement is intended to include, without limitation, claims that you did not know or suspect to exist in your favor at the time of the date of your execution of this Agreement, regardless of whether the knowledge of such claims, or the facts upon with which they might be based, would have materially affected the settlement of this matter; and that the consideration provided under this Agreement was also for the release of those claims and contemplates the extinguishment of any such unknown claims.</w:t>
      </w:r>
    </w:p>
    <w:p>
      <w:pPr>
        <w:sectPr>
          <w:pgSz w:w="11900" w:h="16838" w:orient="portrait"/>
          <w:cols w:equalWidth="0" w:num="1">
            <w:col w:w="9860"/>
          </w:cols>
          <w:pgMar w:left="960" w:top="1401" w:right="1079" w:bottom="1440" w:gutter="0" w:footer="0" w:header="0"/>
        </w:sectPr>
      </w:pPr>
    </w:p>
    <w:bookmarkStart w:id="68" w:name="page69"/>
    <w:bookmarkEnd w:id="68"/>
    <w:p>
      <w:pPr>
        <w:spacing w:after="0" w:line="204" w:lineRule="exact"/>
        <w:rPr>
          <w:sz w:val="20"/>
          <w:szCs w:val="20"/>
          <w:color w:val="auto"/>
        </w:rPr>
      </w:pPr>
    </w:p>
    <w:p>
      <w:pPr>
        <w:jc w:val="both"/>
        <w:ind w:left="-480" w:firstLine="651"/>
        <w:spacing w:after="0" w:line="317" w:lineRule="auto"/>
        <w:tabs>
          <w:tab w:leader="none" w:pos="816"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Older Workers’ Benefit Protection Act</w:t>
      </w:r>
      <w:r>
        <w:rPr>
          <w:rFonts w:ascii="Arial" w:cs="Arial" w:eastAsia="Arial" w:hAnsi="Arial"/>
          <w:sz w:val="22"/>
          <w:szCs w:val="22"/>
          <w:color w:val="auto"/>
        </w:rPr>
        <w:t>. This Agreement is intended to satisfy the requirements of the Older Workers’ Benefit Protection Act, 29 U.S.C. sec. 626(f). You are advised to consult with an attorney before executing this Agreement.</w:t>
      </w:r>
    </w:p>
    <w:p>
      <w:pPr>
        <w:spacing w:after="0" w:line="226" w:lineRule="exact"/>
        <w:rPr>
          <w:rFonts w:ascii="Arial" w:cs="Arial" w:eastAsia="Arial" w:hAnsi="Arial"/>
          <w:sz w:val="22"/>
          <w:szCs w:val="22"/>
          <w:color w:val="auto"/>
        </w:rPr>
      </w:pPr>
    </w:p>
    <w:p>
      <w:pPr>
        <w:jc w:val="both"/>
        <w:ind w:left="840" w:hanging="332"/>
        <w:spacing w:after="0" w:line="327" w:lineRule="auto"/>
        <w:tabs>
          <w:tab w:leader="none" w:pos="828" w:val="left"/>
        </w:tabs>
        <w:numPr>
          <w:ilvl w:val="1"/>
          <w:numId w:val="42"/>
        </w:numPr>
        <w:rPr>
          <w:rFonts w:ascii="Arial" w:cs="Arial" w:eastAsia="Arial" w:hAnsi="Arial"/>
          <w:sz w:val="21"/>
          <w:szCs w:val="21"/>
          <w:color w:val="auto"/>
        </w:rPr>
      </w:pPr>
      <w:r>
        <w:rPr>
          <w:rFonts w:ascii="Arial" w:cs="Arial" w:eastAsia="Arial" w:hAnsi="Arial"/>
          <w:sz w:val="21"/>
          <w:szCs w:val="21"/>
          <w:u w:val="single" w:color="auto"/>
          <w:color w:val="auto"/>
        </w:rPr>
        <w:t>Acknowledgments/Time to Consider</w:t>
      </w:r>
      <w:r>
        <w:rPr>
          <w:rFonts w:ascii="Arial" w:cs="Arial" w:eastAsia="Arial" w:hAnsi="Arial"/>
          <w:sz w:val="21"/>
          <w:szCs w:val="21"/>
          <w:color w:val="auto"/>
        </w:rPr>
        <w:t>. You acknowledge and agree that (a) you have read and understand the terms of this Agreement; (b) you have been advised in writing to consult with an attorney before executing this Agreement; (c) you have had the opportunity to obtain and consider such legal counsel as you deem necessary; (d) you have been given twenty-one (21) days to consider whether or not to enter into this Agreement (although you may elect not to use the full 21- day period at your option); and (e) by signing this Agreement, you acknowledge that you do so freely, knowingly, and voluntarily.</w:t>
      </w:r>
    </w:p>
    <w:p>
      <w:pPr>
        <w:spacing w:after="0" w:line="208" w:lineRule="exact"/>
        <w:rPr>
          <w:sz w:val="20"/>
          <w:szCs w:val="20"/>
          <w:color w:val="auto"/>
        </w:rPr>
      </w:pPr>
    </w:p>
    <w:p>
      <w:pPr>
        <w:ind w:left="840" w:right="20" w:hanging="332"/>
        <w:spacing w:after="0" w:line="307" w:lineRule="auto"/>
        <w:tabs>
          <w:tab w:leader="none" w:pos="828"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Revocation/Effective Date</w:t>
      </w:r>
      <w:r>
        <w:rPr>
          <w:rFonts w:ascii="Arial" w:cs="Arial" w:eastAsia="Arial" w:hAnsi="Arial"/>
          <w:sz w:val="22"/>
          <w:szCs w:val="22"/>
          <w:color w:val="auto"/>
        </w:rPr>
        <w:t>. This Agreement shall not become effective or enforceable until the eighth day after you sign this Agreement. In other words,</w:t>
      </w:r>
    </w:p>
    <w:p>
      <w:pPr>
        <w:jc w:val="both"/>
        <w:ind w:left="840"/>
        <w:spacing w:after="0" w:line="311" w:lineRule="auto"/>
        <w:rPr>
          <w:rFonts w:ascii="Arial" w:cs="Arial" w:eastAsia="Arial" w:hAnsi="Arial"/>
          <w:sz w:val="22"/>
          <w:szCs w:val="22"/>
          <w:color w:val="auto"/>
        </w:rPr>
      </w:pPr>
      <w:r>
        <w:rPr>
          <w:rFonts w:ascii="Arial" w:cs="Arial" w:eastAsia="Arial" w:hAnsi="Arial"/>
          <w:sz w:val="22"/>
          <w:szCs w:val="22"/>
          <w:color w:val="auto"/>
        </w:rPr>
        <w:t>you may revoke your acceptance of this Agreement within seven (7) days after the date you sign it. Your revocation must be in writing and sent via email to the Company’s Chief People Officer, Rachel Fish, at email address rachel.fish@cloverhealth.com by the end of the seventh day in order to be effective. If you do not revoke acceptance within the seven (7) day period, your acceptance of this Agreement shall become binding and enforceable on the eighth day after you signed it (“Effective Date”).</w:t>
      </w:r>
    </w:p>
    <w:p>
      <w:pPr>
        <w:spacing w:after="0" w:line="220" w:lineRule="exact"/>
        <w:rPr>
          <w:sz w:val="20"/>
          <w:szCs w:val="20"/>
          <w:color w:val="auto"/>
        </w:rPr>
      </w:pPr>
    </w:p>
    <w:p>
      <w:pPr>
        <w:jc w:val="both"/>
        <w:ind w:left="840" w:right="20" w:hanging="332"/>
        <w:spacing w:after="0" w:line="312" w:lineRule="auto"/>
        <w:tabs>
          <w:tab w:leader="none" w:pos="840"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Preserved Rights</w:t>
      </w:r>
      <w:r>
        <w:rPr>
          <w:rFonts w:ascii="Arial" w:cs="Arial" w:eastAsia="Arial" w:hAnsi="Arial"/>
          <w:sz w:val="22"/>
          <w:szCs w:val="22"/>
          <w:color w:val="auto"/>
        </w:rPr>
        <w:t>. This Agreement does not waive or release any rights or claims that you may have under the Age Discrimination in Employment Act that arise after dates that you execute this Agreement. In addition, this Agreement does not prohibit you from challenging the validity of this Agreement’s waiver and release of claims under the Age Discrimination in Employment Act of 1967, as amended.</w:t>
      </w:r>
    </w:p>
    <w:p>
      <w:pPr>
        <w:spacing w:after="0" w:line="232" w:lineRule="exact"/>
        <w:rPr>
          <w:rFonts w:ascii="Arial" w:cs="Arial" w:eastAsia="Arial" w:hAnsi="Arial"/>
          <w:sz w:val="22"/>
          <w:szCs w:val="22"/>
          <w:color w:val="auto"/>
        </w:rPr>
      </w:pPr>
    </w:p>
    <w:p>
      <w:pPr>
        <w:jc w:val="both"/>
        <w:ind w:left="-480" w:firstLine="641"/>
        <w:spacing w:after="0" w:line="312" w:lineRule="auto"/>
        <w:tabs>
          <w:tab w:leader="none" w:pos="82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xml:space="preserve"> You agree and acknowledge that, notwithstanding anything stated in this Agreement, you shall remain bound by the terms of any other agreement relating to noncompetition, non-solicitation, confidentiality, intellectual property, or inventions that you executed prior to commencing employment with the Company, or during your employment with the Company, and any Company policies concerning non-</w:t>
      </w:r>
    </w:p>
    <w:p>
      <w:pPr>
        <w:sectPr>
          <w:pgSz w:w="11900" w:h="16838" w:orient="portrait"/>
          <w:cols w:equalWidth="0" w:num="1">
            <w:col w:w="9380"/>
          </w:cols>
          <w:pgMar w:left="1440" w:top="1440" w:right="1079" w:bottom="1440" w:gutter="0" w:footer="0" w:header="0"/>
        </w:sectPr>
      </w:pPr>
    </w:p>
    <w:bookmarkStart w:id="69" w:name="page70"/>
    <w:bookmarkEnd w:id="69"/>
    <w:p>
      <w:pPr>
        <w:ind w:right="60"/>
        <w:spacing w:after="0" w:line="327" w:lineRule="auto"/>
        <w:rPr>
          <w:sz w:val="20"/>
          <w:szCs w:val="20"/>
          <w:color w:val="auto"/>
        </w:rPr>
      </w:pPr>
      <w:r>
        <w:rPr>
          <w:rFonts w:ascii="Arial" w:cs="Arial" w:eastAsia="Arial" w:hAnsi="Arial"/>
          <w:sz w:val="22"/>
          <w:szCs w:val="22"/>
          <w:color w:val="auto"/>
        </w:rPr>
        <w:t>competition, non- solicitation, confidentiality, intellectual property, or inventions that were in force at the time of your separation.</w:t>
      </w:r>
    </w:p>
    <w:p>
      <w:pPr>
        <w:spacing w:after="0" w:line="196" w:lineRule="exact"/>
        <w:rPr>
          <w:sz w:val="20"/>
          <w:szCs w:val="20"/>
          <w:color w:val="auto"/>
        </w:rPr>
      </w:pPr>
    </w:p>
    <w:p>
      <w:pPr>
        <w:jc w:val="both"/>
        <w:ind w:left="1300" w:hanging="321"/>
        <w:spacing w:after="0" w:line="361" w:lineRule="auto"/>
        <w:tabs>
          <w:tab w:leader="none" w:pos="1300"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Non-Litigation Covenant</w:t>
      </w:r>
      <w:r>
        <w:rPr>
          <w:rFonts w:ascii="Arial" w:cs="Arial" w:eastAsia="Arial" w:hAnsi="Arial"/>
          <w:sz w:val="19"/>
          <w:szCs w:val="19"/>
          <w:b w:val="1"/>
          <w:bCs w:val="1"/>
          <w:color w:val="auto"/>
        </w:rPr>
        <w:t>.</w:t>
      </w:r>
      <w:r>
        <w:rPr>
          <w:rFonts w:ascii="Arial" w:cs="Arial" w:eastAsia="Arial" w:hAnsi="Arial"/>
          <w:sz w:val="19"/>
          <w:szCs w:val="19"/>
          <w:color w:val="auto"/>
        </w:rPr>
        <w:t xml:space="preserve"> You further agree not to sue Company or any Releasee with regard to any claim released in Section 2 of this Agreement. You understand that the provisions of this Agreement shall not be construed as preventing you from filing a charge with or cooperating or participating in any investigation or proceeding conducted by any governmental agency, only to the extent you are permitted to do so by law, notwithstanding any provisions of any agreement to the contrary. Both parties acknowledge that this Agreement does not limit your right to communicate with governmental agencies, including filing or participating in an investigative proceeding. Such communication, whether initiated by you or an agency, is not limited by this Agreement. However, you expressly release, waive, and disclaim any right to personal compensation or other benefit, including cost and attorneys’ fees, that may otherwise inure to you as a result of you filing any such charge with a government agency. You understand that the provisions of this paragraph mean that you cannot bring a personal, collective or class action lawsuit or arbitration in any forum against the Releasees for any reason for claims you may have as of the date of this Agreement.</w:t>
      </w:r>
    </w:p>
    <w:p>
      <w:pPr>
        <w:spacing w:after="0" w:line="202" w:lineRule="exact"/>
        <w:rPr>
          <w:rFonts w:ascii="Arial" w:cs="Arial" w:eastAsia="Arial" w:hAnsi="Arial"/>
          <w:sz w:val="19"/>
          <w:szCs w:val="19"/>
          <w:color w:val="auto"/>
        </w:rPr>
      </w:pPr>
    </w:p>
    <w:p>
      <w:pPr>
        <w:jc w:val="both"/>
        <w:ind w:left="1300" w:hanging="321"/>
        <w:spacing w:after="0" w:line="364" w:lineRule="auto"/>
        <w:tabs>
          <w:tab w:leader="none" w:pos="1300"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Waiver of Relator Recovery.</w:t>
      </w:r>
      <w:r>
        <w:rPr>
          <w:rFonts w:ascii="Arial" w:cs="Arial" w:eastAsia="Arial" w:hAnsi="Arial"/>
          <w:sz w:val="19"/>
          <w:szCs w:val="19"/>
          <w:color w:val="auto"/>
        </w:rPr>
        <w:t xml:space="preserve"> To the fullest extent permitted by law, you further agree to release, waive, and forever discharge your right to any portion of any settlement, judgment, or other recovery as a Relator under the </w:t>
      </w:r>
      <w:r>
        <w:rPr>
          <w:rFonts w:ascii="Arial" w:cs="Arial" w:eastAsia="Arial" w:hAnsi="Arial"/>
          <w:sz w:val="19"/>
          <w:szCs w:val="19"/>
          <w:i w:val="1"/>
          <w:iCs w:val="1"/>
          <w:color w:val="auto"/>
        </w:rPr>
        <w:t>qui tam</w:t>
      </w:r>
      <w:r>
        <w:rPr>
          <w:rFonts w:ascii="Arial" w:cs="Arial" w:eastAsia="Arial" w:hAnsi="Arial"/>
          <w:sz w:val="19"/>
          <w:szCs w:val="19"/>
          <w:color w:val="auto"/>
        </w:rPr>
        <w:t xml:space="preserve"> provisions of the False Claims Act, 31 U.S.C. § 3730, or analogous state false claims acts, in any lawsuit arising from, or in any way related to, any transactions or occurrences involving Company, and other companies Company dealt with, their affiliated or related entities through common identity of ownership (in whole or in part) from the beginning of time until the present, including but not limited to, any right to receive expenses, attorneys’ fees, and costs under 31 U.S.C. § 3730(d) or analogous state laws.</w:t>
      </w:r>
    </w:p>
    <w:p>
      <w:pPr>
        <w:spacing w:after="0" w:line="184" w:lineRule="exact"/>
        <w:rPr>
          <w:rFonts w:ascii="Arial" w:cs="Arial" w:eastAsia="Arial" w:hAnsi="Arial"/>
          <w:sz w:val="19"/>
          <w:szCs w:val="19"/>
          <w:color w:val="auto"/>
        </w:rPr>
      </w:pPr>
    </w:p>
    <w:p>
      <w:pPr>
        <w:jc w:val="both"/>
        <w:ind w:left="-80" w:right="20" w:firstLine="644"/>
        <w:spacing w:after="0" w:line="314" w:lineRule="auto"/>
        <w:tabs>
          <w:tab w:leader="none" w:pos="130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xml:space="preserve"> You acknowledge that during your employment you have learned Confidential Information relating to the business conducted and to be conducted by the Company. You agree that you have not and will not disclose or use or authorize any third party to disclose or use any such Confidential Information, without prior written approval</w:t>
      </w:r>
    </w:p>
    <w:p>
      <w:pPr>
        <w:sectPr>
          <w:pgSz w:w="11900" w:h="16838" w:orient="portrait"/>
          <w:cols w:equalWidth="0" w:num="1">
            <w:col w:w="9920"/>
          </w:cols>
          <w:pgMar w:left="960" w:top="1401" w:right="1019" w:bottom="1440" w:gutter="0" w:footer="0" w:header="0"/>
        </w:sectPr>
      </w:pPr>
    </w:p>
    <w:bookmarkStart w:id="70" w:name="page71"/>
    <w:bookmarkEnd w:id="70"/>
    <w:p>
      <w:pPr>
        <w:jc w:val="both"/>
        <w:spacing w:after="0" w:line="325" w:lineRule="auto"/>
        <w:rPr>
          <w:sz w:val="20"/>
          <w:szCs w:val="20"/>
          <w:color w:val="auto"/>
        </w:rPr>
      </w:pPr>
      <w:r>
        <w:rPr>
          <w:rFonts w:ascii="Arial" w:cs="Arial" w:eastAsia="Arial" w:hAnsi="Arial"/>
          <w:sz w:val="21"/>
          <w:szCs w:val="21"/>
          <w:color w:val="auto"/>
        </w:rPr>
        <w:t>of the Company. As used in this Agreement, “Confidential Information” means all information belonging to the Company or provided to the Company by a customer that is not known generally to the public or the Company’s competitors and includes all trade secrets, client lists and information related to client files, know-how, show-how, technical, operating, financial, and other business information and materials. Confidential Information shall not, however, include any general know-how or skills that you possess whether obtained through your employment at the Company or elsewhere. Confidential Information also does not include information that (i) is publicly known or becomes publicly known through no fault of yours, or (ii) is generally or readily obtainable by the public. You understand that your obligations related to Confidential Information are in addition to, and not in lieu of, your obligations with regard to the protection of the Company’s trade secrets under the law governing misappropriation of the Company’s trade secrets, and any other agreements you may have with the Company of similar subject matter.</w:t>
      </w:r>
    </w:p>
    <w:p>
      <w:pPr>
        <w:spacing w:after="0" w:line="223" w:lineRule="exact"/>
        <w:rPr>
          <w:sz w:val="20"/>
          <w:szCs w:val="20"/>
          <w:color w:val="auto"/>
        </w:rPr>
      </w:pPr>
    </w:p>
    <w:p>
      <w:pPr>
        <w:jc w:val="both"/>
        <w:ind w:right="40" w:firstLine="661"/>
        <w:spacing w:after="0" w:line="363" w:lineRule="auto"/>
        <w:rPr>
          <w:sz w:val="20"/>
          <w:szCs w:val="20"/>
          <w:color w:val="auto"/>
        </w:rPr>
      </w:pPr>
      <w:r>
        <w:rPr>
          <w:rFonts w:ascii="Arial" w:cs="Arial" w:eastAsia="Arial" w:hAnsi="Arial"/>
          <w:sz w:val="19"/>
          <w:szCs w:val="19"/>
          <w:color w:val="auto"/>
        </w:rPr>
        <w:t>You may not be held criminally or civilly liable under any Federal or State trade secret law for the disclosure of a trade secret that is made: (a) in confidence to a Federal, State, or local government official, either directly or indirectly, or to an attorney, and provided that such disclosure is solely for the purpose of reporting or investigating a suspected violation of the law; or (b) in a complaint or other document filed in a lawsuit or other proceeding, provided that such filing is made under seal. Additionally, in the event you file a lawsuit against the Company for retaliation by the Company against you for reporting a suspected violation of law, you understand that you have the right to provide trade secret information to your attorney and use the trade secret information in the court proceeding, although you must file any document containing the trade secret under seal and you may not disclose the trade secret, except pursuant to court order.</w:t>
      </w:r>
    </w:p>
    <w:p>
      <w:pPr>
        <w:spacing w:after="0" w:line="185" w:lineRule="exact"/>
        <w:rPr>
          <w:sz w:val="20"/>
          <w:szCs w:val="20"/>
          <w:color w:val="auto"/>
        </w:rPr>
      </w:pPr>
    </w:p>
    <w:p>
      <w:pPr>
        <w:jc w:val="both"/>
        <w:ind w:right="180" w:firstLine="648"/>
        <w:spacing w:after="0" w:line="366" w:lineRule="auto"/>
        <w:rPr>
          <w:sz w:val="20"/>
          <w:szCs w:val="20"/>
          <w:color w:val="auto"/>
        </w:rPr>
      </w:pPr>
      <w:r>
        <w:rPr>
          <w:rFonts w:ascii="Arial" w:cs="Arial" w:eastAsia="Arial" w:hAnsi="Arial"/>
          <w:sz w:val="19"/>
          <w:szCs w:val="19"/>
          <w:color w:val="auto"/>
        </w:rPr>
        <w:t>By signing this Agreement, you represent and warrant that you will not and have not disclosed any Confidential Information to a third party, or, except as permitted, consistent with Company policy, with respect to your personal mobile device(s) used for business purposes, sent/downloaded any Confidential Information to your personal email account(s), personal computer(s), personal mobile device(s), and/or external and removable thumb or flash drives. Insofar as you have printed any Confidential Information or sent/downloaded any Confidential Information on your personal mobile device(s), you represent and warrant that you have shredded and/or deleted all such information upon termination of your employment.</w:t>
      </w:r>
    </w:p>
    <w:p>
      <w:pPr>
        <w:sectPr>
          <w:pgSz w:w="11900" w:h="16838" w:orient="portrait"/>
          <w:cols w:equalWidth="0" w:num="1">
            <w:col w:w="9980"/>
          </w:cols>
          <w:pgMar w:left="880" w:top="1401" w:right="1039" w:bottom="1440" w:gutter="0" w:footer="0" w:header="0"/>
        </w:sectPr>
      </w:pPr>
    </w:p>
    <w:bookmarkStart w:id="71" w:name="page72"/>
    <w:bookmarkEnd w:id="71"/>
    <w:p>
      <w:pPr>
        <w:jc w:val="both"/>
        <w:ind w:left="20" w:right="80"/>
        <w:spacing w:after="0" w:line="360" w:lineRule="auto"/>
        <w:rPr>
          <w:sz w:val="20"/>
          <w:szCs w:val="20"/>
          <w:color w:val="auto"/>
        </w:rPr>
      </w:pPr>
      <w:r>
        <w:rPr>
          <w:rFonts w:ascii="Arial" w:cs="Arial" w:eastAsia="Arial" w:hAnsi="Arial"/>
          <w:sz w:val="19"/>
          <w:szCs w:val="19"/>
          <w:b w:val="1"/>
          <w:bCs w:val="1"/>
          <w:color w:val="auto"/>
        </w:rPr>
        <w:t>PROTECTED RIGHTS: Nothing in this Agreement is intended to waive claims: (i) for vested rights under ERISA-covered employee benefit plans as applicable on the date you sign this Agreement; (ii) that may arise after the parties sign this Agreement; or (iii) which cannot be released by private agreement. In addition, nothing in this Agreement including but not limited to the release of claims, cooperation, non-disparagement, covenant not to sue, acknowledgements and representations, shall be construed to waive your right to testify in an administrative, legislative, or judicial proceeding concerning alleged criminal conduct on the part of the Company, or on the part of the agents or employees of the Company, when you have been required or requested to attend such a proceeding pursuant to a court order, subpoena, or written request from an administrative agency or the legislature, or shall prevent you from filing a charge or complaint with or from participating in an investigation or proceeding conducted by the Equal Employment Opportunity Commission (EEOC), National Labor Relations Board (NLRB), or any other any federal, state or local agency charged with the enforcement of any laws, or from exercising rights under Section 7 of the National Labor Relations Act (NLRA) to engage in joint activity with other employee, although by signing this release you are waiving rights to individual relief based on claims asserted in such a charge or complaint, or asserted by any third-party on your behalf, except where such a waiver of individual relief is prohibited.</w:t>
      </w:r>
    </w:p>
    <w:p>
      <w:pPr>
        <w:spacing w:after="0" w:line="200" w:lineRule="exact"/>
        <w:rPr>
          <w:sz w:val="20"/>
          <w:szCs w:val="20"/>
          <w:color w:val="auto"/>
        </w:rPr>
      </w:pPr>
    </w:p>
    <w:p>
      <w:pPr>
        <w:spacing w:after="0" w:line="311" w:lineRule="exact"/>
        <w:rPr>
          <w:sz w:val="20"/>
          <w:szCs w:val="20"/>
          <w:color w:val="auto"/>
        </w:rPr>
      </w:pPr>
    </w:p>
    <w:p>
      <w:pPr>
        <w:jc w:val="both"/>
        <w:spacing w:after="0" w:line="312" w:lineRule="auto"/>
        <w:rPr>
          <w:sz w:val="20"/>
          <w:szCs w:val="20"/>
          <w:color w:val="auto"/>
        </w:rPr>
      </w:pPr>
      <w:r>
        <w:rPr>
          <w:rFonts w:ascii="Arial" w:cs="Arial" w:eastAsia="Arial" w:hAnsi="Arial"/>
          <w:sz w:val="22"/>
          <w:szCs w:val="22"/>
          <w:b w:val="1"/>
          <w:bCs w:val="1"/>
          <w:color w:val="auto"/>
        </w:rPr>
        <w:t>ALTHOUGH THE PARTIES MAY HAVE AGREED TO KEEP THIS AGREEMENT, ITS TERMS AND UNDERLYING DETAILS CONFIDENTIAL, SUCH A PROVISION IS UNENFORCEABLE AS TO THE UNDERLYING DETAILS OF ANY CLAIM OF HARASSMENT, DISCRIMINATION OR RETALIATION AND IS UNENFORCEABLE AGAINST THE EMPLOYER IF THE EMPLOYEE PUBLICLY REVEALS SUFFICIENT DETAILS OF THE CLAIM SO THAT THE EMPLOYER IS REASONABLY IDENTIFIABLE.</w:t>
      </w:r>
    </w:p>
    <w:p>
      <w:pPr>
        <w:spacing w:after="0" w:line="233" w:lineRule="exact"/>
        <w:rPr>
          <w:sz w:val="20"/>
          <w:szCs w:val="20"/>
          <w:color w:val="auto"/>
        </w:rPr>
      </w:pPr>
    </w:p>
    <w:p>
      <w:pPr>
        <w:jc w:val="both"/>
        <w:ind w:left="20" w:right="20" w:firstLine="645"/>
        <w:spacing w:after="0" w:line="327" w:lineRule="auto"/>
        <w:tabs>
          <w:tab w:leader="none" w:pos="1401"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No Recognition of Wrongdoing.</w:t>
      </w:r>
      <w:r>
        <w:rPr>
          <w:rFonts w:ascii="Arial" w:cs="Arial" w:eastAsia="Arial" w:hAnsi="Arial"/>
          <w:sz w:val="21"/>
          <w:szCs w:val="21"/>
          <w:color w:val="auto"/>
        </w:rPr>
        <w:t xml:space="preserve"> The signing of this Agreement and payment of the consideration described in it do not represent any admission of wrongdoing or violation of any statute, agreement, or common law by the Company. You represent that, as of the date(s) you sign this Agreement, you are not aware of and have not engaged in any activity that would constitute wrongful conduct including, but not limited to, fraud, misrepresentation, violation of any federal, state or local law or regulation, or any conduct contrary to existing policies of the Company. You further represent that you have complied with any existing obligations up through the date(s) of your signing this Agreement.</w:t>
      </w:r>
    </w:p>
    <w:p>
      <w:pPr>
        <w:sectPr>
          <w:pgSz w:w="11900" w:h="16838" w:orient="portrait"/>
          <w:cols w:equalWidth="0" w:num="1">
            <w:col w:w="10000"/>
          </w:cols>
          <w:pgMar w:left="860" w:top="1395" w:right="1039" w:bottom="1440" w:gutter="0" w:footer="0" w:header="0"/>
        </w:sectPr>
      </w:pPr>
    </w:p>
    <w:bookmarkStart w:id="72" w:name="page73"/>
    <w:bookmarkEnd w:id="72"/>
    <w:p>
      <w:pPr>
        <w:jc w:val="both"/>
        <w:ind w:left="-560" w:firstLine="645"/>
        <w:spacing w:after="0" w:line="324" w:lineRule="auto"/>
        <w:tabs>
          <w:tab w:leader="none" w:pos="821"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Confidentiality of Agreement</w:t>
      </w:r>
      <w:r>
        <w:rPr>
          <w:rFonts w:ascii="Arial" w:cs="Arial" w:eastAsia="Arial" w:hAnsi="Arial"/>
          <w:sz w:val="21"/>
          <w:szCs w:val="21"/>
          <w:color w:val="auto"/>
        </w:rPr>
        <w:t>. You agree that the terms and conditions of this Agreement are intended to remain strictly confidential between you and the Company. You have not and will not communicate this Agreement’s terms to any third party (including fellow employees), whether verbally or in writing, by any means, including by social media such as Twitter, Facebook, and the like. Any disclosure by you will cause the Company irreparable harm that money cannot undo. Accordingly, violation of this section will entitle the Company to temporary and permanent injunctive relief. You further agree that have not and you will not disclose the terms of this Agreement to any other person, excluding your attorney(s), accountant(s), and lender(s), and your spouse, if any, to the extent needed for legal advice, income tax reporting purposes, or other financial purposes, or as otherwise required by law. You agree that, to the extent you make any permissible disclosures to your spouse, you will instruct your spouse to keep the information strictly confidential, and you further agree that you will be in breach of this Agreement if they make any further disclosure of such information beyond the disclosures permitted in this paragraph.</w:t>
      </w:r>
    </w:p>
    <w:p>
      <w:pPr>
        <w:spacing w:after="0" w:line="232" w:lineRule="exact"/>
        <w:rPr>
          <w:rFonts w:ascii="Arial" w:cs="Arial" w:eastAsia="Arial" w:hAnsi="Arial"/>
          <w:sz w:val="21"/>
          <w:szCs w:val="21"/>
          <w:color w:val="auto"/>
        </w:rPr>
      </w:pPr>
    </w:p>
    <w:p>
      <w:pPr>
        <w:jc w:val="both"/>
        <w:ind w:left="-560" w:right="20" w:firstLine="645"/>
        <w:spacing w:after="0" w:line="362" w:lineRule="auto"/>
        <w:tabs>
          <w:tab w:leader="none" w:pos="821"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You agree that you will not knowingly make any disparaging and/or defamatory statements about the Company’s current or former customers, contractors, vendors or employees to the media or to any other person, including on social media. A disparaging statement is any communication that, if publicized, would cause or tend to cause the recipient of the communication to question the business condition, integrity, competence, good character, or product quality of the person or entity to whom the communication relates. You also agree not to knowingly make any defamatory statements about the Company to the media or to any other person, including on social media. However, nothing in this Agreement shall prohibit you from providing truthful disclosures to an appropriate government agency, arbitrator or court related to alleged violations of law. To the extent you are covered by Section 7 of the NLRA because you are an employee who is not in a supervisor or management role, nothing in this Agreement shall be construed to prohibit you from using information that you acquire regarding the wages, benefits, or other terms and conditions of employment at the Company for any purpose protected under the NLRA.</w:t>
      </w:r>
    </w:p>
    <w:p>
      <w:pPr>
        <w:spacing w:after="0" w:line="200" w:lineRule="exact"/>
        <w:rPr>
          <w:rFonts w:ascii="Arial" w:cs="Arial" w:eastAsia="Arial" w:hAnsi="Arial"/>
          <w:sz w:val="19"/>
          <w:szCs w:val="19"/>
          <w:color w:val="auto"/>
        </w:rPr>
      </w:pPr>
    </w:p>
    <w:p>
      <w:pPr>
        <w:spacing w:after="0" w:line="265" w:lineRule="exact"/>
        <w:rPr>
          <w:rFonts w:ascii="Arial" w:cs="Arial" w:eastAsia="Arial" w:hAnsi="Arial"/>
          <w:sz w:val="19"/>
          <w:szCs w:val="19"/>
          <w:color w:val="auto"/>
        </w:rPr>
      </w:pPr>
    </w:p>
    <w:p>
      <w:pPr>
        <w:jc w:val="both"/>
        <w:ind w:left="-560" w:right="20" w:firstLine="645"/>
        <w:spacing w:after="0" w:line="376" w:lineRule="auto"/>
        <w:tabs>
          <w:tab w:leader="none" w:pos="821"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No Pending Claims.</w:t>
      </w:r>
      <w:r>
        <w:rPr>
          <w:rFonts w:ascii="Arial" w:cs="Arial" w:eastAsia="Arial" w:hAnsi="Arial"/>
          <w:sz w:val="19"/>
          <w:szCs w:val="19"/>
          <w:color w:val="auto"/>
        </w:rPr>
        <w:t xml:space="preserve"> You represent and warrant that you have no charges, lawsuits, or actions pending in your name against any of the Released Parties relating to any claim that has been released in this Agreement. You also represent and warrant that you have not assigned or transferred to any third party any right or claim against any of the Released Parties that you have released in this Agreement.</w:t>
      </w:r>
    </w:p>
    <w:p>
      <w:pPr>
        <w:sectPr>
          <w:pgSz w:w="11900" w:h="16838" w:orient="portrait"/>
          <w:cols w:equalWidth="0" w:num="1">
            <w:col w:w="9420"/>
          </w:cols>
          <w:pgMar w:left="1440" w:top="1401" w:right="1039" w:bottom="1440" w:gutter="0" w:footer="0" w:header="0"/>
        </w:sectPr>
      </w:pPr>
    </w:p>
    <w:bookmarkStart w:id="73" w:name="page74"/>
    <w:bookmarkEnd w:id="73"/>
    <w:p>
      <w:pPr>
        <w:spacing w:after="0" w:line="164" w:lineRule="exact"/>
        <w:rPr>
          <w:sz w:val="20"/>
          <w:szCs w:val="20"/>
          <w:color w:val="auto"/>
        </w:rPr>
      </w:pPr>
    </w:p>
    <w:p>
      <w:pPr>
        <w:jc w:val="both"/>
        <w:ind w:left="-560" w:firstLine="644"/>
        <w:spacing w:after="0" w:line="363" w:lineRule="auto"/>
        <w:tabs>
          <w:tab w:leader="none" w:pos="82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Return of Materials.</w:t>
      </w:r>
      <w:r>
        <w:rPr>
          <w:rFonts w:ascii="Arial" w:cs="Arial" w:eastAsia="Arial" w:hAnsi="Arial"/>
          <w:sz w:val="19"/>
          <w:szCs w:val="19"/>
          <w:color w:val="auto"/>
        </w:rPr>
        <w:t xml:space="preserve"> No later than the Separation Date, you represent that you have returned to the Company, and have not retained in any form or format, all Company documents and other Company property that you had in your possession at any time. You also represent that, no later than the Separation Date, you have returned all Company laptops, iPads, iPhones, credit cards, entry cards, identification badges and keys, and all other Company equipment that you had in your possession at any time. You also represent that you have used good faith, reasonable efforts to permanently delete from any electronic media in your possession, custody, or control (such as computers, cell phones, hand-held devices, back-up devices, zip drives, PDAs, etc.), or to which you have access (such as remote e-mail exchange servers, back-up servers, off-site storage, etc.), all documents or electronically stored images containing Confidential Information of the Company.</w:t>
      </w:r>
    </w:p>
    <w:p>
      <w:pPr>
        <w:spacing w:after="0" w:line="198" w:lineRule="exact"/>
        <w:rPr>
          <w:rFonts w:ascii="Arial" w:cs="Arial" w:eastAsia="Arial" w:hAnsi="Arial"/>
          <w:sz w:val="19"/>
          <w:szCs w:val="19"/>
          <w:color w:val="auto"/>
        </w:rPr>
      </w:pPr>
    </w:p>
    <w:p>
      <w:pPr>
        <w:jc w:val="both"/>
        <w:ind w:left="-560" w:firstLine="645"/>
        <w:spacing w:after="0" w:line="360" w:lineRule="auto"/>
        <w:tabs>
          <w:tab w:leader="none" w:pos="813"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Remedies for Breach</w:t>
      </w:r>
      <w:r>
        <w:rPr>
          <w:rFonts w:ascii="Arial" w:cs="Arial" w:eastAsia="Arial" w:hAnsi="Arial"/>
          <w:sz w:val="19"/>
          <w:szCs w:val="19"/>
          <w:color w:val="auto"/>
        </w:rPr>
        <w:t>. If the Company determines that you have violated, breached, or are about to breach any provision of this Agreement, or if you bring an action against the Company in violation of this Agreement, or if you bring an action asking that the Agreement be declared invalid, void, or unenforceable (except for any protected claims under the ADEA), the Company may immediately cease any payments pursuant to this Agreement, and you shall be required to reimburse the Company for all amounts paid to you under this Agreement, except for $1,000 of the payment made under Section 1(a) of the Agreement. Any and all such disputes between you and the Company shall be resolved by binding arbitration in accordance with the Company’s arbitration policy that you agreed to as a condition of employment with the Company. Nothing in this Section shall be construed as prohibiting the Company from pursuing any remedies available to it for breach of the Agreement, including injunctive relief and the recovery of any damages that it is able to prove. By your signature below, you represent that as of the date that you execute this Agreement, you have not breached any obligations or covenants contained in this Agreement. Further, except in the case of a legal action by you challenging or seeking a determination in good faith of the validity of the ADEA waiver, if either party to this agreement brings an action to enforce its rights under this Agreement, the prevailing party will be entitled to recover its costs and expenses, including the costs of mediation, arbitration, litigation, court fees, and reasonable attorneys’ fees incurred in connection with such action.</w:t>
      </w:r>
    </w:p>
    <w:p>
      <w:pPr>
        <w:spacing w:after="0" w:line="268" w:lineRule="exact"/>
        <w:rPr>
          <w:rFonts w:ascii="Arial" w:cs="Arial" w:eastAsia="Arial" w:hAnsi="Arial"/>
          <w:sz w:val="19"/>
          <w:szCs w:val="19"/>
          <w:color w:val="auto"/>
        </w:rPr>
      </w:pPr>
    </w:p>
    <w:p>
      <w:pPr>
        <w:jc w:val="both"/>
        <w:ind w:left="-560" w:firstLine="645"/>
        <w:spacing w:after="0" w:line="314" w:lineRule="auto"/>
        <w:tabs>
          <w:tab w:leader="none" w:pos="821"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Controlling Law; Jurisdiction and Venue.</w:t>
      </w:r>
      <w:r>
        <w:rPr>
          <w:rFonts w:ascii="Arial" w:cs="Arial" w:eastAsia="Arial" w:hAnsi="Arial"/>
          <w:sz w:val="22"/>
          <w:szCs w:val="22"/>
          <w:color w:val="auto"/>
        </w:rPr>
        <w:t xml:space="preserve"> This Agreement shall be construed in accordance with and governed by the laws of the State of your employment, without reference to principles of conflict of laws that would require application of the law of another jurisdiction. The Company and you irrevocably consent solely to the jurisdiction of the federal</w:t>
      </w:r>
    </w:p>
    <w:p>
      <w:pPr>
        <w:sectPr>
          <w:pgSz w:w="11900" w:h="16838" w:orient="portrait"/>
          <w:cols w:equalWidth="0" w:num="1">
            <w:col w:w="9420"/>
          </w:cols>
          <w:pgMar w:left="1440" w:top="1440" w:right="1039" w:bottom="1440" w:gutter="0" w:footer="0" w:header="0"/>
        </w:sectPr>
      </w:pPr>
    </w:p>
    <w:bookmarkStart w:id="74" w:name="page75"/>
    <w:bookmarkEnd w:id="74"/>
    <w:p>
      <w:pPr>
        <w:ind w:right="20"/>
        <w:spacing w:after="0" w:line="327" w:lineRule="auto"/>
        <w:rPr>
          <w:sz w:val="20"/>
          <w:szCs w:val="20"/>
          <w:color w:val="auto"/>
        </w:rPr>
      </w:pPr>
      <w:r>
        <w:rPr>
          <w:rFonts w:ascii="Arial" w:cs="Arial" w:eastAsia="Arial" w:hAnsi="Arial"/>
          <w:sz w:val="22"/>
          <w:szCs w:val="22"/>
          <w:color w:val="auto"/>
        </w:rPr>
        <w:t>and state courts in the State of your employment for the resolution of any disputes arising under or respect to this Agreement.</w:t>
      </w:r>
    </w:p>
    <w:p>
      <w:pPr>
        <w:spacing w:after="0" w:line="215" w:lineRule="exact"/>
        <w:rPr>
          <w:sz w:val="20"/>
          <w:szCs w:val="20"/>
          <w:color w:val="auto"/>
        </w:rPr>
      </w:pPr>
    </w:p>
    <w:p>
      <w:pPr>
        <w:jc w:val="both"/>
        <w:ind w:left="80" w:right="40" w:firstLine="641"/>
        <w:spacing w:after="0" w:line="362" w:lineRule="auto"/>
        <w:tabs>
          <w:tab w:leader="none" w:pos="1380"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and any restrictive covenant and arbitration agreements and policies referenced in Sections 4 (Restrictive Covenants) and 11 (Remedies for Breach) of this Agreement, together (i) constitute the entire agreement between the Company and you regarding the separation of your employment, (ii) survive the termination of your employment, and (iii) supersede and cancel all prior and contemporaneous written and oral agreements, if any, except as specifically provided herein. You affirm that, by entering into this Agreement, you are not relying upon any other oral or written promise or statement made by anyone at any time on behalf of the Company. This Agreement may not be changed or altered, except by a writing signed by the Company and you. This Agreement may be executed, including execution by facsimile or electronically transmitted signature, in multiple counterparts, each of which will be deemed an original, and all of which together will be deemed to be one and the same instrument.</w:t>
      </w:r>
    </w:p>
    <w:p>
      <w:pPr>
        <w:spacing w:after="0" w:line="187" w:lineRule="exact"/>
        <w:rPr>
          <w:rFonts w:ascii="Arial" w:cs="Arial" w:eastAsia="Arial" w:hAnsi="Arial"/>
          <w:sz w:val="19"/>
          <w:szCs w:val="19"/>
          <w:color w:val="auto"/>
        </w:rPr>
      </w:pPr>
    </w:p>
    <w:p>
      <w:pPr>
        <w:jc w:val="both"/>
        <w:ind w:firstLine="645"/>
        <w:spacing w:after="0" w:line="338" w:lineRule="auto"/>
        <w:tabs>
          <w:tab w:leader="none" w:pos="1381"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of the provisions, terms or clauses of this Agreement are declared illegal, unenforceable, or ineffective, those provisions, terms and clauses shall be deemed severable, and all other provisions, terms and clauses of this Agreement shall remain valid and binding upon both parties.</w:t>
      </w:r>
    </w:p>
    <w:p>
      <w:pPr>
        <w:spacing w:after="0" w:line="154" w:lineRule="exact"/>
        <w:rPr>
          <w:rFonts w:ascii="Arial" w:cs="Arial" w:eastAsia="Arial" w:hAnsi="Arial"/>
          <w:sz w:val="21"/>
          <w:szCs w:val="21"/>
          <w:color w:val="auto"/>
        </w:rPr>
      </w:pPr>
    </w:p>
    <w:p>
      <w:pPr>
        <w:jc w:val="both"/>
        <w:ind w:firstLine="645"/>
        <w:spacing w:after="0" w:line="386" w:lineRule="auto"/>
        <w:tabs>
          <w:tab w:leader="none" w:pos="1381"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Representation.</w:t>
      </w:r>
      <w:r>
        <w:rPr>
          <w:rFonts w:ascii="Arial" w:cs="Arial" w:eastAsia="Arial" w:hAnsi="Arial"/>
          <w:sz w:val="19"/>
          <w:szCs w:val="19"/>
          <w:color w:val="auto"/>
        </w:rPr>
        <w:t xml:space="preserve"> You agree that no promise or inducement has been offered except as set forth in this Agreement, and that you are signing this Agreement without reliance upon any statement or representation by the Company or any representative or agent of the Company except as set forth in this Agreement.</w:t>
      </w:r>
    </w:p>
    <w:p>
      <w:pPr>
        <w:spacing w:after="0" w:line="161" w:lineRule="exact"/>
        <w:rPr>
          <w:sz w:val="20"/>
          <w:szCs w:val="20"/>
          <w:color w:val="auto"/>
        </w:rPr>
      </w:pPr>
    </w:p>
    <w:p>
      <w:pPr>
        <w:ind w:right="20"/>
        <w:spacing w:after="0" w:line="317" w:lineRule="auto"/>
        <w:rPr>
          <w:sz w:val="20"/>
          <w:szCs w:val="20"/>
          <w:color w:val="auto"/>
        </w:rPr>
      </w:pPr>
      <w:r>
        <w:rPr>
          <w:rFonts w:ascii="Arial" w:cs="Arial" w:eastAsia="Arial" w:hAnsi="Arial"/>
          <w:sz w:val="22"/>
          <w:szCs w:val="22"/>
          <w:color w:val="auto"/>
        </w:rPr>
        <w:t>I HAVE CAREFULLY READ AND FULLY UNDERSTAND AND VOLUNTARILY AGREE TO ALL THE TERMS OF THIS CONFIDENTIAL SEPARATION AGREEMENT AND RELEASE IN EXCHANGE FOR THE ADDITIONAL BENEFITS TO WHICH I WOULD OTHERWISE NOT BE ENTITLED.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w:t>
      </w:r>
    </w:p>
    <w:p>
      <w:pPr>
        <w:spacing w:after="0" w:line="187" w:lineRule="exact"/>
        <w:rPr>
          <w:sz w:val="20"/>
          <w:szCs w:val="20"/>
          <w:color w:val="auto"/>
        </w:rPr>
      </w:pPr>
    </w:p>
    <w:p>
      <w:pPr>
        <w:ind w:left="100"/>
        <w:spacing w:after="0"/>
        <w:tabs>
          <w:tab w:leader="none" w:pos="3740" w:val="left"/>
        </w:tabs>
        <w:rPr>
          <w:sz w:val="20"/>
          <w:szCs w:val="20"/>
          <w:color w:val="auto"/>
        </w:rPr>
      </w:pPr>
      <w:r>
        <w:rPr>
          <w:rFonts w:ascii="Arial" w:cs="Arial" w:eastAsia="Arial" w:hAnsi="Arial"/>
          <w:sz w:val="22"/>
          <w:szCs w:val="22"/>
          <w:color w:val="auto"/>
        </w:rPr>
        <w:t>________________________________</w:t>
      </w:r>
      <w:r>
        <w:rPr>
          <w:sz w:val="20"/>
          <w:szCs w:val="20"/>
          <w:color w:val="auto"/>
        </w:rPr>
        <w:tab/>
      </w:r>
      <w:r>
        <w:rPr>
          <w:rFonts w:ascii="Arial" w:cs="Arial" w:eastAsia="Arial" w:hAnsi="Arial"/>
          <w:sz w:val="19"/>
          <w:szCs w:val="19"/>
          <w:color w:val="auto"/>
        </w:rPr>
        <w:t>CLOVER HEALTH INVESTMENTS, CORP.</w:t>
      </w:r>
    </w:p>
    <w:p>
      <w:pPr>
        <w:ind w:left="100"/>
        <w:spacing w:after="0"/>
        <w:rPr>
          <w:sz w:val="20"/>
          <w:szCs w:val="20"/>
          <w:color w:val="auto"/>
        </w:rPr>
      </w:pPr>
      <w:r>
        <w:rPr>
          <w:rFonts w:ascii="Arial" w:cs="Arial" w:eastAsia="Arial" w:hAnsi="Arial"/>
          <w:sz w:val="22"/>
          <w:szCs w:val="22"/>
          <w:color w:val="auto"/>
        </w:rPr>
        <w:t>Employee Name</w:t>
      </w:r>
    </w:p>
    <w:p>
      <w:pPr>
        <w:sectPr>
          <w:pgSz w:w="11900" w:h="16838" w:orient="portrait"/>
          <w:cols w:equalWidth="0" w:num="1">
            <w:col w:w="9980"/>
          </w:cols>
          <w:pgMar w:left="880" w:top="1401" w:right="1039" w:bottom="1440" w:gutter="0" w:footer="0" w:header="0"/>
        </w:sectPr>
      </w:pPr>
    </w:p>
    <w:bookmarkStart w:id="75" w:name="page76"/>
    <w:bookmarkEnd w:id="75"/>
    <w:p>
      <w:pPr>
        <w:ind w:left="100"/>
        <w:spacing w:after="0"/>
        <w:tabs>
          <w:tab w:leader="none" w:pos="3740" w:val="left"/>
        </w:tabs>
        <w:rPr>
          <w:sz w:val="20"/>
          <w:szCs w:val="20"/>
          <w:color w:val="auto"/>
        </w:rPr>
      </w:pPr>
      <w:r>
        <w:rPr>
          <w:rFonts w:ascii="Arial" w:cs="Arial" w:eastAsia="Arial" w:hAnsi="Arial"/>
          <w:sz w:val="22"/>
          <w:szCs w:val="22"/>
          <w:color w:val="auto"/>
        </w:rPr>
        <w:t>________________________________</w:t>
      </w:r>
      <w:r>
        <w:rPr>
          <w:sz w:val="20"/>
          <w:szCs w:val="20"/>
          <w:color w:val="auto"/>
        </w:rPr>
        <w:tab/>
      </w:r>
      <w:r>
        <w:rPr>
          <w:rFonts w:ascii="Arial" w:cs="Arial" w:eastAsia="Arial" w:hAnsi="Arial"/>
          <w:sz w:val="19"/>
          <w:szCs w:val="19"/>
          <w:color w:val="auto"/>
        </w:rPr>
        <w:t>By: __________________________________</w:t>
      </w:r>
    </w:p>
    <w:p>
      <w:pPr>
        <w:ind w:left="100"/>
        <w:spacing w:after="0"/>
        <w:tabs>
          <w:tab w:leader="none" w:pos="1180" w:val="left"/>
        </w:tabs>
        <w:rPr>
          <w:sz w:val="20"/>
          <w:szCs w:val="20"/>
          <w:color w:val="auto"/>
        </w:rPr>
      </w:pPr>
      <w:r>
        <w:rPr>
          <w:rFonts w:ascii="Arial" w:cs="Arial" w:eastAsia="Arial" w:hAnsi="Arial"/>
          <w:sz w:val="22"/>
          <w:szCs w:val="22"/>
          <w:color w:val="auto"/>
        </w:rPr>
        <w:t>Signature</w:t>
        <w:tab/>
        <w:t>Signature</w:t>
      </w:r>
    </w:p>
    <w:p>
      <w:pPr>
        <w:spacing w:after="0" w:line="188"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__________________________________</w:t>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Name</w:t>
      </w:r>
    </w:p>
    <w:p>
      <w:pPr>
        <w:spacing w:after="0" w:line="177"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__________________________________</w:t>
      </w:r>
    </w:p>
    <w:p>
      <w:pPr>
        <w:jc w:val="center"/>
        <w:ind w:right="-100"/>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9579"/>
          </w:cols>
          <w:pgMar w:left="880" w:top="1328" w:right="1440" w:bottom="1440" w:gutter="0" w:footer="0" w:header="0"/>
        </w:sectPr>
      </w:pPr>
    </w:p>
    <w:bookmarkStart w:id="76" w:name="page77"/>
    <w:bookmarkEnd w:id="76"/>
    <w:p>
      <w:pPr>
        <w:jc w:val="center"/>
        <w:ind w:right="140"/>
        <w:spacing w:after="0"/>
        <w:rPr>
          <w:sz w:val="20"/>
          <w:szCs w:val="20"/>
          <w:color w:val="auto"/>
        </w:rPr>
      </w:pPr>
      <w:r>
        <w:rPr>
          <w:rFonts w:ascii="Arial" w:cs="Arial" w:eastAsia="Arial" w:hAnsi="Arial"/>
          <w:sz w:val="20"/>
          <w:szCs w:val="20"/>
          <w:b w:val="1"/>
          <w:bCs w:val="1"/>
          <w:color w:val="auto"/>
        </w:rPr>
        <w:t>ATTACHMENT B</w:t>
      </w:r>
    </w:p>
    <w:p>
      <w:pPr>
        <w:spacing w:after="0" w:line="186" w:lineRule="exact"/>
        <w:rPr>
          <w:sz w:val="20"/>
          <w:szCs w:val="20"/>
          <w:color w:val="auto"/>
        </w:rPr>
      </w:pPr>
    </w:p>
    <w:p>
      <w:pPr>
        <w:jc w:val="center"/>
        <w:ind w:right="140"/>
        <w:spacing w:after="0"/>
        <w:rPr>
          <w:sz w:val="20"/>
          <w:szCs w:val="20"/>
          <w:color w:val="auto"/>
        </w:rPr>
      </w:pPr>
      <w:r>
        <w:rPr>
          <w:rFonts w:ascii="Arial" w:cs="Arial" w:eastAsia="Arial" w:hAnsi="Arial"/>
          <w:sz w:val="25"/>
          <w:szCs w:val="25"/>
          <w:b w:val="1"/>
          <w:bCs w:val="1"/>
          <w:color w:val="auto"/>
        </w:rPr>
        <w:t>Nondisclosure, Confidentiality, and Nonsolicitation Agreement</w:t>
      </w:r>
    </w:p>
    <w:p>
      <w:pPr>
        <w:spacing w:after="0" w:line="298" w:lineRule="exact"/>
        <w:rPr>
          <w:sz w:val="20"/>
          <w:szCs w:val="20"/>
          <w:color w:val="auto"/>
        </w:rPr>
      </w:pPr>
    </w:p>
    <w:p>
      <w:pPr>
        <w:jc w:val="both"/>
        <w:ind w:firstLine="357"/>
        <w:spacing w:after="0" w:line="299" w:lineRule="auto"/>
        <w:rPr>
          <w:sz w:val="20"/>
          <w:szCs w:val="20"/>
          <w:color w:val="auto"/>
        </w:rPr>
      </w:pPr>
      <w:r>
        <w:rPr>
          <w:rFonts w:ascii="Arial" w:cs="Arial" w:eastAsia="Arial" w:hAnsi="Arial"/>
          <w:sz w:val="21"/>
          <w:szCs w:val="21"/>
          <w:color w:val="auto"/>
        </w:rPr>
        <w:t>In consideration of my employment or the continuation of my employment by Clover Health or any of its successors, assigns, affiliates or subsidiary companies (each hereinafter referred to as the "Company"), I agree as follows:</w:t>
      </w:r>
    </w:p>
    <w:p>
      <w:pPr>
        <w:spacing w:after="0" w:line="191" w:lineRule="exact"/>
        <w:rPr>
          <w:sz w:val="20"/>
          <w:szCs w:val="20"/>
          <w:color w:val="auto"/>
        </w:rPr>
      </w:pPr>
    </w:p>
    <w:p>
      <w:pPr>
        <w:ind w:left="240" w:hanging="223"/>
        <w:spacing w:after="0"/>
        <w:tabs>
          <w:tab w:leader="none" w:pos="24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TRADE SECRETS AND CONFIDENTIAL INFORMATION</w:t>
      </w:r>
      <w:r>
        <w:rPr>
          <w:rFonts w:ascii="Arial" w:cs="Arial" w:eastAsia="Arial" w:hAnsi="Arial"/>
          <w:sz w:val="21"/>
          <w:szCs w:val="21"/>
          <w:color w:val="auto"/>
        </w:rPr>
        <w:t>.</w:t>
      </w:r>
    </w:p>
    <w:p>
      <w:pPr>
        <w:spacing w:after="0" w:line="352" w:lineRule="exact"/>
        <w:rPr>
          <w:rFonts w:ascii="Arial" w:cs="Arial" w:eastAsia="Arial" w:hAnsi="Arial"/>
          <w:sz w:val="21"/>
          <w:szCs w:val="21"/>
          <w:color w:val="auto"/>
        </w:rPr>
      </w:pPr>
    </w:p>
    <w:p>
      <w:pPr>
        <w:jc w:val="both"/>
        <w:ind w:left="340" w:hanging="317"/>
        <w:spacing w:after="0" w:line="325" w:lineRule="auto"/>
        <w:tabs>
          <w:tab w:leader="none" w:pos="32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Confidentiality and Confidential Information.</w:t>
      </w:r>
      <w:r>
        <w:rPr>
          <w:rFonts w:ascii="Arial" w:cs="Arial" w:eastAsia="Arial" w:hAnsi="Arial"/>
          <w:sz w:val="20"/>
          <w:szCs w:val="20"/>
          <w:color w:val="auto"/>
        </w:rPr>
        <w:t xml:space="preserve"> I acknowledge that during the course of my employment, I will obtain, receive or gain access to certain valuable, proprietary or confidential information of the Company, its vendors, suppliers, customers, and its/their affiliates and/or subsidiaries, that is not otherwise generally known to the public, relating or pertaining to the Company's business, projects, products, customers, suppliers, inventions or trade secrets, including but not limited to: business and financial information; Company techniques, operations and methods of conducting business; computer programs, software and code, flowcharts, architecture, data structures, and data reporting methodologies; unpublished know how, whether patented or unpatented; customer names, addresses, buying habits, needs and the methods of fulfilling those needs; supplier names, addresses and pricing policies; information regarding the skills, ability and compensation of other employees; and Company pricing policies, profit margins, marketing strategies and research projects or developments relating to any aspect of the present or actual anticipated business of the Company (hereinafter collectively the “Confidential Information”). I further acknowledge that such Confidential Information may be in oral, written or electronic form and need not be marked or identified as “confidential.” I promise and agree that during my employment with the Company and at all times thereafter, I shall hold in strictest confidence and shall not publish, disclose or communicate any Confidential Information to any person or entity, except as required in connection with my work for the Company, and I shall not use or acquire for my own purposes or the purposes of any others, including any future employers or companies, any Confidential Information of the Company without the prior written approval of a duly authorized officer of the Company.</w:t>
      </w:r>
    </w:p>
    <w:p>
      <w:pPr>
        <w:spacing w:after="0" w:line="226" w:lineRule="exact"/>
        <w:rPr>
          <w:rFonts w:ascii="Arial" w:cs="Arial" w:eastAsia="Arial" w:hAnsi="Arial"/>
          <w:sz w:val="20"/>
          <w:szCs w:val="20"/>
          <w:color w:val="auto"/>
        </w:rPr>
      </w:pPr>
    </w:p>
    <w:p>
      <w:pPr>
        <w:jc w:val="both"/>
        <w:ind w:left="340" w:hanging="312"/>
        <w:spacing w:after="0" w:line="296" w:lineRule="auto"/>
        <w:tabs>
          <w:tab w:leader="none" w:pos="335"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Confidentiality of Protected Health Information.</w:t>
      </w:r>
      <w:r>
        <w:rPr>
          <w:rFonts w:ascii="Arial" w:cs="Arial" w:eastAsia="Arial" w:hAnsi="Arial"/>
          <w:sz w:val="21"/>
          <w:szCs w:val="21"/>
          <w:color w:val="auto"/>
        </w:rPr>
        <w:t xml:space="preserve"> The definition of “Confidential Information” includes Protected Health Information (“PHI”) as the Health Insurance Portability and Accountability Act of 1996 (“HIPAA”) defines it. During their employment, Company employees may access, use, create, receive, transmit, maintain, and/or disclose PHI. In addition, employees will receive training on HIPAA and will have access to and review Company HIPAA policies that set forth confidentiality protections that all Company employees must adhere to in regard to the access, use and/or disclosure of PHI. I agree to comply with all Company, Inc. policies governing the confidentiality and protection of PHI and am responsible for preserving the confidentiality of PHI and Individually Identifiable Health Information (“IIHI”).</w:t>
      </w:r>
    </w:p>
    <w:p>
      <w:pPr>
        <w:spacing w:after="0" w:line="236" w:lineRule="exact"/>
        <w:rPr>
          <w:rFonts w:ascii="Arial" w:cs="Arial" w:eastAsia="Arial" w:hAnsi="Arial"/>
          <w:sz w:val="21"/>
          <w:szCs w:val="21"/>
          <w:color w:val="auto"/>
        </w:rPr>
      </w:pPr>
    </w:p>
    <w:p>
      <w:pPr>
        <w:ind w:left="340" w:hanging="317"/>
        <w:spacing w:after="0" w:line="302" w:lineRule="auto"/>
        <w:tabs>
          <w:tab w:leader="none" w:pos="329"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Trade Secret Employee Notice Provision.</w:t>
      </w:r>
      <w:r>
        <w:rPr>
          <w:rFonts w:ascii="Arial" w:cs="Arial" w:eastAsia="Arial" w:hAnsi="Arial"/>
          <w:sz w:val="21"/>
          <w:szCs w:val="21"/>
          <w:color w:val="auto"/>
        </w:rPr>
        <w:t xml:space="preserve"> An employee shall not be held criminally or civilly liable under any Federal or State trade secret law for the disclosure of a trade secret that is</w:t>
      </w:r>
    </w:p>
    <w:p>
      <w:pPr>
        <w:sectPr>
          <w:pgSz w:w="11900" w:h="16838" w:orient="portrait"/>
          <w:cols w:equalWidth="0" w:num="1">
            <w:col w:w="10540"/>
          </w:cols>
          <w:pgMar w:left="740" w:top="962" w:right="619" w:bottom="1440" w:gutter="0" w:footer="0" w:header="0"/>
        </w:sectPr>
      </w:pPr>
    </w:p>
    <w:bookmarkStart w:id="77" w:name="page78"/>
    <w:bookmarkEnd w:id="77"/>
    <w:p>
      <w:pPr>
        <w:jc w:val="both"/>
        <w:ind w:left="555" w:right="20"/>
        <w:spacing w:after="0" w:line="297" w:lineRule="auto"/>
        <w:rPr>
          <w:sz w:val="20"/>
          <w:szCs w:val="20"/>
          <w:color w:val="auto"/>
        </w:rPr>
      </w:pPr>
      <w:r>
        <w:rPr>
          <w:rFonts w:ascii="Arial" w:cs="Arial" w:eastAsia="Arial" w:hAnsi="Arial"/>
          <w:sz w:val="21"/>
          <w:szCs w:val="21"/>
          <w:color w:val="auto"/>
        </w:rPr>
        <w:t>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employee who files a lawsuit for retaliation for</w:t>
      </w:r>
    </w:p>
    <w:p>
      <w:pPr>
        <w:spacing w:after="0" w:line="4" w:lineRule="exact"/>
        <w:rPr>
          <w:sz w:val="20"/>
          <w:szCs w:val="20"/>
          <w:color w:val="auto"/>
        </w:rPr>
      </w:pPr>
    </w:p>
    <w:p>
      <w:pPr>
        <w:jc w:val="both"/>
        <w:ind w:left="555" w:right="20" w:firstLine="7"/>
        <w:spacing w:after="0" w:line="295" w:lineRule="auto"/>
        <w:rPr>
          <w:sz w:val="20"/>
          <w:szCs w:val="20"/>
          <w:color w:val="auto"/>
        </w:rPr>
      </w:pPr>
      <w:r>
        <w:rPr>
          <w:rFonts w:ascii="Arial" w:cs="Arial" w:eastAsia="Arial" w:hAnsi="Arial"/>
          <w:sz w:val="21"/>
          <w:szCs w:val="21"/>
          <w:color w:val="auto"/>
        </w:rPr>
        <w:t>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 w:lineRule="exact"/>
        <w:rPr>
          <w:sz w:val="20"/>
          <w:szCs w:val="20"/>
          <w:color w:val="auto"/>
        </w:rPr>
      </w:pPr>
    </w:p>
    <w:p>
      <w:pPr>
        <w:jc w:val="both"/>
        <w:ind w:left="555" w:right="20" w:hanging="317"/>
        <w:spacing w:after="0" w:line="299" w:lineRule="auto"/>
        <w:tabs>
          <w:tab w:leader="none" w:pos="544"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Prevention of Unauthorized Release of Company Confidential Information</w:t>
      </w:r>
      <w:r>
        <w:rPr>
          <w:rFonts w:ascii="Arial" w:cs="Arial" w:eastAsia="Arial" w:hAnsi="Arial"/>
          <w:sz w:val="21"/>
          <w:szCs w:val="21"/>
          <w:color w:val="auto"/>
        </w:rPr>
        <w:t>. I agree to take reasonable measures to prevent unauthorized persons or entities from having access to, obtaining or being furnished with any Company Confidential Information in my possession.</w:t>
      </w:r>
    </w:p>
    <w:p>
      <w:pPr>
        <w:spacing w:after="0" w:line="231" w:lineRule="exact"/>
        <w:rPr>
          <w:rFonts w:ascii="Arial" w:cs="Arial" w:eastAsia="Arial" w:hAnsi="Arial"/>
          <w:sz w:val="21"/>
          <w:szCs w:val="21"/>
          <w:color w:val="auto"/>
        </w:rPr>
      </w:pPr>
    </w:p>
    <w:p>
      <w:pPr>
        <w:jc w:val="both"/>
        <w:ind w:left="555" w:right="20" w:hanging="317"/>
        <w:spacing w:after="0" w:line="297" w:lineRule="auto"/>
        <w:tabs>
          <w:tab w:leader="none" w:pos="544"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Confidential Information of Third Parties.</w:t>
      </w:r>
      <w:r>
        <w:rPr>
          <w:rFonts w:ascii="Arial" w:cs="Arial" w:eastAsia="Arial" w:hAnsi="Arial"/>
          <w:sz w:val="21"/>
          <w:szCs w:val="21"/>
          <w:color w:val="auto"/>
        </w:rPr>
        <w:t xml:space="preserve"> I agree to preserve as confidential any information that I learn or obtain in connection with my employment from a third party or relating to a third party, such as a client or customer, that is not readily available to the public and to treat such information as though it were Company Confidential Information.</w:t>
      </w:r>
    </w:p>
    <w:p>
      <w:pPr>
        <w:spacing w:after="0" w:line="235" w:lineRule="exact"/>
        <w:rPr>
          <w:rFonts w:ascii="Arial" w:cs="Arial" w:eastAsia="Arial" w:hAnsi="Arial"/>
          <w:sz w:val="21"/>
          <w:szCs w:val="21"/>
          <w:color w:val="auto"/>
        </w:rPr>
      </w:pPr>
    </w:p>
    <w:p>
      <w:pPr>
        <w:jc w:val="both"/>
        <w:ind w:left="555" w:right="40" w:hanging="323"/>
        <w:spacing w:after="0" w:line="299" w:lineRule="auto"/>
        <w:tabs>
          <w:tab w:leader="none" w:pos="552"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Confidential Information of Former Employers.</w:t>
      </w:r>
      <w:r>
        <w:rPr>
          <w:rFonts w:ascii="Arial" w:cs="Arial" w:eastAsia="Arial" w:hAnsi="Arial"/>
          <w:sz w:val="21"/>
          <w:szCs w:val="21"/>
          <w:color w:val="auto"/>
        </w:rPr>
        <w:t xml:space="preserve"> I agree not to disclose to the Company and not to use in any way in connection with my employment therewith any proprietary confidential information or trade secrets of any kind, or any embodiments thereof, of any previous employer or other third party.</w:t>
      </w:r>
    </w:p>
    <w:p>
      <w:pPr>
        <w:spacing w:after="0" w:line="244" w:lineRule="exact"/>
        <w:rPr>
          <w:rFonts w:ascii="Arial" w:cs="Arial" w:eastAsia="Arial" w:hAnsi="Arial"/>
          <w:sz w:val="21"/>
          <w:szCs w:val="21"/>
          <w:color w:val="auto"/>
        </w:rPr>
      </w:pPr>
    </w:p>
    <w:p>
      <w:pPr>
        <w:jc w:val="both"/>
        <w:ind w:left="555" w:right="20" w:hanging="316"/>
        <w:spacing w:after="0" w:line="296" w:lineRule="auto"/>
        <w:tabs>
          <w:tab w:leader="none" w:pos="552"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xml:space="preserve"> I agree that, upon termination of my employment with the Company (voluntary or otherwise), or as otherwise requested by the Company, I will promptly return to the Company all Confidential Information and all things belonging to the Company, including all tools, equipment, devices or property of the Company, and that all documents, records, notebooks and tangible articles containing or embodying any Confidential Information, including copies thereof and whether stored in paper, electronic, magnetic or other form, then in my possession or control, whether prepared by me or others, will be left with the Company.</w:t>
      </w:r>
    </w:p>
    <w:p>
      <w:pPr>
        <w:spacing w:after="0" w:line="251" w:lineRule="exact"/>
        <w:rPr>
          <w:rFonts w:ascii="Arial" w:cs="Arial" w:eastAsia="Arial" w:hAnsi="Arial"/>
          <w:sz w:val="21"/>
          <w:szCs w:val="21"/>
          <w:color w:val="auto"/>
        </w:rPr>
      </w:pPr>
    </w:p>
    <w:p>
      <w:pPr>
        <w:ind w:left="555" w:right="80" w:hanging="311"/>
        <w:spacing w:after="0" w:line="311" w:lineRule="auto"/>
        <w:tabs>
          <w:tab w:leader="none" w:pos="550"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Exit Interview</w:t>
      </w:r>
      <w:r>
        <w:rPr>
          <w:rFonts w:ascii="Arial" w:cs="Arial" w:eastAsia="Arial" w:hAnsi="Arial"/>
          <w:sz w:val="21"/>
          <w:szCs w:val="21"/>
          <w:color w:val="auto"/>
        </w:rPr>
        <w:t>. In consideration of my employment with the Company, I agree that, upon termination of my employment with the Company (voluntary or otherwise), I will attend an exit interview and execute a Termination Certificate in a form substantially similar as that attached hereto as “Exhibit A”, and understand the Company may notify my new employer of this Agreement.</w:t>
      </w:r>
    </w:p>
    <w:p>
      <w:pPr>
        <w:spacing w:after="0" w:line="179" w:lineRule="exact"/>
        <w:rPr>
          <w:rFonts w:ascii="Arial" w:cs="Arial" w:eastAsia="Arial" w:hAnsi="Arial"/>
          <w:sz w:val="21"/>
          <w:szCs w:val="21"/>
          <w:color w:val="auto"/>
        </w:rPr>
      </w:pPr>
    </w:p>
    <w:p>
      <w:pPr>
        <w:ind w:left="235" w:hanging="235"/>
        <w:spacing w:after="0"/>
        <w:tabs>
          <w:tab w:leader="none" w:pos="235"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DUTY OF LOYALTY, NON-SOLICITATION, and NONDISPARAGEMENT</w:t>
      </w:r>
    </w:p>
    <w:p>
      <w:pPr>
        <w:spacing w:after="0" w:line="352" w:lineRule="exact"/>
        <w:rPr>
          <w:rFonts w:ascii="Arial" w:cs="Arial" w:eastAsia="Arial" w:hAnsi="Arial"/>
          <w:sz w:val="21"/>
          <w:szCs w:val="21"/>
          <w:color w:val="auto"/>
        </w:rPr>
      </w:pPr>
    </w:p>
    <w:p>
      <w:pPr>
        <w:jc w:val="both"/>
        <w:ind w:left="555" w:hanging="317"/>
        <w:spacing w:after="0" w:line="299" w:lineRule="auto"/>
        <w:tabs>
          <w:tab w:leader="none" w:pos="545"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Duty of Loyalty</w:t>
      </w:r>
      <w:r>
        <w:rPr>
          <w:rFonts w:ascii="Arial" w:cs="Arial" w:eastAsia="Arial" w:hAnsi="Arial"/>
          <w:sz w:val="21"/>
          <w:szCs w:val="21"/>
          <w:color w:val="auto"/>
        </w:rPr>
        <w:t>. I agree that at all times during my employment with the Company, I will not, without the Company’s express written consent, engage in any employment or business activity that is competitive with or that would otherwise conflict with the business of the</w:t>
      </w:r>
    </w:p>
    <w:p>
      <w:pPr>
        <w:sectPr>
          <w:pgSz w:w="11900" w:h="16838" w:orient="portrait"/>
          <w:cols w:equalWidth="0" w:num="1">
            <w:col w:w="10775"/>
          </w:cols>
          <w:pgMar w:left="525" w:top="1032" w:right="599" w:bottom="1440" w:gutter="0" w:footer="0" w:header="0"/>
        </w:sectPr>
      </w:pPr>
    </w:p>
    <w:bookmarkStart w:id="78" w:name="page79"/>
    <w:bookmarkEnd w:id="78"/>
    <w:p>
      <w:pPr>
        <w:ind w:left="600" w:right="20"/>
        <w:spacing w:after="0" w:line="302" w:lineRule="auto"/>
        <w:rPr>
          <w:sz w:val="20"/>
          <w:szCs w:val="20"/>
          <w:color w:val="auto"/>
        </w:rPr>
      </w:pPr>
      <w:r>
        <w:rPr>
          <w:rFonts w:ascii="Arial" w:cs="Arial" w:eastAsia="Arial" w:hAnsi="Arial"/>
          <w:sz w:val="21"/>
          <w:szCs w:val="21"/>
          <w:color w:val="auto"/>
        </w:rPr>
        <w:t>Company, nor will I engage in any other activities that may conflict with my obligations or duty of loyalty to the Company.</w:t>
      </w:r>
    </w:p>
    <w:p>
      <w:pPr>
        <w:spacing w:after="0" w:line="229" w:lineRule="exact"/>
        <w:rPr>
          <w:sz w:val="20"/>
          <w:szCs w:val="20"/>
          <w:color w:val="auto"/>
        </w:rPr>
      </w:pPr>
    </w:p>
    <w:p>
      <w:pPr>
        <w:jc w:val="both"/>
        <w:ind w:left="600" w:hanging="312"/>
        <w:spacing w:after="0" w:line="297" w:lineRule="auto"/>
        <w:tabs>
          <w:tab w:leader="none" w:pos="589"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Obligations to Prior Employers or Others</w:t>
      </w:r>
      <w:r>
        <w:rPr>
          <w:rFonts w:ascii="Arial" w:cs="Arial" w:eastAsia="Arial" w:hAnsi="Arial"/>
          <w:sz w:val="21"/>
          <w:szCs w:val="21"/>
          <w:color w:val="auto"/>
        </w:rPr>
        <w:t>. Except for those described below (if any), I do not have any non-disclosure, non-compete or other obligations to any previous employer or other person or entity that would conflict with my obligations under this Agreement or the performance of my duties for the Company. I have previously provided copies of each of the agreements described below, if any, to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LIST ANY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62356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120015</wp:posOffset>
            </wp:positionV>
            <wp:extent cx="562356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265430</wp:posOffset>
            </wp:positionV>
            <wp:extent cx="562356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411480</wp:posOffset>
            </wp:positionV>
            <wp:extent cx="562356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548640</wp:posOffset>
            </wp:positionV>
            <wp:extent cx="562356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562356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2356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00" w:hanging="317"/>
        <w:spacing w:after="0" w:line="314" w:lineRule="auto"/>
        <w:tabs>
          <w:tab w:leader="none" w:pos="599" w:val="left"/>
        </w:tabs>
        <w:numPr>
          <w:ilvl w:val="1"/>
          <w:numId w:val="58"/>
        </w:numPr>
        <w:rPr>
          <w:rFonts w:ascii="Arial" w:cs="Arial" w:eastAsia="Arial" w:hAnsi="Arial"/>
          <w:sz w:val="20"/>
          <w:szCs w:val="20"/>
          <w:color w:val="auto"/>
        </w:rPr>
      </w:pPr>
      <w:r>
        <w:rPr>
          <w:rFonts w:ascii="Arial" w:cs="Arial" w:eastAsia="Arial" w:hAnsi="Arial"/>
          <w:sz w:val="20"/>
          <w:szCs w:val="20"/>
          <w:u w:val="single" w:color="auto"/>
          <w:color w:val="auto"/>
        </w:rPr>
        <w:t>Solicitation of Employees</w:t>
      </w:r>
      <w:r>
        <w:rPr>
          <w:rFonts w:ascii="Arial" w:cs="Arial" w:eastAsia="Arial" w:hAnsi="Arial"/>
          <w:sz w:val="20"/>
          <w:szCs w:val="20"/>
          <w:color w:val="auto"/>
        </w:rPr>
        <w:t>. During my employment with the Company, and for a one (1) year period after the date my employment ends (voluntary or otherwise), I covenant and agree that I shall not, directly or indirectly, on my own behalf or for the benefit of any other person or entity, solicit or attempt to solicit any employee of the Company, or at any time unlawfully disrupt, damage, impair or interfere with the Company by raiding its work staff or unlawfully encouraging any employee of the Company to terminate their relationship with the Company.</w:t>
      </w:r>
    </w:p>
    <w:p>
      <w:pPr>
        <w:spacing w:after="0" w:line="223" w:lineRule="exact"/>
        <w:rPr>
          <w:rFonts w:ascii="Arial" w:cs="Arial" w:eastAsia="Arial" w:hAnsi="Arial"/>
          <w:sz w:val="20"/>
          <w:szCs w:val="20"/>
          <w:color w:val="auto"/>
        </w:rPr>
      </w:pPr>
    </w:p>
    <w:p>
      <w:pPr>
        <w:jc w:val="both"/>
        <w:ind w:left="600" w:hanging="317"/>
        <w:spacing w:after="0" w:line="296" w:lineRule="auto"/>
        <w:tabs>
          <w:tab w:leader="none" w:pos="589"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Solicitation of Customers</w:t>
      </w:r>
      <w:r>
        <w:rPr>
          <w:rFonts w:ascii="Arial" w:cs="Arial" w:eastAsia="Arial" w:hAnsi="Arial"/>
          <w:sz w:val="21"/>
          <w:szCs w:val="21"/>
          <w:color w:val="auto"/>
        </w:rPr>
        <w:t>. During my employment with the Company, and after my employment ends (voluntary or otherwise), I covenant and agree that I shall not in any manner, directly or indirectly, on my own behalf or for the benefit of any other person or entity, use any trade secrets or proprietary Confidential Information of the Company to solicit or attempt to solicit any client or customer of the Company, or at any time use any Confidential Information (including the confidential identity of any client or customer, or trade secret information about the client, account or customer relationship) to induce, influence or encourage any client or customer of the Company to reduce or cease doing business with the Company.</w:t>
      </w:r>
    </w:p>
    <w:p>
      <w:pPr>
        <w:spacing w:after="0" w:line="250" w:lineRule="exact"/>
        <w:rPr>
          <w:rFonts w:ascii="Arial" w:cs="Arial" w:eastAsia="Arial" w:hAnsi="Arial"/>
          <w:sz w:val="21"/>
          <w:szCs w:val="21"/>
          <w:color w:val="auto"/>
        </w:rPr>
      </w:pPr>
    </w:p>
    <w:p>
      <w:pPr>
        <w:jc w:val="both"/>
        <w:ind w:left="600" w:hanging="317"/>
        <w:spacing w:after="0" w:line="296" w:lineRule="auto"/>
        <w:tabs>
          <w:tab w:leader="none" w:pos="589"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I agree that I will not make any disparaging and/or defamatory statements about the Company’s current or former products or services, including on social media. A disparaging statement is any communication that, if publicized, would cause or tend to cause the recipient of the communication to question the business condition, integrity, competence, good character, or product quality of the person or entity to whom the communication relates. I also agree not to make any defamatory statements about the Company to the media or to any other person, including on social media.</w:t>
      </w:r>
    </w:p>
    <w:p>
      <w:pPr>
        <w:spacing w:after="0" w:line="197" w:lineRule="exact"/>
        <w:rPr>
          <w:rFonts w:ascii="Arial" w:cs="Arial" w:eastAsia="Arial" w:hAnsi="Arial"/>
          <w:sz w:val="21"/>
          <w:szCs w:val="21"/>
          <w:color w:val="auto"/>
        </w:rPr>
      </w:pPr>
    </w:p>
    <w:p>
      <w:pPr>
        <w:ind w:left="280" w:hanging="233"/>
        <w:spacing w:after="0"/>
        <w:tabs>
          <w:tab w:leader="none" w:pos="280"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ASSIGNMENT OF INVENTIONS</w:t>
      </w:r>
      <w:r>
        <w:rPr>
          <w:rFonts w:ascii="Arial" w:cs="Arial" w:eastAsia="Arial" w:hAnsi="Arial"/>
          <w:sz w:val="21"/>
          <w:szCs w:val="21"/>
          <w:color w:val="auto"/>
        </w:rPr>
        <w:t>.</w:t>
      </w:r>
    </w:p>
    <w:p>
      <w:pPr>
        <w:spacing w:after="0" w:line="352" w:lineRule="exact"/>
        <w:rPr>
          <w:rFonts w:ascii="Arial" w:cs="Arial" w:eastAsia="Arial" w:hAnsi="Arial"/>
          <w:sz w:val="21"/>
          <w:szCs w:val="21"/>
          <w:color w:val="auto"/>
        </w:rPr>
      </w:pPr>
    </w:p>
    <w:p>
      <w:pPr>
        <w:ind w:left="600" w:hanging="318"/>
        <w:spacing w:after="0" w:line="316" w:lineRule="auto"/>
        <w:tabs>
          <w:tab w:leader="none" w:pos="598"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Inventions and Assignment</w:t>
      </w:r>
      <w:r>
        <w:rPr>
          <w:rFonts w:ascii="Arial" w:cs="Arial" w:eastAsia="Arial" w:hAnsi="Arial"/>
          <w:sz w:val="21"/>
          <w:szCs w:val="21"/>
          <w:color w:val="auto"/>
        </w:rPr>
        <w:t>. In connection with your employment with the Company, you understand and agree that all Inventions, defined as and including discoveries, developments,</w:t>
      </w:r>
    </w:p>
    <w:p>
      <w:pPr>
        <w:sectPr>
          <w:pgSz w:w="11900" w:h="16838" w:orient="portrait"/>
          <w:cols w:equalWidth="0" w:num="1">
            <w:col w:w="10820"/>
          </w:cols>
          <w:pgMar w:left="480" w:top="1127" w:right="599" w:bottom="1440" w:gutter="0" w:footer="0" w:header="0"/>
        </w:sectPr>
      </w:pPr>
    </w:p>
    <w:bookmarkStart w:id="79" w:name="page80"/>
    <w:bookmarkEnd w:id="79"/>
    <w:p>
      <w:pPr>
        <w:jc w:val="both"/>
        <w:ind w:left="640" w:right="80"/>
        <w:spacing w:after="0" w:line="312" w:lineRule="auto"/>
        <w:rPr>
          <w:sz w:val="20"/>
          <w:szCs w:val="20"/>
          <w:color w:val="auto"/>
        </w:rPr>
      </w:pPr>
      <w:r>
        <w:rPr>
          <w:rFonts w:ascii="Arial" w:cs="Arial" w:eastAsia="Arial" w:hAnsi="Arial"/>
          <w:sz w:val="21"/>
          <w:szCs w:val="21"/>
          <w:color w:val="auto"/>
        </w:rPr>
        <w:t>designs, improvements, inventions, formulas, programs, computer software or code, processes, techniques, know-how, research, technical data and ideas (whether or not patentable or registrable under patent, copyright or similar statutes) that (i) that relate to the Company's business or potential business, (ii) that result from tasks assigned to me by the Company, or (iii) that are conceived or made with the use of the Company's time, facilities, materials or, resources, shall be the sole property of Company and its assigns, and Company shall be the sole owner of all Rights to said Inventions, said Rights being defined as and including patents, trademarks, service marks and copyrights, and other intellectual property rights pertaining to said Inventions or Confidential Information.</w:t>
      </w:r>
      <w:r>
        <w:rPr>
          <w:rFonts w:ascii="Arial" w:cs="Arial" w:eastAsia="Arial" w:hAnsi="Arial"/>
          <w:sz w:val="26"/>
          <w:szCs w:val="26"/>
          <w:color w:val="auto"/>
          <w:vertAlign w:val="superscript"/>
        </w:rPr>
        <w:t>1</w:t>
      </w:r>
      <w:r>
        <w:rPr>
          <w:rFonts w:ascii="Arial" w:cs="Arial" w:eastAsia="Arial" w:hAnsi="Arial"/>
          <w:sz w:val="21"/>
          <w:szCs w:val="21"/>
          <w:color w:val="auto"/>
        </w:rPr>
        <w:t xml:space="preserve"> You further acknowledge and</w:t>
      </w:r>
    </w:p>
    <w:p>
      <w:pPr>
        <w:spacing w:after="0" w:line="119" w:lineRule="exact"/>
        <w:rPr>
          <w:sz w:val="20"/>
          <w:szCs w:val="20"/>
          <w:color w:val="auto"/>
        </w:rPr>
      </w:pPr>
    </w:p>
    <w:p>
      <w:pPr>
        <w:jc w:val="both"/>
        <w:ind w:right="20" w:firstLine="8"/>
        <w:spacing w:after="0" w:line="317" w:lineRule="auto"/>
        <w:rPr>
          <w:sz w:val="20"/>
          <w:szCs w:val="20"/>
          <w:color w:val="auto"/>
        </w:rPr>
      </w:pPr>
      <w:r>
        <w:rPr>
          <w:rFonts w:ascii="Arial" w:cs="Arial" w:eastAsia="Arial" w:hAnsi="Arial"/>
          <w:sz w:val="13"/>
          <w:szCs w:val="13"/>
          <w:color w:val="auto"/>
        </w:rPr>
        <w:t xml:space="preserve">1 </w:t>
      </w:r>
      <w:r>
        <w:rPr>
          <w:rFonts w:ascii="Arial" w:cs="Arial" w:eastAsia="Arial" w:hAnsi="Arial"/>
          <w:sz w:val="17"/>
          <w:szCs w:val="17"/>
          <w:color w:val="auto"/>
        </w:rPr>
        <w:t>For employees in Delaware, Illinois, Kansas, Minnesota, North Carolina, Utah, Washington, and any other state where the Company employs</w:t>
      </w:r>
      <w:r>
        <w:rPr>
          <w:rFonts w:ascii="Arial" w:cs="Arial" w:eastAsia="Arial" w:hAnsi="Arial"/>
          <w:sz w:val="13"/>
          <w:szCs w:val="13"/>
          <w:color w:val="auto"/>
        </w:rPr>
        <w:t xml:space="preserve"> </w:t>
      </w:r>
      <w:r>
        <w:rPr>
          <w:rFonts w:ascii="Arial" w:cs="Arial" w:eastAsia="Arial" w:hAnsi="Arial"/>
          <w:sz w:val="17"/>
          <w:szCs w:val="17"/>
          <w:color w:val="auto"/>
        </w:rPr>
        <w:t>you where this notice is specifically required by law state law: You are notified that nothing in this Agreement requires any Employee (regardless of state) to assign any of your rights to an invention you developed entirely on your own time using no equipment, supplies, facility, or trade secret information of the Company, unless the invention results from any work you performed for the Company or relates, at the time of conception or reduction to practice, to the business or actual or demonstrably anticipated research or development of the Company.</w:t>
      </w:r>
    </w:p>
    <w:p>
      <w:pPr>
        <w:spacing w:after="0" w:line="248" w:lineRule="exact"/>
        <w:rPr>
          <w:sz w:val="20"/>
          <w:szCs w:val="20"/>
          <w:color w:val="auto"/>
        </w:rPr>
      </w:pPr>
    </w:p>
    <w:p>
      <w:pPr>
        <w:jc w:val="both"/>
        <w:ind w:firstLine="13"/>
        <w:spacing w:after="0" w:line="317" w:lineRule="auto"/>
        <w:rPr>
          <w:sz w:val="20"/>
          <w:szCs w:val="20"/>
          <w:color w:val="auto"/>
        </w:rPr>
      </w:pPr>
      <w:r>
        <w:rPr>
          <w:rFonts w:ascii="Arial" w:cs="Arial" w:eastAsia="Arial" w:hAnsi="Arial"/>
          <w:sz w:val="17"/>
          <w:szCs w:val="17"/>
          <w:color w:val="auto"/>
        </w:rPr>
        <w:t>For employees in California, in accordance with Section 2872 of the California Labor Code, you are hereby notified this assignment does not apply to an invention subject to California law that you developed entirely on your own time without using the Company’s equipment, supplies, facilities, or trade secret information except for those inventions that: (1) relate at the time of conception or reduction to practice of the invention to the Company’s business, or actual or demonstrably anticipated research or development the Company; or (2) result from any work performed by you for the Company; or (3) relate to any work performed by you relating to a contract under which the Company has an obligation to assign title to the United States with respect to inventions resulting from work performed thereunder.</w:t>
      </w:r>
    </w:p>
    <w:p>
      <w:pPr>
        <w:spacing w:after="0" w:line="254" w:lineRule="exact"/>
        <w:rPr>
          <w:sz w:val="20"/>
          <w:szCs w:val="20"/>
          <w:color w:val="auto"/>
        </w:rPr>
      </w:pPr>
    </w:p>
    <w:p>
      <w:pPr>
        <w:jc w:val="both"/>
        <w:ind w:left="640" w:right="80"/>
        <w:spacing w:after="0" w:line="309" w:lineRule="auto"/>
        <w:rPr>
          <w:sz w:val="20"/>
          <w:szCs w:val="20"/>
          <w:color w:val="auto"/>
        </w:rPr>
      </w:pPr>
      <w:r>
        <w:rPr>
          <w:rFonts w:ascii="Arial" w:cs="Arial" w:eastAsia="Arial" w:hAnsi="Arial"/>
          <w:sz w:val="21"/>
          <w:szCs w:val="21"/>
          <w:color w:val="auto"/>
        </w:rPr>
        <w:t>agree that all original works of authorship are "works made for hire," as that term is defined in the United States Copyright Act and belong to the Company as an Invention under this policy. In the event that any original works or Inventions (i) that relate to the Company's business or potential business, (ii) that result from tasks assigned to me by the Company, or (iii) that are conceived or made with the use of the Company's time, facilities, materials or, resources shall be deemed to not constitute works made for hire, or in the event that you should otherwise, by operation of law, be deemed to retain any rights to any Inventions, you agree to assign to the Company, without further consideration, your entire right, title and interest in and to each and every such Invention and all Rights to said Inventions developed, created or discovered by you, whether working alone or jointly with others.</w:t>
      </w:r>
    </w:p>
    <w:p>
      <w:pPr>
        <w:spacing w:after="0" w:line="239" w:lineRule="exact"/>
        <w:rPr>
          <w:sz w:val="20"/>
          <w:szCs w:val="20"/>
          <w:color w:val="auto"/>
        </w:rPr>
      </w:pPr>
    </w:p>
    <w:p>
      <w:pPr>
        <w:jc w:val="both"/>
        <w:ind w:left="640" w:right="100" w:hanging="312"/>
        <w:spacing w:after="0" w:line="311" w:lineRule="auto"/>
        <w:tabs>
          <w:tab w:leader="none" w:pos="635"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Assistance.</w:t>
      </w:r>
      <w:r>
        <w:rPr>
          <w:rFonts w:ascii="Arial" w:cs="Arial" w:eastAsia="Arial" w:hAnsi="Arial"/>
          <w:sz w:val="21"/>
          <w:szCs w:val="21"/>
          <w:color w:val="auto"/>
        </w:rPr>
        <w:t xml:space="preserve"> I agree to assist Company in every proper way (but at the Company's expense) to obtain and from time to time enforce the Rights identified above in any and all countries with respect to the Inventions, and I agree to execute all necessary documents for use in applying for, registering, obtaining, and enforcing the Rights and assignments as the Company may desire.</w:t>
      </w:r>
    </w:p>
    <w:p>
      <w:pPr>
        <w:spacing w:after="0" w:line="219" w:lineRule="exact"/>
        <w:rPr>
          <w:rFonts w:ascii="Arial" w:cs="Arial" w:eastAsia="Arial" w:hAnsi="Arial"/>
          <w:sz w:val="21"/>
          <w:szCs w:val="21"/>
          <w:color w:val="auto"/>
        </w:rPr>
      </w:pPr>
    </w:p>
    <w:p>
      <w:pPr>
        <w:jc w:val="both"/>
        <w:ind w:left="640" w:right="100" w:hanging="317"/>
        <w:spacing w:after="0" w:line="297" w:lineRule="auto"/>
        <w:tabs>
          <w:tab w:leader="none" w:pos="639"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Disclosure of Potential Inventions.</w:t>
      </w:r>
      <w:r>
        <w:rPr>
          <w:rFonts w:ascii="Arial" w:cs="Arial" w:eastAsia="Arial" w:hAnsi="Arial"/>
          <w:sz w:val="21"/>
          <w:szCs w:val="21"/>
          <w:color w:val="auto"/>
        </w:rPr>
        <w:t xml:space="preserve"> During the period of my employment and for one (1) year after termination of my employment with the Company (voluntary or otherwise), I will promptly disclose to the Company fully and in writing (to be held in confidence by Company unless deemed to be an Invention) all potential Inventions authored, conceived or reduced to practice</w:t>
      </w:r>
    </w:p>
    <w:p>
      <w:pPr>
        <w:sectPr>
          <w:pgSz w:w="11900" w:h="16838" w:orient="portrait"/>
          <w:cols w:equalWidth="0" w:num="1">
            <w:col w:w="10940"/>
          </w:cols>
          <w:pgMar w:left="440" w:top="1140" w:right="519" w:bottom="1440" w:gutter="0" w:footer="0" w:header="0"/>
        </w:sectPr>
      </w:pPr>
    </w:p>
    <w:bookmarkStart w:id="80" w:name="page81"/>
    <w:bookmarkEnd w:id="80"/>
    <w:p>
      <w:pPr>
        <w:ind w:left="760"/>
        <w:spacing w:after="0" w:line="302" w:lineRule="auto"/>
        <w:rPr>
          <w:sz w:val="20"/>
          <w:szCs w:val="20"/>
          <w:color w:val="auto"/>
        </w:rPr>
      </w:pPr>
      <w:r>
        <w:rPr>
          <w:rFonts w:ascii="Arial" w:cs="Arial" w:eastAsia="Arial" w:hAnsi="Arial"/>
          <w:sz w:val="21"/>
          <w:szCs w:val="21"/>
          <w:color w:val="auto"/>
        </w:rPr>
        <w:t>by me, either alone or jointly with others, and all patent applications filed by me or on my behalf, so that the Company may determine its rights to any such potential Inventions.</w:t>
      </w:r>
    </w:p>
    <w:p>
      <w:pPr>
        <w:spacing w:after="0" w:line="256" w:lineRule="exact"/>
        <w:rPr>
          <w:sz w:val="20"/>
          <w:szCs w:val="20"/>
          <w:color w:val="auto"/>
        </w:rPr>
      </w:pPr>
    </w:p>
    <w:p>
      <w:pPr>
        <w:jc w:val="both"/>
        <w:ind w:left="760" w:hanging="317"/>
        <w:spacing w:after="0" w:line="309" w:lineRule="auto"/>
        <w:tabs>
          <w:tab w:leader="none" w:pos="757"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Prior Inventions.</w:t>
      </w:r>
      <w:r>
        <w:rPr>
          <w:rFonts w:ascii="Arial" w:cs="Arial" w:eastAsia="Arial" w:hAnsi="Arial"/>
          <w:sz w:val="21"/>
          <w:szCs w:val="21"/>
          <w:color w:val="auto"/>
        </w:rPr>
        <w:t xml:space="preserve"> To the extent I have made or conceived or first reduced to practice (either alone or jointly with others) any inventions or improvements relevant to my employment with Company, but before I commenced employment with Company, I am listing below all such inventions or improvements that are to be excluded from the operation of this Agreement. I am representing that I have listed all previously patented as well as any unpatented but potentially patentable ideas and inventions conceived prior to my employment with Company which have not been assigned to a former employer, and I further represent and warrant that such list is complete.</w:t>
      </w:r>
    </w:p>
    <w:p>
      <w:pPr>
        <w:spacing w:after="0" w:line="200" w:lineRule="exact"/>
        <w:rPr>
          <w:sz w:val="20"/>
          <w:szCs w:val="20"/>
          <w:color w:val="auto"/>
        </w:rPr>
      </w:pPr>
    </w:p>
    <w:p>
      <w:pPr>
        <w:spacing w:after="0"/>
        <w:tabs>
          <w:tab w:leader="none" w:pos="640" w:val="left"/>
          <w:tab w:leader="none" w:pos="1300" w:val="left"/>
        </w:tabs>
        <w:rPr>
          <w:sz w:val="20"/>
          <w:szCs w:val="20"/>
          <w:color w:val="auto"/>
        </w:rPr>
      </w:pPr>
      <w:r>
        <w:rPr>
          <w:rFonts w:ascii="Arial" w:cs="Arial" w:eastAsia="Arial" w:hAnsi="Arial"/>
          <w:sz w:val="21"/>
          <w:szCs w:val="21"/>
          <w:color w:val="auto"/>
        </w:rPr>
        <w:t>LIST</w:t>
        <w:tab/>
        <w:t>ANY</w:t>
      </w:r>
      <w:r>
        <w:rPr>
          <w:sz w:val="20"/>
          <w:szCs w:val="20"/>
          <w:color w:val="auto"/>
        </w:rPr>
        <w:tab/>
      </w:r>
      <w:r>
        <w:rPr>
          <w:rFonts w:ascii="Arial" w:cs="Arial" w:eastAsia="Arial" w:hAnsi="Arial"/>
          <w:sz w:val="20"/>
          <w:szCs w:val="20"/>
          <w:color w:val="auto"/>
        </w:rPr>
        <w:t>EXCLUSIONS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62356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562356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562356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562356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562356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702945</wp:posOffset>
            </wp:positionV>
            <wp:extent cx="562356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562356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562356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2356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0" w:hanging="222"/>
        <w:spacing w:after="0"/>
        <w:tabs>
          <w:tab w:leader="none" w:pos="520"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GENERAL PROVISIONS</w:t>
      </w:r>
      <w:r>
        <w:rPr>
          <w:rFonts w:ascii="Arial" w:cs="Arial" w:eastAsia="Arial" w:hAnsi="Arial"/>
          <w:sz w:val="21"/>
          <w:szCs w:val="21"/>
          <w:color w:val="auto"/>
        </w:rPr>
        <w:t>.</w:t>
      </w:r>
    </w:p>
    <w:p>
      <w:pPr>
        <w:spacing w:after="0" w:line="244" w:lineRule="exact"/>
        <w:rPr>
          <w:rFonts w:ascii="Arial" w:cs="Arial" w:eastAsia="Arial" w:hAnsi="Arial"/>
          <w:sz w:val="21"/>
          <w:szCs w:val="21"/>
          <w:color w:val="auto"/>
        </w:rPr>
      </w:pPr>
    </w:p>
    <w:p>
      <w:pPr>
        <w:ind w:left="760" w:right="20" w:hanging="317"/>
        <w:spacing w:after="0" w:line="302" w:lineRule="auto"/>
        <w:tabs>
          <w:tab w:leader="none" w:pos="758" w:val="left"/>
        </w:tabs>
        <w:numPr>
          <w:ilvl w:val="1"/>
          <w:numId w:val="62"/>
        </w:numPr>
        <w:rPr>
          <w:rFonts w:ascii="Arial" w:cs="Arial" w:eastAsia="Arial" w:hAnsi="Arial"/>
          <w:sz w:val="21"/>
          <w:szCs w:val="21"/>
          <w:color w:val="auto"/>
        </w:rPr>
      </w:pPr>
      <w:r>
        <w:rPr>
          <w:rFonts w:ascii="Arial" w:cs="Arial" w:eastAsia="Arial" w:hAnsi="Arial"/>
          <w:sz w:val="21"/>
          <w:szCs w:val="21"/>
          <w:color w:val="auto"/>
        </w:rPr>
        <w:t>This Agreement will be binding upon my heirs, assigns, executors, administrators or other legal representatives and will be for the benefit of the Company and its successors and assigns.</w:t>
      </w:r>
    </w:p>
    <w:p>
      <w:pPr>
        <w:sectPr>
          <w:pgSz w:w="11900" w:h="16838" w:orient="portrait"/>
          <w:cols w:equalWidth="0" w:num="1">
            <w:col w:w="10960"/>
          </w:cols>
          <w:pgMar w:left="320" w:top="1032" w:right="619" w:bottom="1440" w:gutter="0" w:footer="0" w:header="0"/>
        </w:sectPr>
      </w:pPr>
    </w:p>
    <w:bookmarkStart w:id="81" w:name="page82"/>
    <w:bookmarkEnd w:id="81"/>
    <w:p>
      <w:pPr>
        <w:ind w:left="325" w:right="20" w:hanging="317"/>
        <w:spacing w:after="0" w:line="302" w:lineRule="auto"/>
        <w:tabs>
          <w:tab w:leader="none" w:pos="323" w:val="left"/>
        </w:tabs>
        <w:numPr>
          <w:ilvl w:val="0"/>
          <w:numId w:val="63"/>
        </w:numPr>
        <w:rPr>
          <w:rFonts w:ascii="Arial" w:cs="Arial" w:eastAsia="Arial" w:hAnsi="Arial"/>
          <w:sz w:val="21"/>
          <w:szCs w:val="21"/>
          <w:color w:val="auto"/>
        </w:rPr>
      </w:pPr>
      <w:r>
        <w:rPr>
          <w:rFonts w:ascii="Arial" w:cs="Arial" w:eastAsia="Arial" w:hAnsi="Arial"/>
          <w:sz w:val="21"/>
          <w:szCs w:val="21"/>
          <w:color w:val="auto"/>
        </w:rPr>
        <w:t>Except as otherwise may be modified herein, disputes under this Agreement shall be resolved pursuant to the Employee Grievance Process or Mutual Dispute Arbitration Policy/Mutual Agreement to Arbitrate.</w:t>
      </w:r>
    </w:p>
    <w:p>
      <w:pPr>
        <w:spacing w:after="0" w:line="242" w:lineRule="exact"/>
        <w:rPr>
          <w:rFonts w:ascii="Arial" w:cs="Arial" w:eastAsia="Arial" w:hAnsi="Arial"/>
          <w:sz w:val="21"/>
          <w:szCs w:val="21"/>
          <w:color w:val="auto"/>
        </w:rPr>
      </w:pPr>
    </w:p>
    <w:p>
      <w:pPr>
        <w:jc w:val="both"/>
        <w:ind w:left="325" w:right="20" w:hanging="317"/>
        <w:spacing w:after="0" w:line="297" w:lineRule="auto"/>
        <w:tabs>
          <w:tab w:leader="none" w:pos="323"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This agreement does not prohibit employees from testifying in an administrative, legislative, or judicial proceeding and giving truthful testimony when the employee has been required or requested to attend the proceeding pursuant to a court order, subpoena, or written request from an administrative agency or the legislature.</w:t>
      </w:r>
    </w:p>
    <w:p>
      <w:pPr>
        <w:spacing w:after="0" w:line="235" w:lineRule="exact"/>
        <w:rPr>
          <w:rFonts w:ascii="Arial" w:cs="Arial" w:eastAsia="Arial" w:hAnsi="Arial"/>
          <w:sz w:val="21"/>
          <w:szCs w:val="21"/>
          <w:color w:val="auto"/>
        </w:rPr>
      </w:pPr>
    </w:p>
    <w:p>
      <w:pPr>
        <w:jc w:val="both"/>
        <w:ind w:left="325" w:right="20" w:hanging="317"/>
        <w:spacing w:after="0" w:line="299" w:lineRule="auto"/>
        <w:tabs>
          <w:tab w:leader="none" w:pos="323"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This agreement also does not prohibit employees from exercising any federal or state statutory “whistleblowing” rights to report certain conduct to government agencies or from complying with all requirements of the Gramm-Leach–Bliley Act.</w:t>
      </w:r>
    </w:p>
    <w:p>
      <w:pPr>
        <w:spacing w:after="0" w:line="231" w:lineRule="exact"/>
        <w:rPr>
          <w:rFonts w:ascii="Arial" w:cs="Arial" w:eastAsia="Arial" w:hAnsi="Arial"/>
          <w:sz w:val="21"/>
          <w:szCs w:val="21"/>
          <w:color w:val="auto"/>
        </w:rPr>
      </w:pPr>
    </w:p>
    <w:p>
      <w:pPr>
        <w:jc w:val="both"/>
        <w:ind w:left="325" w:right="20" w:hanging="317"/>
        <w:spacing w:after="0" w:line="297" w:lineRule="auto"/>
        <w:tabs>
          <w:tab w:leader="none" w:pos="323"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This agreement does not prohibit employees from using open source software when working on assigned company projects. Employees may do so, but only in accordance with Company policy. Employee must obtain written permission from their immediate supervisor before making an open source contribution. Employees must clearly and carefully document all contributions. Employees must not sign any contribution or other related agreement until receiving written permission from their immediate supervisor to do so.</w:t>
      </w:r>
    </w:p>
    <w:p>
      <w:pPr>
        <w:spacing w:after="0" w:line="247" w:lineRule="exact"/>
        <w:rPr>
          <w:rFonts w:ascii="Arial" w:cs="Arial" w:eastAsia="Arial" w:hAnsi="Arial"/>
          <w:sz w:val="21"/>
          <w:szCs w:val="21"/>
          <w:color w:val="auto"/>
        </w:rPr>
      </w:pPr>
    </w:p>
    <w:p>
      <w:pPr>
        <w:jc w:val="both"/>
        <w:ind w:left="325" w:right="20" w:hanging="325"/>
        <w:spacing w:after="0" w:line="297" w:lineRule="auto"/>
        <w:tabs>
          <w:tab w:leader="none" w:pos="321" w:val="left"/>
        </w:tabs>
        <w:numPr>
          <w:ilvl w:val="0"/>
          <w:numId w:val="63"/>
        </w:numPr>
        <w:rPr>
          <w:rFonts w:ascii="Arial" w:cs="Arial" w:eastAsia="Arial" w:hAnsi="Arial"/>
          <w:sz w:val="21"/>
          <w:szCs w:val="21"/>
          <w:color w:val="auto"/>
        </w:rPr>
      </w:pPr>
      <w:r>
        <w:rPr>
          <w:rFonts w:ascii="Arial" w:cs="Arial" w:eastAsia="Arial" w:hAnsi="Arial"/>
          <w:sz w:val="21"/>
          <w:szCs w:val="21"/>
          <w:color w:val="auto"/>
        </w:rPr>
        <w:t>No waiver by the Company of any breach of this Agreement shall be a waiver of any preceding or succeeding breach. No waiver by the Company of any right or obligation under this Agreement shall be construed as a waiver of any other right or obligation. The Company shall not be required to give prior notice to enforce strict adherence to all terms of this Agreement.</w:t>
      </w:r>
    </w:p>
    <w:p>
      <w:pPr>
        <w:spacing w:after="0" w:line="235" w:lineRule="exact"/>
        <w:rPr>
          <w:rFonts w:ascii="Arial" w:cs="Arial" w:eastAsia="Arial" w:hAnsi="Arial"/>
          <w:sz w:val="21"/>
          <w:szCs w:val="21"/>
          <w:color w:val="auto"/>
        </w:rPr>
      </w:pPr>
    </w:p>
    <w:p>
      <w:pPr>
        <w:jc w:val="both"/>
        <w:ind w:left="325" w:right="20" w:hanging="318"/>
        <w:spacing w:after="0" w:line="297" w:lineRule="auto"/>
        <w:tabs>
          <w:tab w:leader="none" w:pos="314" w:val="left"/>
        </w:tabs>
        <w:numPr>
          <w:ilvl w:val="0"/>
          <w:numId w:val="63"/>
        </w:numPr>
        <w:rPr>
          <w:rFonts w:ascii="Arial" w:cs="Arial" w:eastAsia="Arial" w:hAnsi="Arial"/>
          <w:sz w:val="21"/>
          <w:szCs w:val="21"/>
          <w:color w:val="auto"/>
        </w:rPr>
      </w:pPr>
      <w:r>
        <w:rPr>
          <w:rFonts w:ascii="Arial" w:cs="Arial" w:eastAsia="Arial" w:hAnsi="Arial"/>
          <w:sz w:val="21"/>
          <w:szCs w:val="21"/>
          <w:color w:val="auto"/>
        </w:rPr>
        <w:t>In the event that any legal action becomes necessary to enforce or interpret the terms of this Agreement, the prevailing party shall be entitled, in addition to its court costs, to such reasonable attorney fees, expert witness fees and legal expenses as shall be fixed by a court of competent jurisdiction. This Agreement shall be governed by the laws of the State in which the employee works.</w:t>
      </w:r>
    </w:p>
    <w:p>
      <w:pPr>
        <w:spacing w:after="0" w:line="262" w:lineRule="exact"/>
        <w:rPr>
          <w:rFonts w:ascii="Arial" w:cs="Arial" w:eastAsia="Arial" w:hAnsi="Arial"/>
          <w:sz w:val="21"/>
          <w:szCs w:val="21"/>
          <w:color w:val="auto"/>
        </w:rPr>
      </w:pPr>
    </w:p>
    <w:p>
      <w:pPr>
        <w:ind w:left="325" w:right="20" w:hanging="312"/>
        <w:spacing w:after="0" w:line="316" w:lineRule="auto"/>
        <w:tabs>
          <w:tab w:leader="none" w:pos="316" w:val="left"/>
        </w:tabs>
        <w:numPr>
          <w:ilvl w:val="0"/>
          <w:numId w:val="63"/>
        </w:numPr>
        <w:rPr>
          <w:rFonts w:ascii="Arial" w:cs="Arial" w:eastAsia="Arial" w:hAnsi="Arial"/>
          <w:sz w:val="21"/>
          <w:szCs w:val="21"/>
          <w:color w:val="auto"/>
        </w:rPr>
      </w:pPr>
      <w:r>
        <w:rPr>
          <w:rFonts w:ascii="Arial" w:cs="Arial" w:eastAsia="Arial" w:hAnsi="Arial"/>
          <w:sz w:val="21"/>
          <w:szCs w:val="21"/>
          <w:color w:val="auto"/>
        </w:rPr>
        <w:t>Wherever necessary to carry out the intent of the parties, the provisions of this Agreement shall survive the termination of my employment with the Company and shall continue in full force and effect.</w:t>
      </w:r>
    </w:p>
    <w:p>
      <w:pPr>
        <w:spacing w:after="0" w:line="214" w:lineRule="exact"/>
        <w:rPr>
          <w:rFonts w:ascii="Arial" w:cs="Arial" w:eastAsia="Arial" w:hAnsi="Arial"/>
          <w:sz w:val="21"/>
          <w:szCs w:val="21"/>
          <w:color w:val="auto"/>
        </w:rPr>
      </w:pPr>
    </w:p>
    <w:p>
      <w:pPr>
        <w:jc w:val="both"/>
        <w:ind w:left="325" w:hanging="312"/>
        <w:spacing w:after="0" w:line="295" w:lineRule="auto"/>
        <w:tabs>
          <w:tab w:leader="none" w:pos="315" w:val="left"/>
        </w:tabs>
        <w:numPr>
          <w:ilvl w:val="0"/>
          <w:numId w:val="63"/>
        </w:numPr>
        <w:rPr>
          <w:rFonts w:ascii="Arial" w:cs="Arial" w:eastAsia="Arial" w:hAnsi="Arial"/>
          <w:sz w:val="21"/>
          <w:szCs w:val="21"/>
          <w:color w:val="auto"/>
        </w:rPr>
      </w:pPr>
      <w:r>
        <w:rPr>
          <w:rFonts w:ascii="Arial" w:cs="Arial" w:eastAsia="Arial" w:hAnsi="Arial"/>
          <w:sz w:val="21"/>
          <w:szCs w:val="21"/>
          <w:color w:val="auto"/>
        </w:rPr>
        <w:t>In case any one or more of the provisions contained in this Agreement shall, for any reason, be held to be invalid, illegal or unenforceable in any respect, such invalidity, illegality or unenforceability shall be construed by limiting and reducing such provision, so as to be enforceable to the fullest extent compatible with the intent of the parties and the then current applicable law, and if not possible, then this Agreement shall be construed as if such invalid,</w:t>
      </w:r>
    </w:p>
    <w:p>
      <w:pPr>
        <w:ind w:left="325" w:right="20" w:firstLine="6"/>
        <w:spacing w:after="0" w:line="302" w:lineRule="auto"/>
        <w:rPr>
          <w:rFonts w:ascii="Arial" w:cs="Arial" w:eastAsia="Arial" w:hAnsi="Arial"/>
          <w:sz w:val="21"/>
          <w:szCs w:val="21"/>
          <w:color w:val="auto"/>
        </w:rPr>
      </w:pPr>
      <w:r>
        <w:rPr>
          <w:rFonts w:ascii="Arial" w:cs="Arial" w:eastAsia="Arial" w:hAnsi="Arial"/>
          <w:sz w:val="21"/>
          <w:szCs w:val="21"/>
          <w:color w:val="auto"/>
        </w:rPr>
        <w:t>illegal or unenforceable provision had never been contained herein and it shall not affect the other provisions of this Agreement, which shall remain in full force and effect.</w:t>
      </w:r>
    </w:p>
    <w:p>
      <w:pPr>
        <w:sectPr>
          <w:pgSz w:w="11900" w:h="16838" w:orient="portrait"/>
          <w:cols w:equalWidth="0" w:num="1">
            <w:col w:w="10545"/>
          </w:cols>
          <w:pgMar w:left="755" w:top="978" w:right="599" w:bottom="1440" w:gutter="0" w:footer="0" w:header="0"/>
        </w:sectPr>
      </w:pPr>
    </w:p>
    <w:bookmarkStart w:id="82" w:name="page83"/>
    <w:bookmarkEnd w:id="82"/>
    <w:p>
      <w:pPr>
        <w:jc w:val="both"/>
        <w:ind w:left="760" w:hanging="329"/>
        <w:spacing w:after="0" w:line="314" w:lineRule="auto"/>
        <w:tabs>
          <w:tab w:leader="none" w:pos="758" w:val="left"/>
        </w:tabs>
        <w:numPr>
          <w:ilvl w:val="0"/>
          <w:numId w:val="64"/>
        </w:numPr>
        <w:rPr>
          <w:rFonts w:ascii="Arial" w:cs="Arial" w:eastAsia="Arial" w:hAnsi="Arial"/>
          <w:sz w:val="20"/>
          <w:szCs w:val="20"/>
          <w:color w:val="auto"/>
        </w:rPr>
      </w:pPr>
      <w:r>
        <w:rPr>
          <w:rFonts w:ascii="Arial" w:cs="Arial" w:eastAsia="Arial" w:hAnsi="Arial"/>
          <w:sz w:val="20"/>
          <w:szCs w:val="20"/>
          <w:color w:val="auto"/>
        </w:rPr>
        <w:t>I acknowledge that this Agreement is in consideration of my employment or continued employment with the Company, whether executed before, at, or following my initial employment therewith. I further acknowledge that this Agreement does not create any obligation for my continued employment by the Company, or in any way alter my status as an “at will” employee, which means that my employment relationship may be terminated by either me or the Company at any time, for any reason, with or without cause and with or without prior notice.</w:t>
      </w:r>
    </w:p>
    <w:p>
      <w:pPr>
        <w:spacing w:after="0" w:line="237" w:lineRule="exact"/>
        <w:rPr>
          <w:rFonts w:ascii="Arial" w:cs="Arial" w:eastAsia="Arial" w:hAnsi="Arial"/>
          <w:sz w:val="20"/>
          <w:szCs w:val="20"/>
          <w:color w:val="auto"/>
        </w:rPr>
      </w:pPr>
    </w:p>
    <w:p>
      <w:pPr>
        <w:ind w:left="760" w:hanging="329"/>
        <w:spacing w:after="0" w:line="295" w:lineRule="auto"/>
        <w:tabs>
          <w:tab w:leader="none" w:pos="758"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This Agreement, including the attached Exhibits as referenced above, contains the entire understanding between myself and the Company with respect to the subject matter hereof,</w:t>
      </w:r>
    </w:p>
    <w:p>
      <w:pPr>
        <w:jc w:val="both"/>
        <w:ind w:left="760" w:hanging="4"/>
        <w:spacing w:after="0" w:line="299" w:lineRule="auto"/>
        <w:rPr>
          <w:rFonts w:ascii="Arial" w:cs="Arial" w:eastAsia="Arial" w:hAnsi="Arial"/>
          <w:sz w:val="21"/>
          <w:szCs w:val="21"/>
          <w:color w:val="auto"/>
        </w:rPr>
      </w:pPr>
      <w:r>
        <w:rPr>
          <w:rFonts w:ascii="Arial" w:cs="Arial" w:eastAsia="Arial" w:hAnsi="Arial"/>
          <w:sz w:val="21"/>
          <w:szCs w:val="21"/>
          <w:color w:val="auto"/>
        </w:rPr>
        <w:t>and there are no representations, warranties, promises or undertakings other than those contained in the provisions above. No modification of or amendment to this Agreement, nor any waiver of any rights or obligations under this Agreement, will be effective unless in writing and signed by both me and the Company.</w:t>
      </w:r>
    </w:p>
    <w:p>
      <w:pPr>
        <w:spacing w:after="0" w:line="200" w:lineRule="exact"/>
        <w:rPr>
          <w:sz w:val="20"/>
          <w:szCs w:val="20"/>
          <w:color w:val="auto"/>
        </w:rPr>
      </w:pPr>
    </w:p>
    <w:p>
      <w:pPr>
        <w:spacing w:after="0" w:line="274" w:lineRule="exact"/>
        <w:rPr>
          <w:sz w:val="20"/>
          <w:szCs w:val="20"/>
          <w:color w:val="auto"/>
        </w:rPr>
      </w:pPr>
    </w:p>
    <w:p>
      <w:pPr>
        <w:jc w:val="both"/>
        <w:ind w:left="120" w:firstLine="1016"/>
        <w:spacing w:after="0" w:line="295" w:lineRule="auto"/>
        <w:rPr>
          <w:sz w:val="20"/>
          <w:szCs w:val="20"/>
          <w:color w:val="auto"/>
        </w:rPr>
      </w:pPr>
      <w:r>
        <w:rPr>
          <w:rFonts w:ascii="Arial" w:cs="Arial" w:eastAsia="Arial" w:hAnsi="Arial"/>
          <w:sz w:val="21"/>
          <w:szCs w:val="21"/>
          <w:color w:val="auto"/>
        </w:rPr>
        <w:t>I represent and warrant that: (a) I have read this Agreement and understand all the terms and conditions hereof, (b) I have entered into this Agreement of my own free will and volition, (c) I have been advised by the Company that this Agreement is a legally binding contract and that I should seek my own independent attorney to review it, (d) I have been afforded ample opportunity to consult with my own attorney regarding this Agreement, and</w:t>
      </w:r>
    </w:p>
    <w:p>
      <w:pPr>
        <w:spacing w:after="0" w:line="1" w:lineRule="exact"/>
        <w:rPr>
          <w:sz w:val="20"/>
          <w:szCs w:val="20"/>
          <w:color w:val="auto"/>
        </w:rPr>
      </w:pPr>
    </w:p>
    <w:p>
      <w:pPr>
        <w:ind w:left="120" w:right="20" w:hanging="2"/>
        <w:spacing w:after="0" w:line="302" w:lineRule="auto"/>
        <w:tabs>
          <w:tab w:leader="none" w:pos="493"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terms of this Agreement are fair, reasonable and are being agreed to voluntarily in exchange for my employment or continued employment by the Company</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21"/>
          <w:szCs w:val="21"/>
          <w:color w:val="auto"/>
        </w:rPr>
        <w:t>This Agreement is executed by me at ______________, in the state of ________________, as of this __ day of</w:t>
      </w:r>
    </w:p>
    <w:p>
      <w:pPr>
        <w:ind w:left="360"/>
        <w:spacing w:after="0"/>
        <w:rPr>
          <w:sz w:val="20"/>
          <w:szCs w:val="20"/>
          <w:color w:val="auto"/>
        </w:rPr>
      </w:pPr>
      <w:r>
        <w:rPr>
          <w:rFonts w:ascii="Arial" w:cs="Arial" w:eastAsia="Arial" w:hAnsi="Arial"/>
          <w:sz w:val="21"/>
          <w:szCs w:val="21"/>
          <w:color w:val="auto"/>
        </w:rPr>
        <w:t>___, 202_.</w:t>
      </w:r>
    </w:p>
    <w:p>
      <w:pPr>
        <w:sectPr>
          <w:pgSz w:w="11900" w:h="16838" w:orient="portrait"/>
          <w:cols w:equalWidth="0" w:num="1">
            <w:col w:w="10980"/>
          </w:cols>
          <w:pgMar w:left="320" w:top="978" w:right="59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EMPLOYEE: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WITNESS:</w:t>
      </w:r>
    </w:p>
    <w:p>
      <w:pPr>
        <w:spacing w:after="0" w:line="195" w:lineRule="exact"/>
        <w:rPr>
          <w:sz w:val="20"/>
          <w:szCs w:val="20"/>
          <w:color w:val="auto"/>
        </w:rPr>
      </w:pPr>
    </w:p>
    <w:p>
      <w:pPr>
        <w:sectPr>
          <w:pgSz w:w="11900" w:h="16838" w:orient="portrait"/>
          <w:cols w:equalWidth="0" w:num="2">
            <w:col w:w="2300" w:space="720"/>
            <w:col w:w="7960"/>
          </w:cols>
          <w:pgMar w:left="320" w:top="978" w:right="599" w:bottom="1440" w:gutter="0" w:footer="0" w:header="0"/>
          <w:type w:val="continuous"/>
        </w:sectPr>
      </w:pPr>
    </w:p>
    <w:p>
      <w:pPr>
        <w:spacing w:after="0"/>
        <w:rPr>
          <w:sz w:val="20"/>
          <w:szCs w:val="20"/>
          <w:color w:val="auto"/>
        </w:rPr>
      </w:pPr>
      <w:r>
        <w:rPr>
          <w:rFonts w:ascii="Arial" w:cs="Arial" w:eastAsia="Arial" w:hAnsi="Arial"/>
          <w:sz w:val="20"/>
          <w:szCs w:val="20"/>
          <w:color w:val="auto"/>
        </w:rPr>
        <w:t>__________________________</w:t>
      </w:r>
    </w:p>
    <w:p>
      <w:pPr>
        <w:spacing w:after="0"/>
        <w:tabs>
          <w:tab w:leader="none" w:pos="2620" w:val="left"/>
        </w:tabs>
        <w:rPr>
          <w:sz w:val="20"/>
          <w:szCs w:val="20"/>
          <w:color w:val="auto"/>
        </w:rPr>
      </w:pPr>
      <w:r>
        <w:rPr>
          <w:rFonts w:ascii="Arial" w:cs="Arial" w:eastAsia="Arial" w:hAnsi="Arial"/>
          <w:sz w:val="20"/>
          <w:szCs w:val="20"/>
          <w:b w:val="1"/>
          <w:bCs w:val="1"/>
          <w:color w:val="auto"/>
        </w:rPr>
        <w:t>Print Name</w:t>
      </w:r>
      <w:r>
        <w:rPr>
          <w:sz w:val="20"/>
          <w:szCs w:val="20"/>
          <w:color w:val="auto"/>
        </w:rPr>
        <w:tab/>
      </w:r>
      <w:r>
        <w:rPr>
          <w:rFonts w:ascii="Arial" w:cs="Arial" w:eastAsia="Arial" w:hAnsi="Arial"/>
          <w:sz w:val="20"/>
          <w:szCs w:val="20"/>
          <w:b w:val="1"/>
          <w:bCs w:val="1"/>
          <w:color w:val="auto"/>
        </w:rPr>
        <w:t>Print Name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400" w:lineRule="exact"/>
        <w:rPr>
          <w:sz w:val="20"/>
          <w:szCs w:val="20"/>
          <w:color w:val="auto"/>
        </w:rPr>
      </w:pPr>
    </w:p>
    <w:p>
      <w:pPr>
        <w:sectPr>
          <w:pgSz w:w="11900" w:h="16838" w:orient="portrait"/>
          <w:cols w:equalWidth="0" w:num="2">
            <w:col w:w="3700" w:space="100"/>
            <w:col w:w="7180"/>
          </w:cols>
          <w:pgMar w:left="320" w:top="978" w:right="599" w:bottom="1440" w:gutter="0" w:footer="0" w:header="0"/>
          <w:type w:val="continuous"/>
        </w:sectPr>
      </w:pPr>
    </w:p>
    <w:p>
      <w:pPr>
        <w:spacing w:after="0" w:line="245"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 xml:space="preserve">_________________________ </w:t>
      </w:r>
      <w:r>
        <w:rPr>
          <w:rFonts w:ascii="Arial" w:cs="Arial" w:eastAsia="Arial" w:hAnsi="Arial"/>
          <w:sz w:val="20"/>
          <w:szCs w:val="20"/>
          <w:b w:val="1"/>
          <w:bCs w:val="1"/>
          <w:color w:val="auto"/>
        </w:rPr>
        <w:t>Signature Signature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ectPr>
          <w:pgSz w:w="11900" w:h="16838" w:orient="portrait"/>
          <w:cols w:equalWidth="0" w:num="2">
            <w:col w:w="3420" w:space="280"/>
            <w:col w:w="7280"/>
          </w:cols>
          <w:pgMar w:left="320" w:top="978" w:right="599" w:bottom="1440" w:gutter="0" w:footer="0" w:header="0"/>
          <w:type w:val="continuous"/>
        </w:sectPr>
      </w:pPr>
    </w:p>
    <w:bookmarkStart w:id="83" w:name="page84"/>
    <w:bookmarkEnd w:id="83"/>
    <w:p>
      <w:pPr>
        <w:jc w:val="center"/>
        <w:ind w:right="220"/>
        <w:spacing w:after="0"/>
        <w:rPr>
          <w:sz w:val="20"/>
          <w:szCs w:val="20"/>
          <w:color w:val="auto"/>
        </w:rPr>
      </w:pPr>
      <w:r>
        <w:rPr>
          <w:rFonts w:ascii="Arial" w:cs="Arial" w:eastAsia="Arial" w:hAnsi="Arial"/>
          <w:sz w:val="21"/>
          <w:szCs w:val="21"/>
          <w:b w:val="1"/>
          <w:bCs w:val="1"/>
          <w:u w:val="single" w:color="auto"/>
          <w:color w:val="auto"/>
        </w:rPr>
        <w:t>EXHIBIT A TERMINATION CERTIFICATE</w:t>
      </w:r>
    </w:p>
    <w:p>
      <w:pPr>
        <w:spacing w:after="0" w:line="365" w:lineRule="exact"/>
        <w:rPr>
          <w:sz w:val="20"/>
          <w:szCs w:val="20"/>
          <w:color w:val="auto"/>
        </w:rPr>
      </w:pPr>
    </w:p>
    <w:p>
      <w:pPr>
        <w:ind w:right="300"/>
        <w:spacing w:after="0" w:line="309" w:lineRule="auto"/>
        <w:rPr>
          <w:sz w:val="20"/>
          <w:szCs w:val="20"/>
          <w:color w:val="auto"/>
        </w:rPr>
      </w:pPr>
      <w:r>
        <w:rPr>
          <w:rFonts w:ascii="Arial" w:cs="Arial" w:eastAsia="Arial" w:hAnsi="Arial"/>
          <w:sz w:val="20"/>
          <w:szCs w:val="20"/>
          <w:color w:val="auto"/>
        </w:rPr>
        <w:t>This is to confirm that I have reviewed the Employee Nondisclosure, Confidentiality, and Nonsolicitation Agreement (“Agreement”) signed by me on _________, 20__ and that I understand the terms of that Agreement and the</w:t>
      </w:r>
    </w:p>
    <w:p>
      <w:pPr>
        <w:spacing w:after="0" w:line="2" w:lineRule="exact"/>
        <w:rPr>
          <w:sz w:val="20"/>
          <w:szCs w:val="20"/>
          <w:color w:val="auto"/>
        </w:rPr>
      </w:pPr>
    </w:p>
    <w:p>
      <w:pPr>
        <w:ind w:right="260"/>
        <w:spacing w:after="0" w:line="330" w:lineRule="auto"/>
        <w:rPr>
          <w:sz w:val="20"/>
          <w:szCs w:val="20"/>
          <w:color w:val="auto"/>
        </w:rPr>
      </w:pPr>
      <w:r>
        <w:rPr>
          <w:rFonts w:ascii="Arial" w:cs="Arial" w:eastAsia="Arial" w:hAnsi="Arial"/>
          <w:sz w:val="20"/>
          <w:szCs w:val="20"/>
          <w:color w:val="auto"/>
        </w:rPr>
        <w:t>continuing obligations I have under that Agreement. During the course of my employment with the Company, I have had access to information regarded by the Company as Confidential information as defined by the Agreement.</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21"/>
          <w:szCs w:val="21"/>
          <w:color w:val="auto"/>
        </w:rPr>
        <w:t>I certify that I do not have in my possession or control, nor have I failed to return, any Confidential Information of the Company, including any specifications, drawings, blueprints, reproductions, prototypes, sketches, notes, reports, proposals or copies thereof, or other documents or materials, tools, equipment, devices or other property belonging to the Company, including any documents, records, notebooks and similar repositories of Confidential Information, or any copies thereof, whether prepared by me or others, and whether stored in paper, disk, electronic, magnetic or other form.</w:t>
      </w:r>
    </w:p>
    <w:p>
      <w:pPr>
        <w:spacing w:after="0" w:line="265" w:lineRule="exact"/>
        <w:rPr>
          <w:sz w:val="20"/>
          <w:szCs w:val="20"/>
          <w:color w:val="auto"/>
        </w:rPr>
      </w:pPr>
    </w:p>
    <w:p>
      <w:pPr>
        <w:jc w:val="both"/>
        <w:spacing w:after="0" w:line="312" w:lineRule="auto"/>
        <w:rPr>
          <w:sz w:val="20"/>
          <w:szCs w:val="20"/>
          <w:color w:val="auto"/>
        </w:rPr>
      </w:pPr>
      <w:r>
        <w:rPr>
          <w:rFonts w:ascii="Arial" w:cs="Arial" w:eastAsia="Arial" w:hAnsi="Arial"/>
          <w:sz w:val="21"/>
          <w:szCs w:val="21"/>
          <w:color w:val="auto"/>
        </w:rPr>
        <w:t xml:space="preserve">I recognize that the unauthorized taking of any of the Company's tangible trade secrets is a crime under Section 499(c) of the California Penal Code, and that any unauthorized taking of the Company's trade secrets also may result in civil liability under California Civil Code Section 3426, </w:t>
      </w:r>
      <w:r>
        <w:rPr>
          <w:rFonts w:ascii="Arial" w:cs="Arial" w:eastAsia="Arial" w:hAnsi="Arial"/>
          <w:sz w:val="21"/>
          <w:szCs w:val="21"/>
          <w:u w:val="single" w:color="auto"/>
          <w:color w:val="auto"/>
        </w:rPr>
        <w:t>et seq</w:t>
      </w:r>
      <w:r>
        <w:rPr>
          <w:rFonts w:ascii="Arial" w:cs="Arial" w:eastAsia="Arial" w:hAnsi="Arial"/>
          <w:sz w:val="21"/>
          <w:szCs w:val="21"/>
          <w:color w:val="auto"/>
        </w:rPr>
        <w:t>.</w:t>
      </w:r>
    </w:p>
    <w:p>
      <w:pPr>
        <w:spacing w:after="0" w:line="314" w:lineRule="exact"/>
        <w:rPr>
          <w:sz w:val="20"/>
          <w:szCs w:val="20"/>
          <w:color w:val="auto"/>
        </w:rPr>
      </w:pPr>
    </w:p>
    <w:p>
      <w:pPr>
        <w:jc w:val="both"/>
        <w:spacing w:after="0" w:line="297" w:lineRule="auto"/>
        <w:rPr>
          <w:sz w:val="20"/>
          <w:szCs w:val="20"/>
          <w:color w:val="auto"/>
        </w:rPr>
      </w:pPr>
      <w:r>
        <w:rPr>
          <w:rFonts w:ascii="Arial" w:cs="Arial" w:eastAsia="Arial" w:hAnsi="Arial"/>
          <w:sz w:val="21"/>
          <w:szCs w:val="21"/>
          <w:color w:val="auto"/>
        </w:rPr>
        <w:t>I further certify that I have complied with and will continue to comply with all of the terms of the Agreement signed by me with the Company, including the reporting of any inventions conceived or reduced to practice by me and covered by the Agreement. I further agree that in compliance with the Agreement, I will preserve in strictest confidence and keep confidential all proprietary, technical and business information pertaining to the Company, and will not disclose or use any Confidential Information for myself or for the benefit of any other person or entity.</w:t>
      </w:r>
    </w:p>
    <w:p>
      <w:pPr>
        <w:spacing w:after="0" w:line="342" w:lineRule="exact"/>
        <w:rPr>
          <w:sz w:val="20"/>
          <w:szCs w:val="20"/>
          <w:color w:val="auto"/>
        </w:rPr>
      </w:pPr>
    </w:p>
    <w:p>
      <w:pPr>
        <w:jc w:val="both"/>
        <w:spacing w:after="0" w:line="302" w:lineRule="auto"/>
        <w:rPr>
          <w:sz w:val="20"/>
          <w:szCs w:val="20"/>
          <w:color w:val="auto"/>
        </w:rPr>
      </w:pPr>
      <w:r>
        <w:rPr>
          <w:rFonts w:ascii="Arial" w:cs="Arial" w:eastAsia="Arial" w:hAnsi="Arial"/>
          <w:sz w:val="21"/>
          <w:szCs w:val="21"/>
          <w:color w:val="auto"/>
        </w:rPr>
        <w:t>Upon termination of my employment with the Company, I will be employed by (name of new employer) in the (division/department) and will be working in connection with the projects (generally describe the projects):</w:t>
      </w:r>
    </w:p>
    <w:p>
      <w:pPr>
        <w:spacing w:after="0" w:line="200" w:lineRule="exact"/>
        <w:rPr>
          <w:sz w:val="20"/>
          <w:szCs w:val="20"/>
          <w:color w:val="auto"/>
        </w:rPr>
      </w:pPr>
    </w:p>
    <w:p>
      <w:pPr>
        <w:spacing w:after="0" w:line="272" w:lineRule="exact"/>
        <w:rPr>
          <w:sz w:val="20"/>
          <w:szCs w:val="20"/>
          <w:color w:val="auto"/>
        </w:rPr>
      </w:pPr>
    </w:p>
    <w:p>
      <w:pPr>
        <w:jc w:val="both"/>
        <w:spacing w:after="0" w:line="297" w:lineRule="auto"/>
        <w:rPr>
          <w:sz w:val="20"/>
          <w:szCs w:val="20"/>
          <w:color w:val="auto"/>
        </w:rPr>
      </w:pPr>
      <w:r>
        <w:rPr>
          <w:rFonts w:ascii="Arial" w:cs="Arial" w:eastAsia="Arial" w:hAnsi="Arial"/>
          <w:sz w:val="21"/>
          <w:szCs w:val="21"/>
          <w:color w:val="auto"/>
        </w:rPr>
        <w:t>If requested by the Company, I agree to notify my new employer as to the general nature or subject matter of the confidential and proprietary information to which I had access while employed by the Company, and as to my obligations with respect to such information (without actually disclosing such Confidential Information). I also understand that the Company may notify my new employer of the existence of the Agreement and this Certificate.</w:t>
      </w:r>
    </w:p>
    <w:p>
      <w:pPr>
        <w:sectPr>
          <w:pgSz w:w="11900" w:h="16838" w:orient="portrait"/>
          <w:cols w:equalWidth="0" w:num="1">
            <w:col w:w="10800"/>
          </w:cols>
          <w:pgMar w:left="660" w:top="1168" w:right="439" w:bottom="1440" w:gutter="0" w:footer="0" w:header="0"/>
        </w:sectPr>
      </w:pPr>
    </w:p>
    <w:bookmarkStart w:id="84" w:name="page85"/>
    <w:bookmarkEnd w:id="84"/>
    <w:p>
      <w:pPr>
        <w:spacing w:after="0" w:line="297" w:lineRule="auto"/>
        <w:rPr>
          <w:sz w:val="20"/>
          <w:szCs w:val="20"/>
          <w:color w:val="auto"/>
        </w:rPr>
      </w:pPr>
      <w:r>
        <w:rPr>
          <w:rFonts w:ascii="Arial" w:cs="Arial" w:eastAsia="Arial" w:hAnsi="Arial"/>
          <w:sz w:val="21"/>
          <w:szCs w:val="21"/>
          <w:color w:val="auto"/>
        </w:rPr>
        <w:t>I understand and acknowledge that should I fail to comply with my obligations under the Agreement after my employment ends, the Company shall have, in addition to the right to damages, the right to obtain an injunction against me, including without limitation an injunction prohibiting me from disclosing Confidential Information to my new employer or to any third party.</w:t>
      </w:r>
    </w:p>
    <w:p>
      <w:pPr>
        <w:sectPr>
          <w:pgSz w:w="11900" w:h="16838" w:orient="portrait"/>
          <w:cols w:equalWidth="0" w:num="1">
            <w:col w:w="10340"/>
          </w:cols>
          <w:pgMar w:left="660" w:top="1235" w:right="899" w:bottom="1440" w:gutter="0" w:footer="0" w:header="0"/>
        </w:sectPr>
      </w:pPr>
    </w:p>
    <w:bookmarkStart w:id="85" w:name="page86"/>
    <w:bookmarkEnd w:id="85"/>
    <w:p>
      <w:pPr>
        <w:ind w:left="240"/>
        <w:spacing w:after="0"/>
        <w:rPr>
          <w:sz w:val="20"/>
          <w:szCs w:val="20"/>
          <w:color w:val="auto"/>
        </w:rPr>
      </w:pPr>
      <w:r>
        <w:rPr>
          <w:rFonts w:ascii="Arial" w:cs="Arial" w:eastAsia="Arial" w:hAnsi="Arial"/>
          <w:sz w:val="20"/>
          <w:szCs w:val="20"/>
          <w:color w:val="auto"/>
        </w:rPr>
        <w:t>This Agreement is executed by me at _____________________, in the State of ____________, as of this ___ day of</w:t>
      </w:r>
    </w:p>
    <w:p>
      <w:pPr>
        <w:ind w:left="240"/>
        <w:spacing w:after="0"/>
        <w:rPr>
          <w:sz w:val="20"/>
          <w:szCs w:val="20"/>
          <w:color w:val="auto"/>
        </w:rPr>
      </w:pPr>
      <w:r>
        <w:rPr>
          <w:rFonts w:ascii="Arial" w:cs="Arial" w:eastAsia="Arial" w:hAnsi="Arial"/>
          <w:sz w:val="21"/>
          <w:szCs w:val="21"/>
          <w:color w:val="auto"/>
        </w:rPr>
        <w:t>____________, 20__.</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460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1460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ectPr>
          <w:pgSz w:w="11900" w:h="16838" w:orient="portrait"/>
          <w:cols w:equalWidth="0" w:num="1">
            <w:col w:w="10940"/>
          </w:cols>
          <w:pgMar w:left="540" w:top="1167" w:right="419" w:bottom="1440" w:gutter="0" w:footer="0" w:header="0"/>
        </w:sectPr>
      </w:pPr>
    </w:p>
    <w:bookmarkStart w:id="86" w:name="page87"/>
    <w:bookmarkEnd w:id="86"/>
    <w:p>
      <w:pPr>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5626100</wp:posOffset>
            </wp:positionH>
            <wp:positionV relativeFrom="page">
              <wp:posOffset>88900</wp:posOffset>
            </wp:positionV>
            <wp:extent cx="1714500" cy="222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22885"/>
                    </a:xfrm>
                    <a:prstGeom prst="rect">
                      <a:avLst/>
                    </a:prstGeom>
                    <a:noFill/>
                  </pic:spPr>
                </pic:pic>
              </a:graphicData>
            </a:graphic>
          </wp:anchor>
        </w:drawing>
        <w:t>CONFIDENTIAL</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Clover Health Investments, Corp.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3401 Mallory Lane, Suite 210</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Franklin TN 37067</w:t>
      </w:r>
    </w:p>
    <w:p>
      <w:pPr>
        <w:spacing w:after="0" w:line="246"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u w:val="single" w:color="auto"/>
          <w:color w:val="auto"/>
        </w:rPr>
        <w:t>EMPLOYMENT AGREEMENT</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Dear Aric Sharp,</w:t>
      </w:r>
    </w:p>
    <w:p>
      <w:pPr>
        <w:spacing w:after="0" w:line="200" w:lineRule="exact"/>
        <w:rPr>
          <w:sz w:val="20"/>
          <w:szCs w:val="20"/>
          <w:color w:val="auto"/>
        </w:rPr>
      </w:pPr>
    </w:p>
    <w:p>
      <w:pPr>
        <w:spacing w:after="0" w:line="22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This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between you (referred to hereinafter as the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and Clover Health, LLC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sets forth the terms and conditions that shall govern Executive’s employment with the Company (referred to hereinafter as “</w:t>
      </w:r>
      <w:r>
        <w:rPr>
          <w:rFonts w:ascii="Arial" w:cs="Arial" w:eastAsia="Arial" w:hAnsi="Arial"/>
          <w:sz w:val="20"/>
          <w:szCs w:val="20"/>
          <w:b w:val="1"/>
          <w:bCs w:val="1"/>
          <w:i w:val="1"/>
          <w:iCs w:val="1"/>
          <w:color w:val="auto"/>
        </w:rPr>
        <w:t>Employment</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Employment Period</w:t>
      </w:r>
      <w:r>
        <w:rPr>
          <w:rFonts w:ascii="Arial" w:cs="Arial" w:eastAsia="Arial" w:hAnsi="Arial"/>
          <w:sz w:val="20"/>
          <w:szCs w:val="20"/>
          <w:color w:val="auto"/>
        </w:rPr>
        <w:t>”), effective as of May 9, 2022.</w:t>
      </w:r>
    </w:p>
    <w:p>
      <w:pPr>
        <w:spacing w:after="0" w:line="172" w:lineRule="exact"/>
        <w:rPr>
          <w:sz w:val="20"/>
          <w:szCs w:val="20"/>
          <w:color w:val="auto"/>
        </w:rPr>
      </w:pPr>
    </w:p>
    <w:p>
      <w:pPr>
        <w:ind w:left="640" w:hanging="308"/>
        <w:spacing w:after="0"/>
        <w:tabs>
          <w:tab w:leader="none" w:pos="640" w:val="left"/>
        </w:tabs>
        <w:numPr>
          <w:ilvl w:val="0"/>
          <w:numId w:val="66"/>
        </w:numPr>
        <w:rPr>
          <w:rFonts w:ascii="Arial" w:cs="Arial" w:eastAsia="Arial" w:hAnsi="Arial"/>
          <w:sz w:val="20"/>
          <w:szCs w:val="20"/>
          <w:color w:val="auto"/>
        </w:rPr>
      </w:pPr>
      <w:r>
        <w:rPr>
          <w:rFonts w:ascii="Arial" w:cs="Arial" w:eastAsia="Arial" w:hAnsi="Arial"/>
          <w:sz w:val="20"/>
          <w:szCs w:val="20"/>
          <w:b w:val="1"/>
          <w:bCs w:val="1"/>
          <w:u w:val="single" w:color="auto"/>
          <w:color w:val="auto"/>
        </w:rPr>
        <w:t>Duties and Scope of Employment</w:t>
      </w:r>
      <w:r>
        <w:rPr>
          <w:rFonts w:ascii="Arial" w:cs="Arial" w:eastAsia="Arial" w:hAnsi="Arial"/>
          <w:sz w:val="20"/>
          <w:szCs w:val="20"/>
          <w:b w:val="1"/>
          <w:bCs w:val="1"/>
          <w:color w:val="auto"/>
        </w:rPr>
        <w:t>.</w:t>
      </w:r>
    </w:p>
    <w:p>
      <w:pPr>
        <w:spacing w:after="0" w:line="242" w:lineRule="exact"/>
        <w:rPr>
          <w:rFonts w:ascii="Arial" w:cs="Arial" w:eastAsia="Arial" w:hAnsi="Arial"/>
          <w:sz w:val="20"/>
          <w:szCs w:val="20"/>
          <w:color w:val="auto"/>
        </w:rPr>
      </w:pPr>
    </w:p>
    <w:p>
      <w:pPr>
        <w:jc w:val="both"/>
        <w:ind w:left="1300" w:hanging="320"/>
        <w:spacing w:after="0" w:line="274" w:lineRule="auto"/>
        <w:tabs>
          <w:tab w:leader="none" w:pos="1289" w:val="left"/>
        </w:tabs>
        <w:numPr>
          <w:ilvl w:val="1"/>
          <w:numId w:val="66"/>
        </w:numPr>
        <w:rPr>
          <w:rFonts w:ascii="Arial" w:cs="Arial" w:eastAsia="Arial" w:hAnsi="Arial"/>
          <w:sz w:val="20"/>
          <w:szCs w:val="20"/>
          <w:color w:val="auto"/>
        </w:rPr>
      </w:pPr>
      <w:r>
        <w:rPr>
          <w:rFonts w:ascii="Arial" w:cs="Arial" w:eastAsia="Arial" w:hAnsi="Arial"/>
          <w:sz w:val="20"/>
          <w:szCs w:val="20"/>
          <w:b w:val="1"/>
          <w:bCs w:val="1"/>
          <w:u w:val="single" w:color="auto"/>
          <w:color w:val="auto"/>
        </w:rPr>
        <w:t>At-Will Employment</w:t>
      </w:r>
      <w:r>
        <w:rPr>
          <w:rFonts w:ascii="Arial" w:cs="Arial" w:eastAsia="Arial" w:hAnsi="Arial"/>
          <w:sz w:val="20"/>
          <w:szCs w:val="20"/>
          <w:color w:val="auto"/>
        </w:rPr>
        <w:t>. Executive’s Employment with the Company is for no specified period and constitutes “at</w:t>
      </w:r>
      <w:r>
        <w:rPr>
          <w:rFonts w:ascii="Arial" w:cs="Arial" w:eastAsia="Arial" w:hAnsi="Arial"/>
          <w:sz w:val="20"/>
          <w:szCs w:val="20"/>
          <w:b w:val="1"/>
          <w:bCs w:val="1"/>
          <w:color w:val="auto"/>
        </w:rPr>
        <w:t xml:space="preserve"> </w:t>
      </w:r>
      <w:r>
        <w:rPr>
          <w:rFonts w:ascii="Arial" w:cs="Arial" w:eastAsia="Arial" w:hAnsi="Arial"/>
          <w:sz w:val="20"/>
          <w:szCs w:val="20"/>
          <w:color w:val="auto"/>
        </w:rPr>
        <w:t>will” employment. Except as otherwise set forth herein,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terms and conditions of Executive’s Employment with the Company may change over time, nothing shall change the at-will nature of Executive’s Employment.</w:t>
      </w:r>
    </w:p>
    <w:p>
      <w:pPr>
        <w:spacing w:after="0" w:line="139" w:lineRule="exact"/>
        <w:rPr>
          <w:rFonts w:ascii="Arial" w:cs="Arial" w:eastAsia="Arial" w:hAnsi="Arial"/>
          <w:sz w:val="20"/>
          <w:szCs w:val="20"/>
          <w:color w:val="auto"/>
        </w:rPr>
      </w:pPr>
    </w:p>
    <w:p>
      <w:pPr>
        <w:jc w:val="both"/>
        <w:ind w:left="1300" w:hanging="320"/>
        <w:spacing w:after="0" w:line="294" w:lineRule="auto"/>
        <w:tabs>
          <w:tab w:leader="none" w:pos="1289" w:val="left"/>
        </w:tabs>
        <w:numPr>
          <w:ilvl w:val="1"/>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Position and Responsibilities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Employment Period, the Company agrees to employ Executive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position of Chief Executive Officer, Value Based Care. Executive will report to the Company’s Chief Executive</w:t>
      </w:r>
    </w:p>
    <w:p>
      <w:pPr>
        <w:spacing w:after="0" w:line="1" w:lineRule="exact"/>
        <w:rPr>
          <w:rFonts w:ascii="Arial" w:cs="Arial" w:eastAsia="Arial" w:hAnsi="Arial"/>
          <w:sz w:val="19"/>
          <w:szCs w:val="19"/>
          <w:color w:val="auto"/>
        </w:rPr>
      </w:pPr>
    </w:p>
    <w:p>
      <w:pPr>
        <w:jc w:val="both"/>
        <w:ind w:left="1300"/>
        <w:spacing w:after="0" w:line="270" w:lineRule="auto"/>
        <w:rPr>
          <w:rFonts w:ascii="Arial" w:cs="Arial" w:eastAsia="Arial" w:hAnsi="Arial"/>
          <w:sz w:val="19"/>
          <w:szCs w:val="19"/>
          <w:color w:val="auto"/>
        </w:rPr>
      </w:pPr>
      <w:r>
        <w:rPr>
          <w:rFonts w:ascii="Arial" w:cs="Arial" w:eastAsia="Arial" w:hAnsi="Arial"/>
          <w:sz w:val="20"/>
          <w:szCs w:val="20"/>
          <w:color w:val="auto"/>
        </w:rPr>
        <w:t xml:space="preserve">Officer, </w:t>
      </w:r>
      <w:r>
        <w:rPr>
          <w:rFonts w:ascii="Arial" w:cs="Arial" w:eastAsia="Arial" w:hAnsi="Arial"/>
          <w:sz w:val="20"/>
          <w:szCs w:val="20"/>
          <w:color w:val="222222"/>
        </w:rPr>
        <w:t>Vivek Garipalli</w:t>
      </w:r>
      <w:r>
        <w:rPr>
          <w:rFonts w:ascii="Arial" w:cs="Arial" w:eastAsia="Arial" w:hAnsi="Arial"/>
          <w:sz w:val="20"/>
          <w:szCs w:val="20"/>
          <w:color w:val="auto"/>
        </w:rPr>
        <w:t>, or to such other Person as the Company subsequently may determine (Executive’s “</w:t>
      </w:r>
      <w:r>
        <w:rPr>
          <w:rFonts w:ascii="Arial" w:cs="Arial" w:eastAsia="Arial" w:hAnsi="Arial"/>
          <w:sz w:val="20"/>
          <w:szCs w:val="20"/>
          <w:b w:val="1"/>
          <w:bCs w:val="1"/>
          <w:i w:val="1"/>
          <w:iCs w:val="1"/>
          <w:color w:val="auto"/>
        </w:rPr>
        <w:t>Supervisor</w:t>
      </w:r>
      <w:r>
        <w:rPr>
          <w:rFonts w:ascii="Arial" w:cs="Arial" w:eastAsia="Arial" w:hAnsi="Arial"/>
          <w:sz w:val="20"/>
          <w:szCs w:val="20"/>
          <w:color w:val="auto"/>
        </w:rPr>
        <w:t>”), and Executive will be working remotely and based out of Iowa. Executive will perform the duties and have the responsibilities and authority customarily performed and held by an employee in Executive’s position or as otherwise may be assigned or delegated to Executive by Executive’s Supervisor.</w:t>
      </w:r>
    </w:p>
    <w:p>
      <w:pPr>
        <w:spacing w:after="0" w:line="156" w:lineRule="exact"/>
        <w:rPr>
          <w:rFonts w:ascii="Arial" w:cs="Arial" w:eastAsia="Arial" w:hAnsi="Arial"/>
          <w:sz w:val="19"/>
          <w:szCs w:val="19"/>
          <w:color w:val="auto"/>
        </w:rPr>
      </w:pPr>
    </w:p>
    <w:p>
      <w:pPr>
        <w:jc w:val="both"/>
        <w:ind w:left="1300" w:hanging="320"/>
        <w:spacing w:after="0" w:line="274" w:lineRule="auto"/>
        <w:tabs>
          <w:tab w:leader="none" w:pos="1292" w:val="left"/>
        </w:tabs>
        <w:numPr>
          <w:ilvl w:val="1"/>
          <w:numId w:val="66"/>
        </w:numPr>
        <w:rPr>
          <w:rFonts w:ascii="Arial" w:cs="Arial" w:eastAsia="Arial" w:hAnsi="Arial"/>
          <w:sz w:val="20"/>
          <w:szCs w:val="20"/>
          <w:color w:val="auto"/>
        </w:rPr>
      </w:pPr>
      <w:r>
        <w:rPr>
          <w:rFonts w:ascii="Arial" w:cs="Arial" w:eastAsia="Arial" w:hAnsi="Arial"/>
          <w:sz w:val="20"/>
          <w:szCs w:val="20"/>
          <w:b w:val="1"/>
          <w:bCs w:val="1"/>
          <w:u w:val="single" w:color="auto"/>
          <w:color w:val="auto"/>
        </w:rPr>
        <w:t>Obligations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Employment Period, Executive shall perform Executive’s duties</w:t>
      </w:r>
      <w:r>
        <w:rPr>
          <w:rFonts w:ascii="Arial" w:cs="Arial" w:eastAsia="Arial" w:hAnsi="Arial"/>
          <w:sz w:val="20"/>
          <w:szCs w:val="20"/>
          <w:b w:val="1"/>
          <w:bCs w:val="1"/>
          <w:color w:val="auto"/>
        </w:rPr>
        <w:t xml:space="preserve"> </w:t>
      </w:r>
      <w:r>
        <w:rPr>
          <w:rFonts w:ascii="Arial" w:cs="Arial" w:eastAsia="Arial" w:hAnsi="Arial"/>
          <w:sz w:val="20"/>
          <w:szCs w:val="20"/>
          <w:color w:val="auto"/>
        </w:rPr>
        <w:t>faithfully and to the best of Executive’s ability and will devote Executive’s full business efforts and time to the Company. During the Employment Period, without the prior written approval of Executive’s Supervisor, Executive shall not render services in any capacity to any other Person and shall not act as a sole proprietor, advisor or partner of any other Person or own more than five percent (5%) of the stock of any other corporation.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8" w:right="339" w:bottom="1440" w:gutter="0" w:footer="0" w:header="0"/>
        </w:sectPr>
      </w:pPr>
    </w:p>
    <w:bookmarkStart w:id="87" w:name="page88"/>
    <w:bookmarkEnd w:id="87"/>
    <w:p>
      <w:pPr>
        <w:spacing w:after="0" w:line="181" w:lineRule="exact"/>
        <w:rPr>
          <w:sz w:val="20"/>
          <w:szCs w:val="20"/>
          <w:color w:val="auto"/>
        </w:rPr>
      </w:pPr>
    </w:p>
    <w:p>
      <w:pPr>
        <w:jc w:val="both"/>
        <w:ind w:left="968"/>
        <w:spacing w:after="0" w:line="268" w:lineRule="auto"/>
        <w:rPr>
          <w:sz w:val="20"/>
          <w:szCs w:val="20"/>
          <w:color w:val="auto"/>
        </w:rPr>
      </w:pPr>
      <w:r>
        <w:rPr>
          <w:rFonts w:ascii="Arial" w:cs="Arial" w:eastAsia="Arial" w:hAnsi="Arial"/>
          <w:sz w:val="20"/>
          <w:szCs w:val="20"/>
          <w:color w:val="auto"/>
        </w:rPr>
        <w:t>foregoing, Executive may serve on civic or charitable boards or committees, deliver lectures, fulfill speaking engagements, teach at educational institutions, or manage personal investments without advance written consent of Executive’s Supervisor; provided that such activities do not individually or in the aggregate interfere with the performance of Executive’s duties under this Agreement or create a potential business or fiduciary conflict. Executive shall comply with the Company’s policies and rules, as they may be in effect from time to time during Executive’s Employment. Executive represents and warrants to the Company that Executive has returned all property and confidential information belonging to any prior employer.</w:t>
      </w:r>
    </w:p>
    <w:p>
      <w:pPr>
        <w:spacing w:after="0" w:line="163" w:lineRule="exact"/>
        <w:rPr>
          <w:sz w:val="20"/>
          <w:szCs w:val="20"/>
          <w:color w:val="auto"/>
        </w:rPr>
      </w:pPr>
    </w:p>
    <w:p>
      <w:pPr>
        <w:ind w:left="308" w:hanging="308"/>
        <w:spacing w:after="0"/>
        <w:tabs>
          <w:tab w:leader="none" w:pos="308" w:val="left"/>
        </w:tabs>
        <w:numPr>
          <w:ilvl w:val="0"/>
          <w:numId w:val="67"/>
        </w:numPr>
        <w:rPr>
          <w:rFonts w:ascii="Arial" w:cs="Arial" w:eastAsia="Arial" w:hAnsi="Arial"/>
          <w:sz w:val="20"/>
          <w:szCs w:val="20"/>
          <w:color w:val="auto"/>
        </w:rPr>
      </w:pPr>
      <w:r>
        <w:rPr>
          <w:rFonts w:ascii="Arial" w:cs="Arial" w:eastAsia="Arial" w:hAnsi="Arial"/>
          <w:sz w:val="20"/>
          <w:szCs w:val="20"/>
          <w:b w:val="1"/>
          <w:bCs w:val="1"/>
          <w:u w:val="single" w:color="auto"/>
          <w:color w:val="auto"/>
        </w:rPr>
        <w:t>Cash and Incentive Compensation</w:t>
      </w:r>
      <w:r>
        <w:rPr>
          <w:rFonts w:ascii="Arial" w:cs="Arial" w:eastAsia="Arial" w:hAnsi="Arial"/>
          <w:sz w:val="20"/>
          <w:szCs w:val="20"/>
          <w:b w:val="1"/>
          <w:bCs w:val="1"/>
          <w:color w:val="auto"/>
        </w:rPr>
        <w:t>.</w:t>
      </w:r>
    </w:p>
    <w:p>
      <w:pPr>
        <w:spacing w:after="0" w:line="202" w:lineRule="exact"/>
        <w:rPr>
          <w:rFonts w:ascii="Arial" w:cs="Arial" w:eastAsia="Arial" w:hAnsi="Arial"/>
          <w:sz w:val="20"/>
          <w:szCs w:val="20"/>
          <w:color w:val="auto"/>
        </w:rPr>
      </w:pPr>
    </w:p>
    <w:p>
      <w:pPr>
        <w:jc w:val="both"/>
        <w:ind w:left="968" w:hanging="320"/>
        <w:spacing w:after="0" w:line="276" w:lineRule="auto"/>
        <w:tabs>
          <w:tab w:leader="none" w:pos="957" w:val="left"/>
        </w:tabs>
        <w:numPr>
          <w:ilvl w:val="1"/>
          <w:numId w:val="67"/>
        </w:numPr>
        <w:rPr>
          <w:rFonts w:ascii="Arial" w:cs="Arial" w:eastAsia="Arial" w:hAnsi="Arial"/>
          <w:sz w:val="20"/>
          <w:szCs w:val="20"/>
          <w:color w:val="auto"/>
        </w:rPr>
      </w:pPr>
      <w:r>
        <w:rPr>
          <w:rFonts w:ascii="Arial" w:cs="Arial" w:eastAsia="Arial" w:hAnsi="Arial"/>
          <w:sz w:val="20"/>
          <w:szCs w:val="20"/>
          <w:b w:val="1"/>
          <w:bCs w:val="1"/>
          <w:u w:val="single" w:color="auto"/>
          <w:color w:val="auto"/>
        </w:rPr>
        <w:t>Base Salary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shall pay Executive, as compensation for Executive’s services, a base salary at a</w:t>
      </w:r>
      <w:r>
        <w:rPr>
          <w:rFonts w:ascii="Arial" w:cs="Arial" w:eastAsia="Arial" w:hAnsi="Arial"/>
          <w:sz w:val="20"/>
          <w:szCs w:val="20"/>
          <w:b w:val="1"/>
          <w:bCs w:val="1"/>
          <w:color w:val="auto"/>
        </w:rPr>
        <w:t xml:space="preserve"> </w:t>
      </w:r>
      <w:r>
        <w:rPr>
          <w:rFonts w:ascii="Arial" w:cs="Arial" w:eastAsia="Arial" w:hAnsi="Arial"/>
          <w:sz w:val="20"/>
          <w:szCs w:val="20"/>
          <w:color w:val="auto"/>
        </w:rPr>
        <w:t>gross annual rate of $475,000.00, less all required tax withholdings and other applicable deductions, in accordance with the Company’s standard payroll procedures. The annual compensation specified in this</w:t>
      </w:r>
    </w:p>
    <w:p>
      <w:pPr>
        <w:jc w:val="both"/>
        <w:ind w:left="968"/>
        <w:spacing w:after="0" w:line="269" w:lineRule="auto"/>
        <w:rPr>
          <w:rFonts w:ascii="Arial" w:cs="Arial" w:eastAsia="Arial" w:hAnsi="Arial"/>
          <w:sz w:val="20"/>
          <w:szCs w:val="20"/>
          <w:color w:val="auto"/>
        </w:rPr>
      </w:pPr>
      <w:r>
        <w:rPr>
          <w:rFonts w:ascii="Arial" w:cs="Arial" w:eastAsia="Arial" w:hAnsi="Arial"/>
          <w:sz w:val="20"/>
          <w:szCs w:val="20"/>
          <w:color w:val="auto"/>
        </w:rPr>
        <w:t>subsection (a), together with any modifications in such compensation that the Company may make from time to time, is referred to in this Agreement as the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Executive’s Base Salary will be subject to review and adjustments that will be made based upon the Company’s normal performance review practices. Effective as of the date of any change to Executive’s Base Salary, the Base Salary as so changed shall be considered the new Base Salary for all purposes of this Agreement.</w:t>
      </w:r>
    </w:p>
    <w:p>
      <w:pPr>
        <w:spacing w:after="0" w:line="145" w:lineRule="exact"/>
        <w:rPr>
          <w:rFonts w:ascii="Arial" w:cs="Arial" w:eastAsia="Arial" w:hAnsi="Arial"/>
          <w:sz w:val="20"/>
          <w:szCs w:val="20"/>
          <w:color w:val="auto"/>
        </w:rPr>
      </w:pPr>
    </w:p>
    <w:p>
      <w:pPr>
        <w:jc w:val="both"/>
        <w:ind w:left="968" w:hanging="320"/>
        <w:spacing w:after="0" w:line="288" w:lineRule="auto"/>
        <w:tabs>
          <w:tab w:leader="none" w:pos="957" w:val="left"/>
        </w:tabs>
        <w:numPr>
          <w:ilvl w:val="1"/>
          <w:numId w:val="67"/>
        </w:numPr>
        <w:rPr>
          <w:rFonts w:ascii="Arial" w:cs="Arial" w:eastAsia="Arial" w:hAnsi="Arial"/>
          <w:sz w:val="19"/>
          <w:szCs w:val="19"/>
          <w:color w:val="auto"/>
        </w:rPr>
      </w:pPr>
      <w:r>
        <w:rPr>
          <w:rFonts w:ascii="Arial" w:cs="Arial" w:eastAsia="Arial" w:hAnsi="Arial"/>
          <w:sz w:val="19"/>
          <w:szCs w:val="19"/>
          <w:b w:val="1"/>
          <w:bCs w:val="1"/>
          <w:u w:val="single" w:color="auto"/>
          <w:color w:val="auto"/>
        </w:rPr>
        <w:t>Cash Incentive Bonus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will be eligible to be considered for an annual cash incentive bonus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Cash Bonus</w:t>
      </w:r>
      <w:r>
        <w:rPr>
          <w:rFonts w:ascii="Arial" w:cs="Arial" w:eastAsia="Arial" w:hAnsi="Arial"/>
          <w:sz w:val="19"/>
          <w:szCs w:val="19"/>
          <w:color w:val="auto"/>
        </w:rPr>
        <w:t>”) each calendar year during the Employment Period (the “</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based upon the achievement of certain objective or subjective criteria (collectively, the “</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In compliance with all relevant legal requirements and based on Executive’s level within the Company, the Performance Goals for</w:t>
      </w:r>
    </w:p>
    <w:p>
      <w:pPr>
        <w:spacing w:after="0" w:line="1" w:lineRule="exact"/>
        <w:rPr>
          <w:rFonts w:ascii="Arial" w:cs="Arial" w:eastAsia="Arial" w:hAnsi="Arial"/>
          <w:sz w:val="19"/>
          <w:szCs w:val="19"/>
          <w:color w:val="auto"/>
        </w:rPr>
      </w:pPr>
    </w:p>
    <w:p>
      <w:pPr>
        <w:jc w:val="both"/>
        <w:ind w:left="968"/>
        <w:spacing w:after="0" w:line="268" w:lineRule="auto"/>
        <w:rPr>
          <w:rFonts w:ascii="Arial" w:cs="Arial" w:eastAsia="Arial" w:hAnsi="Arial"/>
          <w:sz w:val="19"/>
          <w:szCs w:val="19"/>
          <w:color w:val="auto"/>
        </w:rPr>
      </w:pPr>
      <w:r>
        <w:rPr>
          <w:rFonts w:ascii="Arial" w:cs="Arial" w:eastAsia="Arial" w:hAnsi="Arial"/>
          <w:sz w:val="20"/>
          <w:szCs w:val="20"/>
          <w:color w:val="auto"/>
        </w:rPr>
        <w:t>Executive’s Cash Bonus for a particular year will be established by, and in the sole discretion of, the Company’s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any Compensation Committee of the Board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or a delegate of either the Board or the Committee (the “</w:t>
      </w:r>
      <w:r>
        <w:rPr>
          <w:rFonts w:ascii="Arial" w:cs="Arial" w:eastAsia="Arial" w:hAnsi="Arial"/>
          <w:sz w:val="20"/>
          <w:szCs w:val="20"/>
          <w:b w:val="1"/>
          <w:bCs w:val="1"/>
          <w:i w:val="1"/>
          <w:iCs w:val="1"/>
          <w:color w:val="auto"/>
        </w:rPr>
        <w:t>Delegate</w:t>
      </w:r>
      <w:r>
        <w:rPr>
          <w:rFonts w:ascii="Arial" w:cs="Arial" w:eastAsia="Arial" w:hAnsi="Arial"/>
          <w:sz w:val="20"/>
          <w:szCs w:val="20"/>
          <w:color w:val="auto"/>
        </w:rPr>
        <w:t>”), as applicable. The initial target amount for any such Cash Bonus will be up to 75% of Executive’s Base Salary (the “</w:t>
      </w:r>
      <w:r>
        <w:rPr>
          <w:rFonts w:ascii="Arial" w:cs="Arial" w:eastAsia="Arial" w:hAnsi="Arial"/>
          <w:sz w:val="20"/>
          <w:szCs w:val="20"/>
          <w:b w:val="1"/>
          <w:bCs w:val="1"/>
          <w:i w:val="1"/>
          <w:iCs w:val="1"/>
          <w:color w:val="auto"/>
        </w:rPr>
        <w:t>Target Bonus Percentage</w:t>
      </w:r>
      <w:r>
        <w:rPr>
          <w:rFonts w:ascii="Arial" w:cs="Arial" w:eastAsia="Arial" w:hAnsi="Arial"/>
          <w:sz w:val="20"/>
          <w:szCs w:val="20"/>
          <w:color w:val="auto"/>
        </w:rPr>
        <w:t>”), less all required tax withholdings and other applicable deductions. The determinations of the Board, the Committee or the Delegate, as applicable, with respect to such Cash Bonus or the Target Bonus Percentage shall be final and binding. Executive’s Target Bonus Percentage for any subsequent year may be adjusted up or down, as determined in the sole discretion of the Board, the Committee or the Delegate, as applicable. Executive shall not earn a Cash Bonus unless Executive (i) has been employed by the Company for a minimum of three (3) months of the Performance Period and (ii) is employed by and in good standing with the Company on the date when such Cash Bonus is actually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08"/>
          </w:cols>
          <w:pgMar w:left="652" w:top="1440" w:right="339" w:bottom="1440" w:gutter="0" w:footer="0" w:header="0"/>
        </w:sectPr>
      </w:pPr>
    </w:p>
    <w:bookmarkStart w:id="88" w:name="page89"/>
    <w:bookmarkEnd w:id="88"/>
    <w:p>
      <w:pPr>
        <w:spacing w:after="0" w:line="181" w:lineRule="exact"/>
        <w:rPr>
          <w:sz w:val="20"/>
          <w:szCs w:val="20"/>
          <w:color w:val="auto"/>
        </w:rPr>
      </w:pPr>
    </w:p>
    <w:p>
      <w:pPr>
        <w:jc w:val="both"/>
        <w:ind w:left="968"/>
        <w:spacing w:after="0" w:line="270" w:lineRule="auto"/>
        <w:rPr>
          <w:sz w:val="20"/>
          <w:szCs w:val="20"/>
          <w:color w:val="auto"/>
        </w:rPr>
      </w:pPr>
      <w:r>
        <w:rPr>
          <w:rFonts w:ascii="Arial" w:cs="Arial" w:eastAsia="Arial" w:hAnsi="Arial"/>
          <w:sz w:val="20"/>
          <w:szCs w:val="20"/>
          <w:color w:val="auto"/>
        </w:rPr>
        <w:t>paid by the Company. If Executive has not been employed by the Company for the full Performance Period associated with the Cash Bonus, Executive will not be eligible for the full Cash Bonus that year; instead, Executive’s Cash Bonus will be prorated based on the number of completed months Executive has been employed with the Company.</w:t>
      </w:r>
    </w:p>
    <w:p>
      <w:pPr>
        <w:spacing w:after="0" w:line="156" w:lineRule="exact"/>
        <w:rPr>
          <w:sz w:val="20"/>
          <w:szCs w:val="20"/>
          <w:color w:val="auto"/>
        </w:rPr>
      </w:pPr>
    </w:p>
    <w:p>
      <w:pPr>
        <w:jc w:val="both"/>
        <w:ind w:left="968" w:hanging="320"/>
        <w:spacing w:after="0" w:line="291" w:lineRule="auto"/>
        <w:tabs>
          <w:tab w:leader="none" w:pos="956" w:val="left"/>
        </w:tabs>
        <w:numPr>
          <w:ilvl w:val="1"/>
          <w:numId w:val="68"/>
        </w:numPr>
        <w:rPr>
          <w:rFonts w:ascii="Arial" w:cs="Arial" w:eastAsia="Arial" w:hAnsi="Arial"/>
          <w:sz w:val="19"/>
          <w:szCs w:val="19"/>
          <w:color w:val="auto"/>
        </w:rPr>
      </w:pPr>
      <w:r>
        <w:rPr>
          <w:rFonts w:ascii="Arial" w:cs="Arial" w:eastAsia="Arial" w:hAnsi="Arial"/>
          <w:sz w:val="19"/>
          <w:szCs w:val="19"/>
          <w:b w:val="1"/>
          <w:bCs w:val="1"/>
          <w:u w:val="single" w:color="auto"/>
          <w:color w:val="auto"/>
        </w:rPr>
        <w:t>Signing Bonus</w:t>
      </w:r>
      <w:r>
        <w:rPr>
          <w:rFonts w:ascii="Arial" w:cs="Arial" w:eastAsia="Arial" w:hAnsi="Arial"/>
          <w:sz w:val="19"/>
          <w:szCs w:val="19"/>
          <w:color w:val="auto"/>
        </w:rPr>
        <w:t>. You will be eligible for a signing bonus of $150,000.00 (the “Signing Bonus”). This Signing</w:t>
      </w:r>
      <w:r>
        <w:rPr>
          <w:rFonts w:ascii="Arial" w:cs="Arial" w:eastAsia="Arial" w:hAnsi="Arial"/>
          <w:sz w:val="19"/>
          <w:szCs w:val="19"/>
          <w:b w:val="1"/>
          <w:bCs w:val="1"/>
          <w:color w:val="auto"/>
        </w:rPr>
        <w:t xml:space="preserve"> </w:t>
      </w:r>
      <w:r>
        <w:rPr>
          <w:rFonts w:ascii="Arial" w:cs="Arial" w:eastAsia="Arial" w:hAnsi="Arial"/>
          <w:sz w:val="19"/>
          <w:szCs w:val="19"/>
          <w:color w:val="auto"/>
        </w:rPr>
        <w:t>Bonus will be paid in two equal installments of $75,000.00 with a payment occurring on the next regularly scheduled pay date after (i) your start date (the date you begin employment with the Company) and (ii) 6 months after your start date. If you voluntarily terminate your employment with the Company, or the Company terminates your employment for performance reasons, within 12 months of your start date, you agree to reimburse the Signing Bonus to the Company based on the schedule below within thirty (30) days of your termination date.</w:t>
      </w:r>
    </w:p>
    <w:p>
      <w:pPr>
        <w:spacing w:after="0" w:line="216" w:lineRule="exact"/>
        <w:rPr>
          <w:rFonts w:ascii="Arial" w:cs="Arial" w:eastAsia="Arial" w:hAnsi="Arial"/>
          <w:sz w:val="19"/>
          <w:szCs w:val="19"/>
          <w:color w:val="auto"/>
        </w:rPr>
      </w:pPr>
    </w:p>
    <w:p>
      <w:pPr>
        <w:ind w:left="968"/>
        <w:spacing w:after="0"/>
        <w:rPr>
          <w:rFonts w:ascii="Arial" w:cs="Arial" w:eastAsia="Arial" w:hAnsi="Arial"/>
          <w:sz w:val="19"/>
          <w:szCs w:val="19"/>
          <w:color w:val="auto"/>
        </w:rPr>
      </w:pPr>
      <w:r>
        <w:rPr>
          <w:rFonts w:ascii="Arial" w:cs="Arial" w:eastAsia="Arial" w:hAnsi="Arial"/>
          <w:sz w:val="20"/>
          <w:szCs w:val="20"/>
          <w:color w:val="auto"/>
        </w:rPr>
        <w:t>Termination occurs within:</w:t>
      </w:r>
    </w:p>
    <w:p>
      <w:pPr>
        <w:spacing w:after="0" w:line="26" w:lineRule="exact"/>
        <w:rPr>
          <w:rFonts w:ascii="Arial" w:cs="Arial" w:eastAsia="Arial" w:hAnsi="Arial"/>
          <w:sz w:val="19"/>
          <w:szCs w:val="19"/>
          <w:color w:val="auto"/>
        </w:rPr>
      </w:pPr>
    </w:p>
    <w:p>
      <w:pPr>
        <w:ind w:left="968"/>
        <w:spacing w:after="0"/>
        <w:rPr>
          <w:rFonts w:ascii="Arial" w:cs="Arial" w:eastAsia="Arial" w:hAnsi="Arial"/>
          <w:sz w:val="19"/>
          <w:szCs w:val="19"/>
          <w:color w:val="auto"/>
        </w:rPr>
      </w:pPr>
      <w:r>
        <w:rPr>
          <w:rFonts w:ascii="Arial" w:cs="Arial" w:eastAsia="Arial" w:hAnsi="Arial"/>
          <w:sz w:val="20"/>
          <w:szCs w:val="20"/>
          <w:color w:val="auto"/>
        </w:rPr>
        <w:t>0-6 months = 100%</w:t>
      </w:r>
    </w:p>
    <w:p>
      <w:pPr>
        <w:spacing w:after="0" w:line="26" w:lineRule="exact"/>
        <w:rPr>
          <w:rFonts w:ascii="Arial" w:cs="Arial" w:eastAsia="Arial" w:hAnsi="Arial"/>
          <w:sz w:val="19"/>
          <w:szCs w:val="19"/>
          <w:color w:val="auto"/>
        </w:rPr>
      </w:pPr>
    </w:p>
    <w:p>
      <w:pPr>
        <w:ind w:left="968"/>
        <w:spacing w:after="0"/>
        <w:rPr>
          <w:rFonts w:ascii="Arial" w:cs="Arial" w:eastAsia="Arial" w:hAnsi="Arial"/>
          <w:sz w:val="19"/>
          <w:szCs w:val="19"/>
          <w:color w:val="auto"/>
        </w:rPr>
      </w:pPr>
      <w:r>
        <w:rPr>
          <w:rFonts w:ascii="Arial" w:cs="Arial" w:eastAsia="Arial" w:hAnsi="Arial"/>
          <w:sz w:val="20"/>
          <w:szCs w:val="20"/>
          <w:color w:val="auto"/>
        </w:rPr>
        <w:t>7-12 months = 50%</w:t>
      </w:r>
    </w:p>
    <w:p>
      <w:pPr>
        <w:spacing w:after="0" w:line="178" w:lineRule="exact"/>
        <w:rPr>
          <w:rFonts w:ascii="Arial" w:cs="Arial" w:eastAsia="Arial" w:hAnsi="Arial"/>
          <w:sz w:val="19"/>
          <w:szCs w:val="19"/>
          <w:color w:val="auto"/>
        </w:rPr>
      </w:pPr>
    </w:p>
    <w:p>
      <w:pPr>
        <w:ind w:left="968" w:hanging="320"/>
        <w:spacing w:after="0"/>
        <w:tabs>
          <w:tab w:leader="none" w:pos="968" w:val="left"/>
        </w:tabs>
        <w:numPr>
          <w:ilvl w:val="1"/>
          <w:numId w:val="68"/>
        </w:numPr>
        <w:rPr>
          <w:rFonts w:ascii="Arial" w:cs="Arial" w:eastAsia="Arial" w:hAnsi="Arial"/>
          <w:sz w:val="20"/>
          <w:szCs w:val="20"/>
          <w:color w:val="auto"/>
        </w:rPr>
      </w:pPr>
      <w:r>
        <w:rPr>
          <w:rFonts w:ascii="Arial" w:cs="Arial" w:eastAsia="Arial" w:hAnsi="Arial"/>
          <w:sz w:val="20"/>
          <w:szCs w:val="20"/>
          <w:b w:val="1"/>
          <w:bCs w:val="1"/>
          <w:u w:val="single" w:color="auto"/>
          <w:color w:val="auto"/>
        </w:rPr>
        <w:t>Restricted Stock Units</w:t>
      </w:r>
      <w:r>
        <w:rPr>
          <w:rFonts w:ascii="Arial" w:cs="Arial" w:eastAsia="Arial" w:hAnsi="Arial"/>
          <w:sz w:val="20"/>
          <w:szCs w:val="20"/>
          <w:color w:val="auto"/>
        </w:rPr>
        <w:t>. Subject to the approval of the Board, the Committee or a Delegate, as applicable, the</w:t>
      </w:r>
    </w:p>
    <w:p>
      <w:pPr>
        <w:spacing w:after="0" w:line="50" w:lineRule="exact"/>
        <w:rPr>
          <w:rFonts w:ascii="Arial" w:cs="Arial" w:eastAsia="Arial" w:hAnsi="Arial"/>
          <w:sz w:val="20"/>
          <w:szCs w:val="20"/>
          <w:color w:val="auto"/>
        </w:rPr>
      </w:pPr>
    </w:p>
    <w:p>
      <w:pPr>
        <w:jc w:val="both"/>
        <w:ind w:left="968"/>
        <w:spacing w:after="0" w:line="267" w:lineRule="auto"/>
        <w:rPr>
          <w:rFonts w:ascii="Arial" w:cs="Arial" w:eastAsia="Arial" w:hAnsi="Arial"/>
          <w:sz w:val="20"/>
          <w:szCs w:val="20"/>
          <w:color w:val="auto"/>
        </w:rPr>
      </w:pPr>
      <w:r>
        <w:rPr>
          <w:rFonts w:ascii="Arial" w:cs="Arial" w:eastAsia="Arial" w:hAnsi="Arial"/>
          <w:sz w:val="20"/>
          <w:szCs w:val="20"/>
          <w:color w:val="auto"/>
        </w:rPr>
        <w:t>Company shall grant Executive restricted stock units covering shares of the Company’s Class A common stock with a grant date fair value (the “</w:t>
      </w:r>
      <w:r>
        <w:rPr>
          <w:rFonts w:ascii="Arial" w:cs="Arial" w:eastAsia="Arial" w:hAnsi="Arial"/>
          <w:sz w:val="20"/>
          <w:szCs w:val="20"/>
          <w:b w:val="1"/>
          <w:bCs w:val="1"/>
          <w:i w:val="1"/>
          <w:iCs w:val="1"/>
          <w:color w:val="auto"/>
        </w:rPr>
        <w:t>RSU Cash Value</w:t>
      </w:r>
      <w:r>
        <w:rPr>
          <w:rFonts w:ascii="Arial" w:cs="Arial" w:eastAsia="Arial" w:hAnsi="Arial"/>
          <w:sz w:val="20"/>
          <w:szCs w:val="20"/>
          <w:color w:val="auto"/>
        </w:rPr>
        <w:t>”) of $1,150,000.00 (the “</w:t>
      </w:r>
      <w:r>
        <w:rPr>
          <w:rFonts w:ascii="Arial" w:cs="Arial" w:eastAsia="Arial" w:hAnsi="Arial"/>
          <w:sz w:val="20"/>
          <w:szCs w:val="20"/>
          <w:b w:val="1"/>
          <w:bCs w:val="1"/>
          <w:i w:val="1"/>
          <w:iCs w:val="1"/>
          <w:color w:val="auto"/>
        </w:rPr>
        <w:t>RSU Award</w:t>
      </w:r>
      <w:r>
        <w:rPr>
          <w:rFonts w:ascii="Arial" w:cs="Arial" w:eastAsia="Arial" w:hAnsi="Arial"/>
          <w:sz w:val="20"/>
          <w:szCs w:val="20"/>
          <w:color w:val="auto"/>
        </w:rPr>
        <w:t>”). The number of shares subject to the RSU Awards will be determined by dividing the RSU Cash Value by the average closing price of a share of the Company’s Class A common stock for the thirty trading days ending on the [trading day prior to the] date of grant, as publicly reported. The RSU Awards shall be granted on the first day of your employment, pending Compensation Committee approval. Subject to any vesting acceleration rights Executive may have, the RSU Award shall vest and become payable as follows: 25% of the RSU Award will vest on the first anniversary of Executive’s start date, and the remainder of the RSU Award will vest in twelve equal quarterly installments beginning on the date that is three months after the first anniversary of Executive’s start date, in each case subject to Executive continuing to provide services to the Company through the relevant vesting dates. The RSU</w:t>
      </w:r>
    </w:p>
    <w:p>
      <w:pPr>
        <w:spacing w:after="0" w:line="6" w:lineRule="exact"/>
        <w:rPr>
          <w:rFonts w:ascii="Arial" w:cs="Arial" w:eastAsia="Arial" w:hAnsi="Arial"/>
          <w:sz w:val="20"/>
          <w:szCs w:val="20"/>
          <w:color w:val="auto"/>
        </w:rPr>
      </w:pPr>
    </w:p>
    <w:p>
      <w:pPr>
        <w:jc w:val="both"/>
        <w:ind w:left="968"/>
        <w:spacing w:after="0" w:line="270" w:lineRule="auto"/>
        <w:rPr>
          <w:rFonts w:ascii="Arial" w:cs="Arial" w:eastAsia="Arial" w:hAnsi="Arial"/>
          <w:sz w:val="20"/>
          <w:szCs w:val="20"/>
          <w:color w:val="auto"/>
        </w:rPr>
      </w:pPr>
      <w:r>
        <w:rPr>
          <w:rFonts w:ascii="Arial" w:cs="Arial" w:eastAsia="Arial" w:hAnsi="Arial"/>
          <w:sz w:val="20"/>
          <w:szCs w:val="20"/>
          <w:color w:val="auto"/>
        </w:rPr>
        <w:t>Award will be subject to the terms, definitions and provisions of the Company’s 2020 Equity Incentive Plan and the restricted stock unit award agreement by and between Executive and the Company (the “</w:t>
      </w:r>
      <w:r>
        <w:rPr>
          <w:rFonts w:ascii="Arial" w:cs="Arial" w:eastAsia="Arial" w:hAnsi="Arial"/>
          <w:sz w:val="20"/>
          <w:szCs w:val="20"/>
          <w:b w:val="1"/>
          <w:bCs w:val="1"/>
          <w:i w:val="1"/>
          <w:iCs w:val="1"/>
          <w:color w:val="auto"/>
        </w:rPr>
        <w:t>RSU Agreement</w:t>
      </w:r>
      <w:r>
        <w:rPr>
          <w:rFonts w:ascii="Arial" w:cs="Arial" w:eastAsia="Arial" w:hAnsi="Arial"/>
          <w:sz w:val="20"/>
          <w:szCs w:val="20"/>
          <w:color w:val="auto"/>
        </w:rPr>
        <w:t>”), both of which documents are incorporated herein by reference. Executive will be eligible for future awards under the Equity Plan, as determined in the sole discretion of the Board, the Committee or the Delegate, as applicable.</w:t>
      </w:r>
    </w:p>
    <w:p>
      <w:pPr>
        <w:spacing w:after="0" w:line="183" w:lineRule="exact"/>
        <w:rPr>
          <w:rFonts w:ascii="Arial" w:cs="Arial" w:eastAsia="Arial" w:hAnsi="Arial"/>
          <w:sz w:val="20"/>
          <w:szCs w:val="20"/>
          <w:color w:val="auto"/>
        </w:rPr>
      </w:pPr>
    </w:p>
    <w:p>
      <w:pPr>
        <w:jc w:val="both"/>
        <w:ind w:left="328" w:right="20" w:hanging="328"/>
        <w:spacing w:after="0" w:line="283" w:lineRule="auto"/>
        <w:tabs>
          <w:tab w:leader="none" w:pos="317" w:val="left"/>
        </w:tabs>
        <w:numPr>
          <w:ilvl w:val="0"/>
          <w:numId w:val="69"/>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Employee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Employment Period, Executive shall be eligible to (a) receive paid time off (“</w:t>
      </w:r>
      <w:r>
        <w:rPr>
          <w:rFonts w:ascii="Arial" w:cs="Arial" w:eastAsia="Arial" w:hAnsi="Arial"/>
          <w:sz w:val="20"/>
          <w:szCs w:val="20"/>
          <w:b w:val="1"/>
          <w:bCs w:val="1"/>
          <w:i w:val="1"/>
          <w:iCs w:val="1"/>
          <w:color w:val="auto"/>
        </w:rPr>
        <w:t>PTO</w:t>
      </w:r>
      <w:r>
        <w:rPr>
          <w:rFonts w:ascii="Arial" w:cs="Arial" w:eastAsia="Arial" w:hAnsi="Arial"/>
          <w:sz w:val="20"/>
          <w:szCs w:val="20"/>
          <w:color w:val="auto"/>
        </w:rPr>
        <w:t>”)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Company’s PTO policy, as it may be amended from time to time and (b) participate in the employee benefit plans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8"/>
          </w:cols>
          <w:pgMar w:left="652" w:top="1440" w:right="339" w:bottom="1440" w:gutter="0" w:footer="0" w:header="0"/>
        </w:sectPr>
      </w:pPr>
    </w:p>
    <w:bookmarkStart w:id="89" w:name="page90"/>
    <w:bookmarkEnd w:id="89"/>
    <w:p>
      <w:pPr>
        <w:spacing w:after="0" w:line="181" w:lineRule="exact"/>
        <w:rPr>
          <w:sz w:val="20"/>
          <w:szCs w:val="20"/>
          <w:color w:val="auto"/>
        </w:rPr>
      </w:pPr>
    </w:p>
    <w:p>
      <w:pPr>
        <w:jc w:val="both"/>
        <w:ind w:left="328"/>
        <w:spacing w:after="0" w:line="270" w:lineRule="auto"/>
        <w:rPr>
          <w:sz w:val="20"/>
          <w:szCs w:val="20"/>
          <w:color w:val="auto"/>
        </w:rPr>
      </w:pPr>
      <w:r>
        <w:rPr>
          <w:rFonts w:ascii="Arial" w:cs="Arial" w:eastAsia="Arial" w:hAnsi="Arial"/>
          <w:sz w:val="20"/>
          <w:szCs w:val="20"/>
          <w:color w:val="auto"/>
        </w:rPr>
        <w:t>by the Company and generally available to similarly situated employees of the Company, subject in each case to the generally applicable terms and conditions of the plan or policy in question and to the determinations of any Person or committee administering such employee benefit plan or policy. The Company reserves the right to cancel or change the employee benefit plans, policies and programs it offers to its employees at any time.</w:t>
      </w:r>
    </w:p>
    <w:p>
      <w:pPr>
        <w:spacing w:after="0" w:line="183" w:lineRule="exact"/>
        <w:rPr>
          <w:sz w:val="20"/>
          <w:szCs w:val="20"/>
          <w:color w:val="auto"/>
        </w:rPr>
      </w:pPr>
    </w:p>
    <w:p>
      <w:pPr>
        <w:jc w:val="both"/>
        <w:ind w:left="328" w:hanging="328"/>
        <w:spacing w:after="0" w:line="278" w:lineRule="auto"/>
        <w:tabs>
          <w:tab w:leader="none" w:pos="317" w:val="left"/>
        </w:tabs>
        <w:numPr>
          <w:ilvl w:val="0"/>
          <w:numId w:val="70"/>
        </w:numPr>
        <w:rPr>
          <w:rFonts w:ascii="Arial" w:cs="Arial" w:eastAsia="Arial" w:hAnsi="Arial"/>
          <w:sz w:val="20"/>
          <w:szCs w:val="20"/>
          <w:color w:val="auto"/>
        </w:rPr>
      </w:pPr>
      <w:r>
        <w:rPr>
          <w:rFonts w:ascii="Arial" w:cs="Arial" w:eastAsia="Arial" w:hAnsi="Arial"/>
          <w:sz w:val="20"/>
          <w:szCs w:val="20"/>
          <w:b w:val="1"/>
          <w:bCs w:val="1"/>
          <w:u w:val="single" w:color="auto"/>
          <w:color w:val="auto"/>
        </w:rPr>
        <w:t>Business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will reimburse Executive for necessary and reasonable business expenses incurred</w:t>
      </w:r>
      <w:r>
        <w:rPr>
          <w:rFonts w:ascii="Arial" w:cs="Arial" w:eastAsia="Arial" w:hAnsi="Arial"/>
          <w:sz w:val="20"/>
          <w:szCs w:val="20"/>
          <w:b w:val="1"/>
          <w:bCs w:val="1"/>
          <w:color w:val="auto"/>
        </w:rPr>
        <w:t xml:space="preserve"> </w:t>
      </w:r>
      <w:r>
        <w:rPr>
          <w:rFonts w:ascii="Arial" w:cs="Arial" w:eastAsia="Arial" w:hAnsi="Arial"/>
          <w:sz w:val="20"/>
          <w:szCs w:val="20"/>
          <w:color w:val="auto"/>
        </w:rPr>
        <w:t>in connection with Executive’s duties hereunder upon presentation of an itemized account and appropriate supporting documentation, all in accordance with the Company’s generally applicable expense reimbursement policies as in effect from to time.</w:t>
      </w:r>
    </w:p>
    <w:p>
      <w:pPr>
        <w:spacing w:after="0" w:line="149" w:lineRule="exact"/>
        <w:rPr>
          <w:rFonts w:ascii="Arial" w:cs="Arial" w:eastAsia="Arial" w:hAnsi="Arial"/>
          <w:sz w:val="20"/>
          <w:szCs w:val="20"/>
          <w:color w:val="auto"/>
        </w:rPr>
      </w:pPr>
    </w:p>
    <w:p>
      <w:pPr>
        <w:jc w:val="both"/>
        <w:ind w:left="328" w:hanging="328"/>
        <w:spacing w:after="0" w:line="288" w:lineRule="auto"/>
        <w:tabs>
          <w:tab w:leader="none" w:pos="317" w:val="left"/>
        </w:tabs>
        <w:numPr>
          <w:ilvl w:val="0"/>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Rights Upon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expressly provided in Section 6, upon the termination of Executive’s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period preceding the effective date of the termination of Employment, Executive shall only be entitled to the following: (i) the accrued but unpaid Base Salary compensation and PTO, (ii) the reimbursements for outstanding and unpaid business expenses described in Section 4 of this Agreement, and (iii) such other vested benefits earned under</w:t>
      </w:r>
    </w:p>
    <w:p>
      <w:pPr>
        <w:spacing w:after="0" w:line="1" w:lineRule="exact"/>
        <w:rPr>
          <w:rFonts w:ascii="Arial" w:cs="Arial" w:eastAsia="Arial" w:hAnsi="Arial"/>
          <w:sz w:val="19"/>
          <w:szCs w:val="19"/>
          <w:color w:val="auto"/>
        </w:rPr>
      </w:pPr>
    </w:p>
    <w:p>
      <w:pPr>
        <w:jc w:val="both"/>
        <w:ind w:left="328"/>
        <w:spacing w:after="0" w:line="269" w:lineRule="auto"/>
        <w:rPr>
          <w:rFonts w:ascii="Arial" w:cs="Arial" w:eastAsia="Arial" w:hAnsi="Arial"/>
          <w:sz w:val="19"/>
          <w:szCs w:val="19"/>
          <w:color w:val="auto"/>
        </w:rPr>
      </w:pPr>
      <w:r>
        <w:rPr>
          <w:rFonts w:ascii="Arial" w:cs="Arial" w:eastAsia="Arial" w:hAnsi="Arial"/>
          <w:sz w:val="20"/>
          <w:szCs w:val="20"/>
          <w:color w:val="auto"/>
        </w:rPr>
        <w:t>any Company-provided plans, policies, and arrangements in accordance with the governing documents and policies of any such, plans, policies and arrangements (collectively, the “</w:t>
      </w:r>
      <w:r>
        <w:rPr>
          <w:rFonts w:ascii="Arial" w:cs="Arial" w:eastAsia="Arial" w:hAnsi="Arial"/>
          <w:sz w:val="20"/>
          <w:szCs w:val="20"/>
          <w:b w:val="1"/>
          <w:bCs w:val="1"/>
          <w:i w:val="1"/>
          <w:iCs w:val="1"/>
          <w:color w:val="auto"/>
        </w:rPr>
        <w:t>Accrued Benefits</w:t>
      </w:r>
      <w:r>
        <w:rPr>
          <w:rFonts w:ascii="Arial" w:cs="Arial" w:eastAsia="Arial" w:hAnsi="Arial"/>
          <w:sz w:val="20"/>
          <w:szCs w:val="20"/>
          <w:color w:val="auto"/>
        </w:rPr>
        <w:t>”). The Accrued Benefits described in clauses (i) and (ii) of the preceding sentence shall be paid within thirty (30) days after the date of termination of Executive’s Employment (or such earlier date as may be required by applicable law) and the Accrued Benefits described in clause (iii) of the preceding sentence shall be paid in accordance with the terms of the governing plan, policy or arrangement.</w:t>
      </w:r>
    </w:p>
    <w:p>
      <w:pPr>
        <w:spacing w:after="0" w:line="143" w:lineRule="exact"/>
        <w:rPr>
          <w:rFonts w:ascii="Arial" w:cs="Arial" w:eastAsia="Arial" w:hAnsi="Arial"/>
          <w:sz w:val="19"/>
          <w:szCs w:val="19"/>
          <w:color w:val="auto"/>
        </w:rPr>
      </w:pPr>
    </w:p>
    <w:p>
      <w:pPr>
        <w:ind w:left="308" w:hanging="308"/>
        <w:spacing w:after="0"/>
        <w:tabs>
          <w:tab w:leader="none" w:pos="308" w:val="left"/>
        </w:tabs>
        <w:numPr>
          <w:ilvl w:val="0"/>
          <w:numId w:val="70"/>
        </w:numPr>
        <w:rPr>
          <w:rFonts w:ascii="Arial" w:cs="Arial" w:eastAsia="Arial" w:hAnsi="Arial"/>
          <w:sz w:val="20"/>
          <w:szCs w:val="20"/>
          <w:color w:val="auto"/>
        </w:rPr>
      </w:pPr>
      <w:r>
        <w:rPr>
          <w:rFonts w:ascii="Arial" w:cs="Arial" w:eastAsia="Arial" w:hAnsi="Arial"/>
          <w:sz w:val="20"/>
          <w:szCs w:val="20"/>
          <w:b w:val="1"/>
          <w:bCs w:val="1"/>
          <w:u w:val="single" w:color="auto"/>
          <w:color w:val="auto"/>
        </w:rPr>
        <w:t>Termination Benefits.</w:t>
      </w:r>
    </w:p>
    <w:p>
      <w:pPr>
        <w:spacing w:after="0" w:line="202" w:lineRule="exact"/>
        <w:rPr>
          <w:rFonts w:ascii="Arial" w:cs="Arial" w:eastAsia="Arial" w:hAnsi="Arial"/>
          <w:sz w:val="20"/>
          <w:szCs w:val="20"/>
          <w:color w:val="auto"/>
        </w:rPr>
      </w:pPr>
    </w:p>
    <w:p>
      <w:pPr>
        <w:ind w:left="968" w:hanging="324"/>
        <w:spacing w:after="0" w:line="275" w:lineRule="auto"/>
        <w:rPr>
          <w:rFonts w:ascii="Arial" w:cs="Arial" w:eastAsia="Arial" w:hAnsi="Arial"/>
          <w:sz w:val="20"/>
          <w:szCs w:val="20"/>
          <w:color w:val="auto"/>
        </w:rPr>
      </w:pPr>
      <w:r>
        <w:rPr>
          <w:rFonts w:ascii="Arial" w:cs="Arial" w:eastAsia="Arial" w:hAnsi="Arial"/>
          <w:sz w:val="20"/>
          <w:szCs w:val="20"/>
          <w:color w:val="auto"/>
        </w:rPr>
        <w:t xml:space="preserve">h. </w:t>
      </w:r>
      <w:r>
        <w:rPr>
          <w:rFonts w:ascii="Arial" w:cs="Arial" w:eastAsia="Arial" w:hAnsi="Arial"/>
          <w:sz w:val="20"/>
          <w:szCs w:val="20"/>
          <w:b w:val="1"/>
          <w:bCs w:val="1"/>
          <w:u w:val="single" w:color="auto"/>
          <w:color w:val="auto"/>
        </w:rPr>
        <w:t>Termination without Cause outside of Change in Control Protection Period</w:t>
      </w:r>
      <w:r>
        <w:rPr>
          <w:rFonts w:ascii="Arial" w:cs="Arial" w:eastAsia="Arial" w:hAnsi="Arial"/>
          <w:sz w:val="20"/>
          <w:szCs w:val="20"/>
          <w:color w:val="auto"/>
        </w:rPr>
        <w:t>. If the Company (or any parent, subsidiary or successor of the Company) terminates Executive’s employment with the Company for a reason other than (i) Cause, (ii) Executive becoming Disabled or (iii) Executive’s death, in each case, outside of the Change in Control Protection Period, then, subject to Section 7 (other than with respect to the Accrued Benefits), Executive will be entitled to the following:</w:t>
      </w:r>
    </w:p>
    <w:p>
      <w:pPr>
        <w:spacing w:after="0" w:line="177" w:lineRule="exact"/>
        <w:rPr>
          <w:rFonts w:ascii="Arial" w:cs="Arial" w:eastAsia="Arial" w:hAnsi="Arial"/>
          <w:sz w:val="20"/>
          <w:szCs w:val="20"/>
          <w:color w:val="auto"/>
        </w:rPr>
      </w:pPr>
    </w:p>
    <w:p>
      <w:pPr>
        <w:ind w:left="1608" w:hanging="312"/>
        <w:spacing w:after="0"/>
        <w:tabs>
          <w:tab w:leader="none" w:pos="1608" w:val="left"/>
        </w:tabs>
        <w:numPr>
          <w:ilvl w:val="2"/>
          <w:numId w:val="70"/>
        </w:numPr>
        <w:rPr>
          <w:rFonts w:ascii="Arial" w:cs="Arial" w:eastAsia="Arial" w:hAnsi="Arial"/>
          <w:sz w:val="20"/>
          <w:szCs w:val="20"/>
          <w:color w:val="auto"/>
        </w:rPr>
      </w:pPr>
      <w:r>
        <w:rPr>
          <w:rFonts w:ascii="Arial" w:cs="Arial" w:eastAsia="Arial" w:hAnsi="Arial"/>
          <w:sz w:val="20"/>
          <w:szCs w:val="20"/>
          <w:u w:val="single" w:color="auto"/>
          <w:color w:val="auto"/>
        </w:rPr>
        <w:t>Accrued Compensation</w:t>
      </w:r>
      <w:r>
        <w:rPr>
          <w:rFonts w:ascii="Arial" w:cs="Arial" w:eastAsia="Arial" w:hAnsi="Arial"/>
          <w:sz w:val="20"/>
          <w:szCs w:val="20"/>
          <w:color w:val="auto"/>
        </w:rPr>
        <w:t>. The Company will pay Executive all Accrued Benefits.</w:t>
      </w:r>
    </w:p>
    <w:p>
      <w:pPr>
        <w:spacing w:after="0" w:line="202" w:lineRule="exact"/>
        <w:rPr>
          <w:rFonts w:ascii="Arial" w:cs="Arial" w:eastAsia="Arial" w:hAnsi="Arial"/>
          <w:sz w:val="20"/>
          <w:szCs w:val="20"/>
          <w:color w:val="auto"/>
        </w:rPr>
      </w:pPr>
    </w:p>
    <w:p>
      <w:pPr>
        <w:jc w:val="both"/>
        <w:ind w:left="1628" w:hanging="332"/>
        <w:spacing w:after="0" w:line="267" w:lineRule="auto"/>
        <w:tabs>
          <w:tab w:leader="none" w:pos="1622" w:val="left"/>
        </w:tabs>
        <w:numPr>
          <w:ilvl w:val="2"/>
          <w:numId w:val="70"/>
        </w:numPr>
        <w:rPr>
          <w:rFonts w:ascii="Arial" w:cs="Arial" w:eastAsia="Arial" w:hAnsi="Arial"/>
          <w:sz w:val="20"/>
          <w:szCs w:val="20"/>
          <w:color w:val="auto"/>
        </w:rPr>
      </w:pPr>
      <w:r>
        <w:rPr>
          <w:rFonts w:ascii="Arial" w:cs="Arial" w:eastAsia="Arial" w:hAnsi="Arial"/>
          <w:sz w:val="20"/>
          <w:szCs w:val="20"/>
          <w:u w:val="single" w:color="auto"/>
          <w:color w:val="auto"/>
        </w:rPr>
        <w:t>Severance Payment</w:t>
      </w:r>
      <w:r>
        <w:rPr>
          <w:rFonts w:ascii="Arial" w:cs="Arial" w:eastAsia="Arial" w:hAnsi="Arial"/>
          <w:sz w:val="20"/>
          <w:szCs w:val="20"/>
          <w:color w:val="auto"/>
        </w:rPr>
        <w:t>. In exchange for Executive timely signing and not revoking the Release in accordance with the terms therein and in this Agreement, Executive will receive semi-monthly continuing</w:t>
      </w:r>
    </w:p>
    <w:p>
      <w:pPr>
        <w:spacing w:after="0" w:line="1" w:lineRule="exact"/>
        <w:rPr>
          <w:rFonts w:ascii="Arial" w:cs="Arial" w:eastAsia="Arial" w:hAnsi="Arial"/>
          <w:sz w:val="20"/>
          <w:szCs w:val="20"/>
          <w:color w:val="auto"/>
        </w:rPr>
      </w:pPr>
    </w:p>
    <w:p>
      <w:pPr>
        <w:jc w:val="both"/>
        <w:ind w:left="1628"/>
        <w:spacing w:after="0" w:line="271" w:lineRule="auto"/>
        <w:rPr>
          <w:rFonts w:ascii="Arial" w:cs="Arial" w:eastAsia="Arial" w:hAnsi="Arial"/>
          <w:sz w:val="20"/>
          <w:szCs w:val="20"/>
          <w:color w:val="auto"/>
        </w:rPr>
      </w:pPr>
      <w:r>
        <w:rPr>
          <w:rFonts w:ascii="Arial" w:cs="Arial" w:eastAsia="Arial" w:hAnsi="Arial"/>
          <w:sz w:val="20"/>
          <w:szCs w:val="20"/>
          <w:color w:val="auto"/>
        </w:rPr>
        <w:t>payments of severance pay at a rate equal to Executive’s Base Salary, as then in effect, for twelve (12) months (the “</w:t>
      </w:r>
      <w:r>
        <w:rPr>
          <w:rFonts w:ascii="Arial" w:cs="Arial" w:eastAsia="Arial" w:hAnsi="Arial"/>
          <w:sz w:val="20"/>
          <w:szCs w:val="20"/>
          <w:b w:val="1"/>
          <w:bCs w:val="1"/>
          <w:i w:val="1"/>
          <w:iCs w:val="1"/>
          <w:color w:val="auto"/>
        </w:rPr>
        <w:t>Severance Period</w:t>
      </w:r>
      <w:r>
        <w:rPr>
          <w:rFonts w:ascii="Arial" w:cs="Arial" w:eastAsia="Arial" w:hAnsi="Arial"/>
          <w:sz w:val="20"/>
          <w:szCs w:val="20"/>
          <w:color w:val="auto"/>
        </w:rPr>
        <w:t>”), less all required tax withholdings and other applicable deductions, which will be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08"/>
          </w:cols>
          <w:pgMar w:left="652" w:top="1440" w:right="339" w:bottom="1440" w:gutter="0" w:footer="0" w:header="0"/>
        </w:sectPr>
      </w:pPr>
    </w:p>
    <w:bookmarkStart w:id="90" w:name="page91"/>
    <w:bookmarkEnd w:id="90"/>
    <w:p>
      <w:pPr>
        <w:spacing w:after="0" w:line="181" w:lineRule="exact"/>
        <w:rPr>
          <w:sz w:val="20"/>
          <w:szCs w:val="20"/>
          <w:color w:val="auto"/>
        </w:rPr>
      </w:pPr>
    </w:p>
    <w:p>
      <w:pPr>
        <w:jc w:val="both"/>
        <w:ind w:left="980"/>
        <w:spacing w:after="0" w:line="271" w:lineRule="auto"/>
        <w:rPr>
          <w:sz w:val="20"/>
          <w:szCs w:val="20"/>
          <w:color w:val="auto"/>
        </w:rPr>
      </w:pPr>
      <w:r>
        <w:rPr>
          <w:rFonts w:ascii="Arial" w:cs="Arial" w:eastAsia="Arial" w:hAnsi="Arial"/>
          <w:sz w:val="20"/>
          <w:szCs w:val="20"/>
          <w:color w:val="auto"/>
        </w:rPr>
        <w:t>accordance with the Company’s regular payroll procedures commencing on the Release Deadline (as defined in Section 7(a)); provided that the first payment shall include any amounts that would have been paid to Executive if payment had commenced on the date of Executive’s separation from service.</w:t>
      </w:r>
    </w:p>
    <w:p>
      <w:pPr>
        <w:spacing w:after="0" w:line="179" w:lineRule="exact"/>
        <w:rPr>
          <w:sz w:val="20"/>
          <w:szCs w:val="20"/>
          <w:color w:val="auto"/>
        </w:rPr>
      </w:pPr>
    </w:p>
    <w:p>
      <w:pPr>
        <w:jc w:val="both"/>
        <w:ind w:left="980" w:hanging="332"/>
        <w:spacing w:after="0" w:line="268" w:lineRule="auto"/>
        <w:tabs>
          <w:tab w:leader="none" w:pos="978" w:val="left"/>
        </w:tabs>
        <w:numPr>
          <w:ilvl w:val="1"/>
          <w:numId w:val="71"/>
        </w:numPr>
        <w:rPr>
          <w:rFonts w:ascii="Arial" w:cs="Arial" w:eastAsia="Arial" w:hAnsi="Arial"/>
          <w:sz w:val="20"/>
          <w:szCs w:val="20"/>
          <w:color w:val="auto"/>
        </w:rPr>
      </w:pPr>
      <w:r>
        <w:rPr>
          <w:rFonts w:ascii="Arial" w:cs="Arial" w:eastAsia="Arial" w:hAnsi="Arial"/>
          <w:sz w:val="20"/>
          <w:szCs w:val="20"/>
          <w:u w:val="single" w:color="auto"/>
          <w:color w:val="auto"/>
        </w:rPr>
        <w:t>Continued Employee Benefits</w:t>
      </w:r>
      <w:r>
        <w:rPr>
          <w:rFonts w:ascii="Arial" w:cs="Arial" w:eastAsia="Arial" w:hAnsi="Arial"/>
          <w:sz w:val="20"/>
          <w:szCs w:val="20"/>
          <w:color w:val="auto"/>
        </w:rPr>
        <w:t>. If Executive elects continuation coverage pursuant to the Consolidated Omnibus Budget Reconciliation Act of 1985, as amended (“</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the end of the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48" w:lineRule="exact"/>
        <w:rPr>
          <w:rFonts w:ascii="Arial" w:cs="Arial" w:eastAsia="Arial" w:hAnsi="Arial"/>
          <w:sz w:val="20"/>
          <w:szCs w:val="20"/>
          <w:color w:val="auto"/>
        </w:rPr>
      </w:pPr>
    </w:p>
    <w:p>
      <w:pPr>
        <w:jc w:val="both"/>
        <w:ind w:left="320" w:hanging="320"/>
        <w:spacing w:after="0" w:line="275" w:lineRule="auto"/>
        <w:tabs>
          <w:tab w:leader="none" w:pos="311" w:val="left"/>
        </w:tabs>
        <w:numPr>
          <w:ilvl w:val="0"/>
          <w:numId w:val="72"/>
        </w:numPr>
        <w:rPr>
          <w:rFonts w:ascii="Arial" w:cs="Arial" w:eastAsia="Arial" w:hAnsi="Arial"/>
          <w:sz w:val="20"/>
          <w:szCs w:val="20"/>
          <w:color w:val="auto"/>
        </w:rPr>
      </w:pPr>
      <w:r>
        <w:rPr>
          <w:rFonts w:ascii="Arial" w:cs="Arial" w:eastAsia="Arial" w:hAnsi="Arial"/>
          <w:sz w:val="20"/>
          <w:szCs w:val="20"/>
          <w:b w:val="1"/>
          <w:bCs w:val="1"/>
          <w:u w:val="single" w:color="auto"/>
          <w:color w:val="auto"/>
        </w:rPr>
        <w:t>Termination without Cause or Resignation for Good Reason within the Change in Control Protection Period</w:t>
      </w:r>
      <w:r>
        <w:rPr>
          <w:rFonts w:ascii="Arial" w:cs="Arial" w:eastAsia="Arial" w:hAnsi="Arial"/>
          <w:sz w:val="20"/>
          <w:szCs w:val="20"/>
          <w:color w:val="auto"/>
        </w:rPr>
        <w:t>. If, during the Change in Control Protection Period, (x) the Company terminates Executive’s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 without Cause, or (y) Executive resigns from such employment for Good Reason, then, subject to Section 7 (other than with respect to the Accrued Benefits), Executive will receive the following severance benefits from the Company in lieu of the benefits described in Section 6(a) above:</w:t>
      </w:r>
    </w:p>
    <w:p>
      <w:pPr>
        <w:spacing w:after="0" w:line="164" w:lineRule="exact"/>
        <w:rPr>
          <w:rFonts w:ascii="Arial" w:cs="Arial" w:eastAsia="Arial" w:hAnsi="Arial"/>
          <w:sz w:val="20"/>
          <w:szCs w:val="20"/>
          <w:color w:val="auto"/>
        </w:rPr>
      </w:pPr>
    </w:p>
    <w:p>
      <w:pPr>
        <w:ind w:left="960" w:hanging="312"/>
        <w:spacing w:after="0"/>
        <w:tabs>
          <w:tab w:leader="none" w:pos="960"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Accrued Compensation</w:t>
      </w:r>
      <w:r>
        <w:rPr>
          <w:rFonts w:ascii="Arial" w:cs="Arial" w:eastAsia="Arial" w:hAnsi="Arial"/>
          <w:sz w:val="20"/>
          <w:szCs w:val="20"/>
          <w:color w:val="auto"/>
        </w:rPr>
        <w:t>. The Company will pay Executive all Accrued Benefits.</w:t>
      </w:r>
    </w:p>
    <w:p>
      <w:pPr>
        <w:spacing w:after="0" w:line="215" w:lineRule="exact"/>
        <w:rPr>
          <w:rFonts w:ascii="Arial" w:cs="Arial" w:eastAsia="Arial" w:hAnsi="Arial"/>
          <w:sz w:val="20"/>
          <w:szCs w:val="20"/>
          <w:color w:val="auto"/>
        </w:rPr>
      </w:pPr>
    </w:p>
    <w:p>
      <w:pPr>
        <w:ind w:left="960" w:hanging="312"/>
        <w:spacing w:after="0"/>
        <w:tabs>
          <w:tab w:leader="none" w:pos="960"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Severance Payment</w:t>
      </w:r>
      <w:r>
        <w:rPr>
          <w:rFonts w:ascii="Arial" w:cs="Arial" w:eastAsia="Arial" w:hAnsi="Arial"/>
          <w:sz w:val="20"/>
          <w:szCs w:val="20"/>
          <w:color w:val="auto"/>
        </w:rPr>
        <w:t>. In  exchange  for  Executive  timely  signing  and  not  revoking  the  Release  in</w:t>
      </w:r>
    </w:p>
    <w:p>
      <w:pPr>
        <w:spacing w:after="0" w:line="26" w:lineRule="exact"/>
        <w:rPr>
          <w:rFonts w:ascii="Arial" w:cs="Arial" w:eastAsia="Arial" w:hAnsi="Arial"/>
          <w:sz w:val="20"/>
          <w:szCs w:val="20"/>
          <w:color w:val="auto"/>
        </w:rPr>
      </w:pPr>
    </w:p>
    <w:p>
      <w:pPr>
        <w:jc w:val="both"/>
        <w:ind w:left="980"/>
        <w:spacing w:after="0" w:line="269" w:lineRule="auto"/>
        <w:rPr>
          <w:rFonts w:ascii="Arial" w:cs="Arial" w:eastAsia="Arial" w:hAnsi="Arial"/>
          <w:sz w:val="20"/>
          <w:szCs w:val="20"/>
          <w:color w:val="auto"/>
        </w:rPr>
      </w:pPr>
      <w:r>
        <w:rPr>
          <w:rFonts w:ascii="Arial" w:cs="Arial" w:eastAsia="Arial" w:hAnsi="Arial"/>
          <w:sz w:val="20"/>
          <w:szCs w:val="20"/>
          <w:color w:val="auto"/>
        </w:rPr>
        <w:t>accordance with the terms therein and in this Agreement, Executive will receive a lump sum severance payment equal to twelve (12) months (the “</w:t>
      </w:r>
      <w:r>
        <w:rPr>
          <w:rFonts w:ascii="Arial" w:cs="Arial" w:eastAsia="Arial" w:hAnsi="Arial"/>
          <w:sz w:val="20"/>
          <w:szCs w:val="20"/>
          <w:b w:val="1"/>
          <w:bCs w:val="1"/>
          <w:i w:val="1"/>
          <w:iCs w:val="1"/>
          <w:color w:val="auto"/>
        </w:rPr>
        <w:t>CIC Severance Period</w:t>
      </w:r>
      <w:r>
        <w:rPr>
          <w:rFonts w:ascii="Arial" w:cs="Arial" w:eastAsia="Arial" w:hAnsi="Arial"/>
          <w:sz w:val="20"/>
          <w:szCs w:val="20"/>
          <w:color w:val="auto"/>
        </w:rPr>
        <w:t>”) of Executive’s Base Salary as in effect immediately prior to the date of Executive’s termination of employment plus applicable Cash Bonus, less all required tax withholdings and other applicable deductions, which will be paid in accordance with the Company’s regular payroll procedures, but no later than thirty (30) days following the Release Deadline.</w:t>
      </w:r>
    </w:p>
    <w:p>
      <w:pPr>
        <w:spacing w:after="0" w:line="167" w:lineRule="exact"/>
        <w:rPr>
          <w:rFonts w:ascii="Arial" w:cs="Arial" w:eastAsia="Arial" w:hAnsi="Arial"/>
          <w:sz w:val="20"/>
          <w:szCs w:val="20"/>
          <w:color w:val="auto"/>
        </w:rPr>
      </w:pPr>
    </w:p>
    <w:p>
      <w:pPr>
        <w:jc w:val="both"/>
        <w:ind w:left="980" w:hanging="332"/>
        <w:spacing w:after="0" w:line="271" w:lineRule="auto"/>
        <w:tabs>
          <w:tab w:leader="none" w:pos="978"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Continued Employee Benefits</w:t>
      </w:r>
      <w:r>
        <w:rPr>
          <w:rFonts w:ascii="Arial" w:cs="Arial" w:eastAsia="Arial" w:hAnsi="Arial"/>
          <w:sz w:val="20"/>
          <w:szCs w:val="20"/>
          <w:color w:val="auto"/>
        </w:rPr>
        <w:t>. If Executive elects continuation coverage pursuant to COBRA for Executive and Executive’s eligible dependents, within the time period prescribed pursuant to COBRA, the Company will reimburse Executive for the COBRA premiums for such coverage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60"/>
          </w:cols>
          <w:pgMar w:left="1300" w:top="1440" w:right="339" w:bottom="1440" w:gutter="0" w:footer="0" w:header="0"/>
        </w:sectPr>
      </w:pPr>
    </w:p>
    <w:bookmarkStart w:id="91" w:name="page92"/>
    <w:bookmarkEnd w:id="91"/>
    <w:p>
      <w:pPr>
        <w:spacing w:after="0" w:line="181" w:lineRule="exact"/>
        <w:rPr>
          <w:sz w:val="20"/>
          <w:szCs w:val="20"/>
          <w:color w:val="auto"/>
        </w:rPr>
      </w:pPr>
    </w:p>
    <w:p>
      <w:pPr>
        <w:jc w:val="both"/>
        <w:ind w:left="980"/>
        <w:spacing w:after="0" w:line="269" w:lineRule="auto"/>
        <w:rPr>
          <w:sz w:val="20"/>
          <w:szCs w:val="20"/>
          <w:color w:val="auto"/>
        </w:rPr>
      </w:pPr>
      <w:r>
        <w:rPr>
          <w:rFonts w:ascii="Arial" w:cs="Arial" w:eastAsia="Arial" w:hAnsi="Arial"/>
          <w:sz w:val="20"/>
          <w:szCs w:val="20"/>
          <w:color w:val="auto"/>
        </w:rPr>
        <w:t>coverage levels in effect immediately prior to Executive’s termination or resignation) until the earlier of (A) the end of the CIC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181" w:lineRule="exact"/>
        <w:rPr>
          <w:sz w:val="20"/>
          <w:szCs w:val="20"/>
          <w:color w:val="auto"/>
        </w:rPr>
      </w:pPr>
    </w:p>
    <w:p>
      <w:pPr>
        <w:jc w:val="both"/>
        <w:ind w:left="980" w:hanging="332"/>
        <w:spacing w:after="0" w:line="270" w:lineRule="auto"/>
        <w:tabs>
          <w:tab w:leader="none" w:pos="961" w:val="left"/>
        </w:tabs>
        <w:numPr>
          <w:ilvl w:val="1"/>
          <w:numId w:val="73"/>
        </w:numPr>
        <w:rPr>
          <w:rFonts w:ascii="Arial" w:cs="Arial" w:eastAsia="Arial" w:hAnsi="Arial"/>
          <w:sz w:val="20"/>
          <w:szCs w:val="20"/>
          <w:color w:val="auto"/>
        </w:rPr>
      </w:pPr>
      <w:r>
        <w:rPr>
          <w:rFonts w:ascii="Arial" w:cs="Arial" w:eastAsia="Arial" w:hAnsi="Arial"/>
          <w:sz w:val="20"/>
          <w:szCs w:val="20"/>
          <w:u w:val="single" w:color="auto"/>
          <w:color w:val="auto"/>
        </w:rPr>
        <w:t>Equity</w:t>
      </w:r>
      <w:r>
        <w:rPr>
          <w:rFonts w:ascii="Arial" w:cs="Arial" w:eastAsia="Arial" w:hAnsi="Arial"/>
          <w:sz w:val="20"/>
          <w:szCs w:val="20"/>
          <w:color w:val="auto"/>
        </w:rPr>
        <w:t>. All of Executive’s unvested and outstanding time-based equity awards shall immediately vest and become exercisable as of the date of Executive’s termination and any unvested and outstanding performance-based awards shall be subject to the terms and conditions of the Equity Plan and the award agreement by and between Executive and the Company pursuant to which such award was granted.</w:t>
      </w:r>
    </w:p>
    <w:p>
      <w:pPr>
        <w:spacing w:after="0" w:line="142" w:lineRule="exact"/>
        <w:rPr>
          <w:rFonts w:ascii="Arial" w:cs="Arial" w:eastAsia="Arial" w:hAnsi="Arial"/>
          <w:sz w:val="20"/>
          <w:szCs w:val="20"/>
          <w:color w:val="auto"/>
        </w:rPr>
      </w:pPr>
    </w:p>
    <w:p>
      <w:pPr>
        <w:jc w:val="both"/>
        <w:ind w:left="320" w:hanging="320"/>
        <w:spacing w:after="0" w:line="273" w:lineRule="auto"/>
        <w:tabs>
          <w:tab w:leader="none" w:pos="311" w:val="left"/>
        </w:tabs>
        <w:numPr>
          <w:ilvl w:val="0"/>
          <w:numId w:val="74"/>
        </w:numPr>
        <w:rPr>
          <w:rFonts w:ascii="Arial" w:cs="Arial" w:eastAsia="Arial" w:hAnsi="Arial"/>
          <w:sz w:val="20"/>
          <w:szCs w:val="20"/>
          <w:color w:val="auto"/>
        </w:rPr>
      </w:pPr>
      <w:r>
        <w:rPr>
          <w:rFonts w:ascii="Arial" w:cs="Arial" w:eastAsia="Arial" w:hAnsi="Arial"/>
          <w:sz w:val="20"/>
          <w:szCs w:val="20"/>
          <w:b w:val="1"/>
          <w:bCs w:val="1"/>
          <w:u w:val="single" w:color="auto"/>
          <w:color w:val="auto"/>
        </w:rPr>
        <w:t>Disability; Death; Voluntary Resignation; Termination for Cause</w:t>
      </w:r>
      <w:r>
        <w:rPr>
          <w:rFonts w:ascii="Arial" w:cs="Arial" w:eastAsia="Arial" w:hAnsi="Arial"/>
          <w:sz w:val="20"/>
          <w:szCs w:val="20"/>
          <w:color w:val="auto"/>
        </w:rPr>
        <w:t>. If Executive’s employment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is terminated due to (i) Executive becoming Disabled or Executive’s death, (ii) Executive’s voluntary resignation (other than for Good Reason during the twelve (12) month period immediately following a Change in Control),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w:t>
      </w:r>
    </w:p>
    <w:p>
      <w:pPr>
        <w:spacing w:after="0" w:line="139" w:lineRule="exact"/>
        <w:rPr>
          <w:rFonts w:ascii="Arial" w:cs="Arial" w:eastAsia="Arial" w:hAnsi="Arial"/>
          <w:sz w:val="20"/>
          <w:szCs w:val="20"/>
          <w:color w:val="auto"/>
        </w:rPr>
      </w:pPr>
    </w:p>
    <w:p>
      <w:pPr>
        <w:jc w:val="both"/>
        <w:ind w:left="320" w:hanging="320"/>
        <w:spacing w:after="0" w:line="283" w:lineRule="auto"/>
        <w:tabs>
          <w:tab w:leader="none" w:pos="312" w:val="left"/>
        </w:tabs>
        <w:numPr>
          <w:ilvl w:val="0"/>
          <w:numId w:val="74"/>
        </w:numPr>
        <w:rPr>
          <w:rFonts w:ascii="Arial" w:cs="Arial" w:eastAsia="Arial" w:hAnsi="Arial"/>
          <w:sz w:val="20"/>
          <w:szCs w:val="20"/>
          <w:color w:val="auto"/>
        </w:rPr>
      </w:pPr>
      <w:r>
        <w:rPr>
          <w:rFonts w:ascii="Arial" w:cs="Arial" w:eastAsia="Arial" w:hAnsi="Arial"/>
          <w:sz w:val="20"/>
          <w:szCs w:val="20"/>
          <w:b w:val="1"/>
          <w:bCs w:val="1"/>
          <w:u w:val="single" w:color="auto"/>
          <w:color w:val="auto"/>
        </w:rPr>
        <w:t>Timing of Payments</w:t>
      </w:r>
      <w:r>
        <w:rPr>
          <w:rFonts w:ascii="Arial" w:cs="Arial" w:eastAsia="Arial" w:hAnsi="Arial"/>
          <w:sz w:val="20"/>
          <w:szCs w:val="20"/>
          <w:color w:val="auto"/>
        </w:rPr>
        <w:t>. Subject to any specific timing provisions in Section 6(a), 6(b), or 6(c), as applicable, or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Section 7, payment of the severance and benefits hereunder shall be made or commence to be made as soon as practicable following Executive’s termination of employment.</w:t>
      </w:r>
    </w:p>
    <w:p>
      <w:pPr>
        <w:spacing w:after="0" w:line="144" w:lineRule="exact"/>
        <w:rPr>
          <w:rFonts w:ascii="Arial" w:cs="Arial" w:eastAsia="Arial" w:hAnsi="Arial"/>
          <w:sz w:val="20"/>
          <w:szCs w:val="20"/>
          <w:color w:val="auto"/>
        </w:rPr>
      </w:pPr>
    </w:p>
    <w:p>
      <w:pPr>
        <w:jc w:val="both"/>
        <w:ind w:left="320" w:hanging="320"/>
        <w:spacing w:after="0" w:line="271" w:lineRule="auto"/>
        <w:tabs>
          <w:tab w:leader="none" w:pos="311" w:val="left"/>
        </w:tabs>
        <w:numPr>
          <w:ilvl w:val="0"/>
          <w:numId w:val="74"/>
        </w:numPr>
        <w:rPr>
          <w:rFonts w:ascii="Arial" w:cs="Arial" w:eastAsia="Arial" w:hAnsi="Arial"/>
          <w:sz w:val="20"/>
          <w:szCs w:val="20"/>
          <w:color w:val="auto"/>
        </w:rPr>
      </w:pPr>
      <w:r>
        <w:rPr>
          <w:rFonts w:ascii="Arial" w:cs="Arial" w:eastAsia="Arial" w:hAnsi="Arial"/>
          <w:sz w:val="20"/>
          <w:szCs w:val="20"/>
          <w:b w:val="1"/>
          <w:bCs w:val="1"/>
          <w:u w:val="single" w:color="auto"/>
          <w:color w:val="auto"/>
        </w:rPr>
        <w:t>Exclusive Remedy</w:t>
      </w:r>
      <w:r>
        <w:rPr>
          <w:rFonts w:ascii="Arial" w:cs="Arial" w:eastAsia="Arial" w:hAnsi="Arial"/>
          <w:sz w:val="20"/>
          <w:szCs w:val="20"/>
          <w:color w:val="auto"/>
        </w:rPr>
        <w:t>. In the event of a termination of Executive’s employment with the Company (or any parent,</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or successor of the Company), the provisions of this Section 6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6 of this Agreement or pursuant to written equity award agreements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60"/>
          </w:cols>
          <w:pgMar w:left="1300" w:top="1440" w:right="339" w:bottom="1440" w:gutter="0" w:footer="0" w:header="0"/>
        </w:sectPr>
      </w:pPr>
    </w:p>
    <w:bookmarkStart w:id="92" w:name="page93"/>
    <w:bookmarkEnd w:id="92"/>
    <w:p>
      <w:pPr>
        <w:spacing w:after="0" w:line="157" w:lineRule="exact"/>
        <w:rPr>
          <w:sz w:val="20"/>
          <w:szCs w:val="20"/>
          <w:color w:val="auto"/>
        </w:rPr>
      </w:pPr>
    </w:p>
    <w:p>
      <w:pPr>
        <w:ind w:left="968" w:hanging="320"/>
        <w:spacing w:after="0" w:line="300" w:lineRule="auto"/>
        <w:tabs>
          <w:tab w:leader="none" w:pos="958" w:val="left"/>
        </w:tabs>
        <w:numPr>
          <w:ilvl w:val="1"/>
          <w:numId w:val="75"/>
        </w:numPr>
        <w:rPr>
          <w:rFonts w:ascii="Arial" w:cs="Arial" w:eastAsia="Arial" w:hAnsi="Arial"/>
          <w:sz w:val="20"/>
          <w:szCs w:val="20"/>
          <w:color w:val="auto"/>
        </w:rPr>
      </w:pPr>
      <w:r>
        <w:rPr>
          <w:rFonts w:ascii="Arial" w:cs="Arial" w:eastAsia="Arial" w:hAnsi="Arial"/>
          <w:sz w:val="20"/>
          <w:szCs w:val="20"/>
          <w:b w:val="1"/>
          <w:bCs w:val="1"/>
          <w:u w:val="single" w:color="auto"/>
          <w:color w:val="auto"/>
        </w:rPr>
        <w:t>No Duty to Mitigate</w:t>
      </w:r>
      <w:r>
        <w:rPr>
          <w:rFonts w:ascii="Arial" w:cs="Arial" w:eastAsia="Arial" w:hAnsi="Arial"/>
          <w:sz w:val="20"/>
          <w:szCs w:val="20"/>
          <w:color w:val="auto"/>
        </w:rPr>
        <w:t>. Executive will not be required to mitigate the amount of any payment contemplated by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nor will any earnings that Executive may receive from any other source reduce any such payment.</w:t>
      </w:r>
    </w:p>
    <w:p>
      <w:pPr>
        <w:spacing w:after="0" w:line="127" w:lineRule="exact"/>
        <w:rPr>
          <w:rFonts w:ascii="Arial" w:cs="Arial" w:eastAsia="Arial" w:hAnsi="Arial"/>
          <w:sz w:val="20"/>
          <w:szCs w:val="20"/>
          <w:color w:val="auto"/>
        </w:rPr>
      </w:pPr>
    </w:p>
    <w:p>
      <w:pPr>
        <w:ind w:left="308" w:hanging="308"/>
        <w:spacing w:after="0"/>
        <w:tabs>
          <w:tab w:leader="none" w:pos="308" w:val="left"/>
        </w:tabs>
        <w:numPr>
          <w:ilvl w:val="0"/>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Conditions to Receipt of Severance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968" w:hanging="320"/>
        <w:spacing w:after="0" w:line="280" w:lineRule="auto"/>
        <w:tabs>
          <w:tab w:leader="none" w:pos="957" w:val="left"/>
        </w:tabs>
        <w:numPr>
          <w:ilvl w:val="1"/>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Release of Claims Agreement</w:t>
      </w:r>
      <w:r>
        <w:rPr>
          <w:rFonts w:ascii="Arial" w:cs="Arial" w:eastAsia="Arial" w:hAnsi="Arial"/>
          <w:sz w:val="20"/>
          <w:szCs w:val="20"/>
          <w:color w:val="auto"/>
        </w:rPr>
        <w:t>. The receipt of any severance payments or benefits pursuant to Section 6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is subject to Executive signing and not revoking a separation agreement and release of claims in a</w:t>
      </w:r>
    </w:p>
    <w:p>
      <w:pPr>
        <w:jc w:val="both"/>
        <w:ind w:left="968"/>
        <w:spacing w:after="0" w:line="281" w:lineRule="auto"/>
        <w:rPr>
          <w:rFonts w:ascii="Arial" w:cs="Arial" w:eastAsia="Arial" w:hAnsi="Arial"/>
          <w:sz w:val="20"/>
          <w:szCs w:val="20"/>
          <w:color w:val="auto"/>
        </w:rPr>
      </w:pPr>
      <w:r>
        <w:rPr>
          <w:rFonts w:ascii="Arial" w:cs="Arial" w:eastAsia="Arial" w:hAnsi="Arial"/>
          <w:sz w:val="19"/>
          <w:szCs w:val="19"/>
          <w:color w:val="auto"/>
        </w:rPr>
        <w:t xml:space="preserve">form substantially similar, as determined by the Company, as that attached hereto as </w:t>
      </w:r>
      <w:r>
        <w:rPr>
          <w:rFonts w:ascii="Arial" w:cs="Arial" w:eastAsia="Arial" w:hAnsi="Arial"/>
          <w:sz w:val="19"/>
          <w:szCs w:val="19"/>
          <w:u w:val="single" w:color="auto"/>
          <w:color w:val="auto"/>
        </w:rPr>
        <w:t>Attachment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which must become effective no later than the sixtieth (60th) day following Executive’s termination of employment (the “</w:t>
      </w:r>
      <w:r>
        <w:rPr>
          <w:rFonts w:ascii="Arial" w:cs="Arial" w:eastAsia="Arial" w:hAnsi="Arial"/>
          <w:sz w:val="19"/>
          <w:szCs w:val="19"/>
          <w:b w:val="1"/>
          <w:bCs w:val="1"/>
          <w:i w:val="1"/>
          <w:iCs w:val="1"/>
          <w:color w:val="auto"/>
        </w:rPr>
        <w:t>Release Deadline</w:t>
      </w:r>
      <w:r>
        <w:rPr>
          <w:rFonts w:ascii="Arial" w:cs="Arial" w:eastAsia="Arial" w:hAnsi="Arial"/>
          <w:sz w:val="19"/>
          <w:szCs w:val="19"/>
          <w:color w:val="auto"/>
        </w:rPr>
        <w:t>”), and if not, Executive will forfeit any right to severance payments or benefits under this Agreement. To become effective, the Release must be timely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7(c)(i)) will be paid on the first payroll date to occur during the calendar year following the calendar year in which such termination occurs, or such later time as required by</w:t>
      </w:r>
    </w:p>
    <w:p>
      <w:pPr>
        <w:spacing w:after="0" w:line="7" w:lineRule="exact"/>
        <w:rPr>
          <w:rFonts w:ascii="Arial" w:cs="Arial" w:eastAsia="Arial" w:hAnsi="Arial"/>
          <w:sz w:val="20"/>
          <w:szCs w:val="20"/>
          <w:color w:val="auto"/>
        </w:rPr>
      </w:pPr>
    </w:p>
    <w:p>
      <w:pPr>
        <w:jc w:val="both"/>
        <w:ind w:left="968" w:right="20" w:firstLine="4"/>
        <w:spacing w:after="0" w:line="291" w:lineRule="auto"/>
        <w:tabs>
          <w:tab w:leader="none" w:pos="1203" w:val="left"/>
        </w:tabs>
        <w:numPr>
          <w:ilvl w:val="2"/>
          <w:numId w:val="76"/>
        </w:numPr>
        <w:rPr>
          <w:rFonts w:ascii="Arial" w:cs="Arial" w:eastAsia="Arial" w:hAnsi="Arial"/>
          <w:sz w:val="19"/>
          <w:szCs w:val="19"/>
          <w:color w:val="auto"/>
        </w:rPr>
      </w:pPr>
      <w:r>
        <w:rPr>
          <w:rFonts w:ascii="Arial" w:cs="Arial" w:eastAsia="Arial" w:hAnsi="Arial"/>
          <w:sz w:val="19"/>
          <w:szCs w:val="19"/>
          <w:color w:val="auto"/>
        </w:rPr>
        <w:t>the payment schedule applicable to each payment or benefit as set forth in Section 6, (ii) the date the Release becomes effective, or (iii) Section 7(c)(ii); provided that the first payment shall include all amounts that would have been paid to Executive if payment had commenced on the date of Executive’s termination of employment.</w:t>
      </w:r>
    </w:p>
    <w:p>
      <w:pPr>
        <w:spacing w:after="0" w:line="126" w:lineRule="exact"/>
        <w:rPr>
          <w:rFonts w:ascii="Arial" w:cs="Arial" w:eastAsia="Arial" w:hAnsi="Arial"/>
          <w:sz w:val="19"/>
          <w:szCs w:val="19"/>
          <w:color w:val="auto"/>
        </w:rPr>
      </w:pPr>
    </w:p>
    <w:p>
      <w:pPr>
        <w:jc w:val="both"/>
        <w:ind w:left="968" w:hanging="320"/>
        <w:spacing w:after="0" w:line="283" w:lineRule="auto"/>
        <w:tabs>
          <w:tab w:leader="none" w:pos="957" w:val="left"/>
        </w:tabs>
        <w:numPr>
          <w:ilvl w:val="1"/>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Confidentiality Agreement</w:t>
      </w:r>
      <w:r>
        <w:rPr>
          <w:rFonts w:ascii="Arial" w:cs="Arial" w:eastAsia="Arial" w:hAnsi="Arial"/>
          <w:sz w:val="20"/>
          <w:szCs w:val="20"/>
          <w:color w:val="auto"/>
        </w:rPr>
        <w:t>. Executive’s receipt of any payments or benefits under Section 6 will be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continuing to comply with the terms of the Confidentiality Agreement (as defined in Section 11(a) below).</w:t>
      </w:r>
    </w:p>
    <w:p>
      <w:pPr>
        <w:spacing w:after="0" w:line="144" w:lineRule="exact"/>
        <w:rPr>
          <w:rFonts w:ascii="Arial" w:cs="Arial" w:eastAsia="Arial" w:hAnsi="Arial"/>
          <w:sz w:val="20"/>
          <w:szCs w:val="20"/>
          <w:color w:val="auto"/>
        </w:rPr>
      </w:pPr>
    </w:p>
    <w:p>
      <w:pPr>
        <w:ind w:left="968" w:hanging="320"/>
        <w:spacing w:after="0"/>
        <w:tabs>
          <w:tab w:leader="none" w:pos="968" w:val="left"/>
        </w:tabs>
        <w:numPr>
          <w:ilvl w:val="1"/>
          <w:numId w:val="76"/>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w:t>
      </w:r>
    </w:p>
    <w:p>
      <w:pPr>
        <w:spacing w:after="0" w:line="226" w:lineRule="exact"/>
        <w:rPr>
          <w:rFonts w:ascii="Arial" w:cs="Arial" w:eastAsia="Arial" w:hAnsi="Arial"/>
          <w:sz w:val="20"/>
          <w:szCs w:val="20"/>
          <w:color w:val="auto"/>
        </w:rPr>
      </w:pPr>
    </w:p>
    <w:p>
      <w:pPr>
        <w:jc w:val="right"/>
        <w:ind w:left="1628" w:hanging="324"/>
        <w:spacing w:after="0" w:line="267" w:lineRule="auto"/>
        <w:rPr>
          <w:rFonts w:ascii="Arial" w:cs="Arial" w:eastAsia="Arial" w:hAnsi="Arial"/>
          <w:sz w:val="20"/>
          <w:szCs w:val="20"/>
          <w:color w:val="auto"/>
        </w:rPr>
      </w:pPr>
      <w:r>
        <w:rPr>
          <w:rFonts w:ascii="Arial" w:cs="Arial" w:eastAsia="Arial" w:hAnsi="Arial"/>
          <w:sz w:val="20"/>
          <w:szCs w:val="20"/>
          <w:color w:val="auto"/>
        </w:rPr>
        <w:t>v.  Notwithstanding anything to the contrary in this Agreement, no severance pay or benefits to be paid or provided to Executive, if any, pursuant to this Agreement that, when considered together with any other</w:t>
      </w:r>
    </w:p>
    <w:p>
      <w:pPr>
        <w:spacing w:after="0" w:line="1" w:lineRule="exact"/>
        <w:rPr>
          <w:rFonts w:ascii="Arial" w:cs="Arial" w:eastAsia="Arial" w:hAnsi="Arial"/>
          <w:sz w:val="20"/>
          <w:szCs w:val="20"/>
          <w:color w:val="auto"/>
        </w:rPr>
      </w:pPr>
    </w:p>
    <w:p>
      <w:pPr>
        <w:jc w:val="both"/>
        <w:ind w:left="1628"/>
        <w:spacing w:after="0" w:line="269" w:lineRule="auto"/>
        <w:rPr>
          <w:rFonts w:ascii="Arial" w:cs="Arial" w:eastAsia="Arial" w:hAnsi="Arial"/>
          <w:sz w:val="20"/>
          <w:szCs w:val="20"/>
          <w:color w:val="auto"/>
        </w:rPr>
      </w:pPr>
      <w:r>
        <w:rPr>
          <w:rFonts w:ascii="Arial" w:cs="Arial" w:eastAsia="Arial" w:hAnsi="Arial"/>
          <w:sz w:val="20"/>
          <w:szCs w:val="20"/>
          <w:color w:val="auto"/>
        </w:rPr>
        <w:t>severance payments or separation benefits, are considered deferred compensation not exempt under Section 409A (together, the “</w:t>
      </w:r>
      <w:r>
        <w:rPr>
          <w:rFonts w:ascii="Arial" w:cs="Arial" w:eastAsia="Arial" w:hAnsi="Arial"/>
          <w:sz w:val="20"/>
          <w:szCs w:val="20"/>
          <w:b w:val="1"/>
          <w:bCs w:val="1"/>
          <w:i w:val="1"/>
          <w:iCs w:val="1"/>
          <w:color w:val="auto"/>
        </w:rPr>
        <w:t>Deferred Payments</w:t>
      </w:r>
      <w:r>
        <w:rPr>
          <w:rFonts w:ascii="Arial" w:cs="Arial" w:eastAsia="Arial" w:hAnsi="Arial"/>
          <w:sz w:val="20"/>
          <w:szCs w:val="20"/>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908"/>
          </w:cols>
          <w:pgMar w:left="652" w:top="1440" w:right="339" w:bottom="1440" w:gutter="0" w:footer="0" w:header="0"/>
        </w:sectPr>
      </w:pPr>
    </w:p>
    <w:bookmarkStart w:id="93" w:name="page94"/>
    <w:bookmarkEnd w:id="93"/>
    <w:p>
      <w:pPr>
        <w:spacing w:after="0" w:line="181" w:lineRule="exact"/>
        <w:rPr>
          <w:sz w:val="20"/>
          <w:szCs w:val="20"/>
          <w:color w:val="auto"/>
        </w:rPr>
      </w:pPr>
    </w:p>
    <w:p>
      <w:pPr>
        <w:jc w:val="both"/>
        <w:ind w:left="840"/>
        <w:spacing w:after="0" w:line="271" w:lineRule="auto"/>
        <w:rPr>
          <w:sz w:val="20"/>
          <w:szCs w:val="20"/>
          <w:color w:val="auto"/>
        </w:rPr>
      </w:pPr>
      <w:r>
        <w:rPr>
          <w:rFonts w:ascii="Arial" w:cs="Arial" w:eastAsia="Arial" w:hAnsi="Arial"/>
          <w:sz w:val="20"/>
          <w:szCs w:val="20"/>
          <w:color w:val="auto"/>
        </w:rPr>
        <w:t>Executive, if any, pursuant to this Agreement that otherwise would be exempt from Section 409A pursuant to Treasury Regulation Section 1.409A-1(b)(9) will be payable until Executive has a “separation from service” within the meaning of Section 409A.</w:t>
      </w:r>
    </w:p>
    <w:p>
      <w:pPr>
        <w:spacing w:after="0" w:line="155" w:lineRule="exact"/>
        <w:rPr>
          <w:sz w:val="20"/>
          <w:szCs w:val="20"/>
          <w:color w:val="auto"/>
        </w:rPr>
      </w:pPr>
    </w:p>
    <w:p>
      <w:pPr>
        <w:jc w:val="both"/>
        <w:ind w:left="840" w:hanging="332"/>
        <w:spacing w:after="0" w:line="270" w:lineRule="auto"/>
        <w:tabs>
          <w:tab w:leader="none" w:pos="835" w:val="left"/>
        </w:tabs>
        <w:numPr>
          <w:ilvl w:val="0"/>
          <w:numId w:val="77"/>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if Executive is a “</w:t>
      </w:r>
      <w:r>
        <w:rPr>
          <w:rFonts w:ascii="Arial" w:cs="Arial" w:eastAsia="Arial" w:hAnsi="Arial"/>
          <w:sz w:val="20"/>
          <w:szCs w:val="20"/>
          <w:b w:val="1"/>
          <w:bCs w:val="1"/>
          <w:i w:val="1"/>
          <w:iCs w:val="1"/>
          <w:color w:val="auto"/>
        </w:rPr>
        <w:t>specified employee</w:t>
      </w:r>
      <w:r>
        <w:rPr>
          <w:rFonts w:ascii="Arial" w:cs="Arial" w:eastAsia="Arial" w:hAnsi="Arial"/>
          <w:sz w:val="20"/>
          <w:szCs w:val="20"/>
          <w:color w:val="auto"/>
        </w:rPr>
        <w:t>”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70" w:lineRule="exact"/>
        <w:rPr>
          <w:rFonts w:ascii="Arial" w:cs="Arial" w:eastAsia="Arial" w:hAnsi="Arial"/>
          <w:sz w:val="20"/>
          <w:szCs w:val="20"/>
          <w:color w:val="auto"/>
        </w:rPr>
      </w:pPr>
    </w:p>
    <w:p>
      <w:pPr>
        <w:jc w:val="both"/>
        <w:ind w:left="840" w:hanging="332"/>
        <w:spacing w:after="0" w:line="271" w:lineRule="auto"/>
        <w:tabs>
          <w:tab w:leader="none" w:pos="839" w:val="left"/>
        </w:tabs>
        <w:numPr>
          <w:ilvl w:val="0"/>
          <w:numId w:val="77"/>
        </w:numPr>
        <w:rPr>
          <w:rFonts w:ascii="Arial" w:cs="Arial" w:eastAsia="Arial" w:hAnsi="Arial"/>
          <w:sz w:val="20"/>
          <w:szCs w:val="20"/>
          <w:color w:val="auto"/>
        </w:rPr>
      </w:pPr>
      <w:r>
        <w:rPr>
          <w:rFonts w:ascii="Arial" w:cs="Arial" w:eastAsia="Arial" w:hAnsi="Arial"/>
          <w:sz w:val="20"/>
          <w:szCs w:val="20"/>
          <w:color w:val="auto"/>
        </w:rPr>
        <w:t>Without limitation, any amount paid under this Agreement that satisfies the requirements of the “short-term deferral” rule set forth in Section 1.409A-1(b)(4) of the Treasury Regulations is not intended to constitute Deferred Payments for purposes of clause (i) above.</w:t>
      </w:r>
    </w:p>
    <w:p>
      <w:pPr>
        <w:spacing w:after="0" w:line="165" w:lineRule="exact"/>
        <w:rPr>
          <w:rFonts w:ascii="Arial" w:cs="Arial" w:eastAsia="Arial" w:hAnsi="Arial"/>
          <w:sz w:val="20"/>
          <w:szCs w:val="20"/>
          <w:color w:val="auto"/>
        </w:rPr>
      </w:pPr>
    </w:p>
    <w:p>
      <w:pPr>
        <w:jc w:val="both"/>
        <w:ind w:left="840" w:hanging="332"/>
        <w:spacing w:after="0" w:line="286" w:lineRule="auto"/>
        <w:tabs>
          <w:tab w:leader="none" w:pos="829" w:val="left"/>
        </w:tabs>
        <w:numPr>
          <w:ilvl w:val="0"/>
          <w:numId w:val="77"/>
        </w:numPr>
        <w:rPr>
          <w:rFonts w:ascii="Arial" w:cs="Arial" w:eastAsia="Arial" w:hAnsi="Arial"/>
          <w:sz w:val="19"/>
          <w:szCs w:val="19"/>
          <w:color w:val="auto"/>
        </w:rPr>
      </w:pPr>
      <w:r>
        <w:rPr>
          <w:rFonts w:ascii="Arial" w:cs="Arial" w:eastAsia="Arial" w:hAnsi="Arial"/>
          <w:sz w:val="19"/>
          <w:szCs w:val="19"/>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169" w:lineRule="exact"/>
        <w:rPr>
          <w:rFonts w:ascii="Arial" w:cs="Arial" w:eastAsia="Arial" w:hAnsi="Arial"/>
          <w:sz w:val="19"/>
          <w:szCs w:val="19"/>
          <w:color w:val="auto"/>
        </w:rPr>
      </w:pPr>
    </w:p>
    <w:p>
      <w:pPr>
        <w:jc w:val="both"/>
        <w:ind w:left="840" w:hanging="332"/>
        <w:spacing w:after="0" w:line="269" w:lineRule="auto"/>
        <w:tabs>
          <w:tab w:leader="none" w:pos="835" w:val="left"/>
        </w:tabs>
        <w:numPr>
          <w:ilvl w:val="0"/>
          <w:numId w:val="77"/>
        </w:numPr>
        <w:rPr>
          <w:rFonts w:ascii="Arial" w:cs="Arial" w:eastAsia="Arial" w:hAnsi="Arial"/>
          <w:sz w:val="20"/>
          <w:szCs w:val="20"/>
          <w:color w:val="auto"/>
        </w:rPr>
      </w:pPr>
      <w:r>
        <w:rPr>
          <w:rFonts w:ascii="Arial" w:cs="Arial" w:eastAsia="Arial" w:hAnsi="Arial"/>
          <w:sz w:val="20"/>
          <w:szCs w:val="20"/>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20"/>
          </w:cols>
          <w:pgMar w:left="1440" w:top="1440" w:right="339" w:bottom="1440" w:gutter="0" w:footer="0" w:header="0"/>
        </w:sectPr>
      </w:pPr>
    </w:p>
    <w:bookmarkStart w:id="94" w:name="page95"/>
    <w:bookmarkEnd w:id="94"/>
    <w:p>
      <w:pPr>
        <w:spacing w:after="0" w:line="181" w:lineRule="exact"/>
        <w:rPr>
          <w:sz w:val="20"/>
          <w:szCs w:val="20"/>
          <w:color w:val="auto"/>
        </w:rPr>
      </w:pPr>
    </w:p>
    <w:p>
      <w:pPr>
        <w:jc w:val="both"/>
        <w:ind w:left="1628"/>
        <w:spacing w:after="0" w:line="271" w:lineRule="auto"/>
        <w:rPr>
          <w:sz w:val="20"/>
          <w:szCs w:val="20"/>
          <w:color w:val="auto"/>
        </w:rPr>
      </w:pPr>
      <w:r>
        <w:rPr>
          <w:rFonts w:ascii="Arial" w:cs="Arial" w:eastAsia="Arial" w:hAnsi="Arial"/>
          <w:sz w:val="20"/>
          <w:szCs w:val="20"/>
          <w:color w:val="auto"/>
        </w:rPr>
        <w:t>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179" w:lineRule="exact"/>
        <w:rPr>
          <w:sz w:val="20"/>
          <w:szCs w:val="20"/>
          <w:color w:val="auto"/>
        </w:rPr>
      </w:pPr>
    </w:p>
    <w:p>
      <w:pPr>
        <w:jc w:val="both"/>
        <w:ind w:left="1628" w:hanging="332"/>
        <w:spacing w:after="0" w:line="268" w:lineRule="auto"/>
        <w:tabs>
          <w:tab w:leader="none" w:pos="1620" w:val="left"/>
        </w:tabs>
        <w:numPr>
          <w:ilvl w:val="2"/>
          <w:numId w:val="78"/>
        </w:numPr>
        <w:rPr>
          <w:rFonts w:ascii="Arial" w:cs="Arial" w:eastAsia="Arial" w:hAnsi="Arial"/>
          <w:sz w:val="20"/>
          <w:szCs w:val="20"/>
          <w:color w:val="auto"/>
        </w:rPr>
      </w:pPr>
      <w:r>
        <w:rPr>
          <w:rFonts w:ascii="Arial" w:cs="Arial" w:eastAsia="Arial" w:hAnsi="Arial"/>
          <w:sz w:val="20"/>
          <w:szCs w:val="20"/>
          <w:color w:val="auto"/>
        </w:rPr>
        <w:t>The payments and benefits provided under Sections 6(a) and 6(b)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w:t>
      </w:r>
    </w:p>
    <w:p>
      <w:pPr>
        <w:spacing w:after="0" w:line="149" w:lineRule="exact"/>
        <w:rPr>
          <w:rFonts w:ascii="Arial" w:cs="Arial" w:eastAsia="Arial" w:hAnsi="Arial"/>
          <w:sz w:val="20"/>
          <w:szCs w:val="20"/>
          <w:color w:val="auto"/>
        </w:rPr>
      </w:pPr>
    </w:p>
    <w:p>
      <w:pPr>
        <w:ind w:left="648" w:right="1480" w:hanging="648"/>
        <w:spacing w:after="0" w:line="470" w:lineRule="auto"/>
        <w:tabs>
          <w:tab w:leader="none" w:pos="313" w:val="left"/>
        </w:tabs>
        <w:numPr>
          <w:ilvl w:val="0"/>
          <w:numId w:val="79"/>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 of Terms</w:t>
      </w:r>
      <w:r>
        <w:rPr>
          <w:rFonts w:ascii="Arial" w:cs="Arial" w:eastAsia="Arial" w:hAnsi="Arial"/>
          <w:sz w:val="20"/>
          <w:szCs w:val="20"/>
          <w:color w:val="auto"/>
        </w:rPr>
        <w:t>. The following terms referred to in this Agreement will have the following meanings: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 </w:t>
      </w:r>
      <w:r>
        <w:rPr>
          <w:rFonts w:ascii="Arial" w:cs="Arial" w:eastAsia="Arial" w:hAnsi="Arial"/>
          <w:sz w:val="20"/>
          <w:szCs w:val="20"/>
          <w:b w:val="1"/>
          <w:bCs w:val="1"/>
          <w:u w:val="single" w:color="auto"/>
          <w:color w:val="auto"/>
        </w:rPr>
        <w:t>Cause</w:t>
      </w:r>
      <w:r>
        <w:rPr>
          <w:rFonts w:ascii="Arial" w:cs="Arial" w:eastAsia="Arial" w:hAnsi="Arial"/>
          <w:sz w:val="20"/>
          <w:szCs w:val="20"/>
          <w:color w:val="auto"/>
        </w:rPr>
        <w:t>. “Cause” means:</w:t>
      </w:r>
    </w:p>
    <w:p>
      <w:pPr>
        <w:ind w:left="1628" w:hanging="332"/>
        <w:spacing w:after="0" w:line="275" w:lineRule="auto"/>
        <w:tabs>
          <w:tab w:leader="none" w:pos="1619" w:val="left"/>
        </w:tabs>
        <w:numPr>
          <w:ilvl w:val="2"/>
          <w:numId w:val="79"/>
        </w:numPr>
        <w:rPr>
          <w:rFonts w:ascii="Arial" w:cs="Arial" w:eastAsia="Arial" w:hAnsi="Arial"/>
          <w:sz w:val="20"/>
          <w:szCs w:val="20"/>
          <w:color w:val="auto"/>
        </w:rPr>
      </w:pPr>
      <w:r>
        <w:rPr>
          <w:rFonts w:ascii="Arial" w:cs="Arial" w:eastAsia="Arial" w:hAnsi="Arial"/>
          <w:sz w:val="20"/>
          <w:szCs w:val="20"/>
          <w:color w:val="auto"/>
        </w:rPr>
        <w:t>Executive’s gross negligence or willful misconduct in the performance of his or her duties and responsibilities to the Company or Executive’s violation of any written Company policy;</w:t>
      </w:r>
    </w:p>
    <w:p>
      <w:pPr>
        <w:spacing w:after="0" w:line="161" w:lineRule="exact"/>
        <w:rPr>
          <w:sz w:val="20"/>
          <w:szCs w:val="20"/>
          <w:color w:val="auto"/>
        </w:rPr>
      </w:pPr>
    </w:p>
    <w:p>
      <w:pPr>
        <w:jc w:val="both"/>
        <w:ind w:left="1628" w:hanging="332"/>
        <w:spacing w:after="0" w:line="271" w:lineRule="auto"/>
        <w:tabs>
          <w:tab w:leader="none" w:pos="1622" w:val="left"/>
        </w:tabs>
        <w:numPr>
          <w:ilvl w:val="0"/>
          <w:numId w:val="80"/>
        </w:numPr>
        <w:rPr>
          <w:rFonts w:ascii="Arial" w:cs="Arial" w:eastAsia="Arial" w:hAnsi="Arial"/>
          <w:sz w:val="20"/>
          <w:szCs w:val="20"/>
          <w:color w:val="auto"/>
        </w:rPr>
      </w:pPr>
      <w:r>
        <w:rPr>
          <w:rFonts w:ascii="Arial" w:cs="Arial" w:eastAsia="Arial" w:hAnsi="Arial"/>
          <w:sz w:val="20"/>
          <w:szCs w:val="20"/>
          <w:color w:val="auto"/>
        </w:rPr>
        <w:t>Executive’s commission of any act of fraud, theft, embezzlement, financial dishonesty, misappropriation from the Company or any other willful misconduct that has caused or is reasonably expected to result in injury to the Company;</w:t>
      </w:r>
    </w:p>
    <w:p>
      <w:pPr>
        <w:spacing w:after="0" w:line="165" w:lineRule="exact"/>
        <w:rPr>
          <w:rFonts w:ascii="Arial" w:cs="Arial" w:eastAsia="Arial" w:hAnsi="Arial"/>
          <w:sz w:val="20"/>
          <w:szCs w:val="20"/>
          <w:color w:val="auto"/>
        </w:rPr>
      </w:pPr>
    </w:p>
    <w:p>
      <w:pPr>
        <w:ind w:left="1628" w:right="20" w:hanging="332"/>
        <w:spacing w:after="0" w:line="275" w:lineRule="auto"/>
        <w:tabs>
          <w:tab w:leader="none" w:pos="1626" w:val="left"/>
        </w:tabs>
        <w:numPr>
          <w:ilvl w:val="0"/>
          <w:numId w:val="80"/>
        </w:numPr>
        <w:rPr>
          <w:rFonts w:ascii="Arial" w:cs="Arial" w:eastAsia="Arial" w:hAnsi="Arial"/>
          <w:sz w:val="20"/>
          <w:szCs w:val="20"/>
          <w:color w:val="auto"/>
        </w:rPr>
      </w:pPr>
      <w:r>
        <w:rPr>
          <w:rFonts w:ascii="Arial" w:cs="Arial" w:eastAsia="Arial" w:hAnsi="Arial"/>
          <w:sz w:val="20"/>
          <w:szCs w:val="20"/>
          <w:color w:val="auto"/>
        </w:rPr>
        <w:t>Executive’s conviction of, or pleading guilty or nolo contendre to, any felony or a lesser crime involving dishonesty or moral turpitude;</w:t>
      </w:r>
    </w:p>
    <w:p>
      <w:pPr>
        <w:spacing w:after="0" w:line="174" w:lineRule="exact"/>
        <w:rPr>
          <w:rFonts w:ascii="Arial" w:cs="Arial" w:eastAsia="Arial" w:hAnsi="Arial"/>
          <w:sz w:val="20"/>
          <w:szCs w:val="20"/>
          <w:color w:val="auto"/>
        </w:rPr>
      </w:pPr>
    </w:p>
    <w:p>
      <w:pPr>
        <w:ind w:left="1628" w:right="20" w:hanging="332"/>
        <w:spacing w:after="0" w:line="275" w:lineRule="auto"/>
        <w:tabs>
          <w:tab w:leader="none" w:pos="1609" w:val="left"/>
        </w:tabs>
        <w:numPr>
          <w:ilvl w:val="0"/>
          <w:numId w:val="80"/>
        </w:numPr>
        <w:rPr>
          <w:rFonts w:ascii="Arial" w:cs="Arial" w:eastAsia="Arial" w:hAnsi="Arial"/>
          <w:sz w:val="20"/>
          <w:szCs w:val="20"/>
          <w:color w:val="auto"/>
        </w:rPr>
      </w:pPr>
      <w:r>
        <w:rPr>
          <w:rFonts w:ascii="Arial" w:cs="Arial" w:eastAsia="Arial" w:hAnsi="Arial"/>
          <w:sz w:val="20"/>
          <w:szCs w:val="20"/>
          <w:color w:val="auto"/>
        </w:rPr>
        <w:t>Executive’s unlawful use (including being under the influence) or possession of illegal drugs on the premises of the Company or while performing Executive’s duties and responsibilities for the Company</w:t>
      </w:r>
    </w:p>
    <w:p>
      <w:pPr>
        <w:spacing w:after="0" w:line="161" w:lineRule="exact"/>
        <w:rPr>
          <w:rFonts w:ascii="Arial" w:cs="Arial" w:eastAsia="Arial" w:hAnsi="Arial"/>
          <w:sz w:val="20"/>
          <w:szCs w:val="20"/>
          <w:color w:val="auto"/>
        </w:rPr>
      </w:pPr>
    </w:p>
    <w:p>
      <w:pPr>
        <w:jc w:val="both"/>
        <w:ind w:left="1628" w:hanging="332"/>
        <w:spacing w:after="0" w:line="271" w:lineRule="auto"/>
        <w:tabs>
          <w:tab w:leader="none" w:pos="1605" w:val="left"/>
        </w:tabs>
        <w:numPr>
          <w:ilvl w:val="0"/>
          <w:numId w:val="80"/>
        </w:numPr>
        <w:rPr>
          <w:rFonts w:ascii="Arial" w:cs="Arial" w:eastAsia="Arial" w:hAnsi="Arial"/>
          <w:sz w:val="20"/>
          <w:szCs w:val="20"/>
          <w:color w:val="auto"/>
        </w:rPr>
      </w:pPr>
      <w:r>
        <w:rPr>
          <w:rFonts w:ascii="Arial" w:cs="Arial" w:eastAsia="Arial" w:hAnsi="Arial"/>
          <w:sz w:val="20"/>
          <w:szCs w:val="20"/>
          <w:color w:val="auto"/>
        </w:rPr>
        <w:t>Executive’s unauthorized use or disclosure of any proprietary information or trade secrets of the Company or any other party to whom Executive owes an obligation of nondisclosure as a result of his or her relationship with the Company; or</w:t>
      </w:r>
    </w:p>
    <w:p>
      <w:pPr>
        <w:spacing w:after="0" w:line="165" w:lineRule="exact"/>
        <w:rPr>
          <w:rFonts w:ascii="Arial" w:cs="Arial" w:eastAsia="Arial" w:hAnsi="Arial"/>
          <w:sz w:val="20"/>
          <w:szCs w:val="20"/>
          <w:color w:val="auto"/>
        </w:rPr>
      </w:pPr>
    </w:p>
    <w:p>
      <w:pPr>
        <w:ind w:left="1628" w:hanging="332"/>
        <w:spacing w:after="0" w:line="275" w:lineRule="auto"/>
        <w:tabs>
          <w:tab w:leader="none" w:pos="1623" w:val="left"/>
        </w:tabs>
        <w:numPr>
          <w:ilvl w:val="0"/>
          <w:numId w:val="80"/>
        </w:numPr>
        <w:rPr>
          <w:rFonts w:ascii="Arial" w:cs="Arial" w:eastAsia="Arial" w:hAnsi="Arial"/>
          <w:sz w:val="20"/>
          <w:szCs w:val="20"/>
          <w:color w:val="auto"/>
        </w:rPr>
      </w:pPr>
      <w:r>
        <w:rPr>
          <w:rFonts w:ascii="Arial" w:cs="Arial" w:eastAsia="Arial" w:hAnsi="Arial"/>
          <w:sz w:val="20"/>
          <w:szCs w:val="20"/>
          <w:color w:val="auto"/>
        </w:rPr>
        <w:t>Executive’s material breach of any of his or her obligations under any written agreement or covenant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908"/>
          </w:cols>
          <w:pgMar w:left="652" w:top="1440" w:right="339" w:bottom="1440" w:gutter="0" w:footer="0" w:header="0"/>
        </w:sectPr>
      </w:pPr>
    </w:p>
    <w:bookmarkStart w:id="95" w:name="page96"/>
    <w:bookmarkEnd w:id="95"/>
    <w:p>
      <w:pPr>
        <w:spacing w:after="0" w:line="157" w:lineRule="exact"/>
        <w:rPr>
          <w:sz w:val="20"/>
          <w:szCs w:val="20"/>
          <w:color w:val="auto"/>
        </w:rPr>
      </w:pPr>
    </w:p>
    <w:p>
      <w:pPr>
        <w:ind w:left="320" w:hanging="320"/>
        <w:spacing w:after="0"/>
        <w:tabs>
          <w:tab w:leader="none" w:pos="320" w:val="left"/>
        </w:tabs>
        <w:numPr>
          <w:ilvl w:val="0"/>
          <w:numId w:val="81"/>
        </w:numPr>
        <w:rPr>
          <w:rFonts w:ascii="Arial" w:cs="Arial" w:eastAsia="Arial" w:hAnsi="Arial"/>
          <w:sz w:val="20"/>
          <w:szCs w:val="20"/>
          <w:color w:val="auto"/>
        </w:rPr>
      </w:pPr>
      <w:r>
        <w:rPr>
          <w:rFonts w:ascii="Arial" w:cs="Arial" w:eastAsia="Arial" w:hAnsi="Arial"/>
          <w:sz w:val="20"/>
          <w:szCs w:val="20"/>
          <w:b w:val="1"/>
          <w:bCs w:val="1"/>
          <w:u w:val="single" w:color="auto"/>
          <w:color w:val="auto"/>
        </w:rPr>
        <w:t>Change in Control</w:t>
      </w:r>
      <w:r>
        <w:rPr>
          <w:rFonts w:ascii="Arial" w:cs="Arial" w:eastAsia="Arial" w:hAnsi="Arial"/>
          <w:sz w:val="20"/>
          <w:szCs w:val="20"/>
          <w:color w:val="auto"/>
        </w:rPr>
        <w:t>. “Change in Control” shall have the meaning ascribed to such term in the Equity Plan.</w:t>
      </w:r>
    </w:p>
    <w:p>
      <w:pPr>
        <w:spacing w:after="0" w:line="215" w:lineRule="exact"/>
        <w:rPr>
          <w:rFonts w:ascii="Arial" w:cs="Arial" w:eastAsia="Arial" w:hAnsi="Arial"/>
          <w:sz w:val="20"/>
          <w:szCs w:val="20"/>
          <w:color w:val="auto"/>
        </w:rPr>
      </w:pPr>
    </w:p>
    <w:p>
      <w:pPr>
        <w:ind w:left="320" w:hanging="320"/>
        <w:spacing w:after="0" w:line="300" w:lineRule="auto"/>
        <w:tabs>
          <w:tab w:leader="none" w:pos="309" w:val="left"/>
        </w:tabs>
        <w:numPr>
          <w:ilvl w:val="0"/>
          <w:numId w:val="81"/>
        </w:numPr>
        <w:rPr>
          <w:rFonts w:ascii="Arial" w:cs="Arial" w:eastAsia="Arial" w:hAnsi="Arial"/>
          <w:sz w:val="20"/>
          <w:szCs w:val="20"/>
          <w:color w:val="auto"/>
        </w:rPr>
      </w:pPr>
      <w:r>
        <w:rPr>
          <w:rFonts w:ascii="Arial" w:cs="Arial" w:eastAsia="Arial" w:hAnsi="Arial"/>
          <w:sz w:val="20"/>
          <w:szCs w:val="20"/>
          <w:b w:val="1"/>
          <w:bCs w:val="1"/>
          <w:u w:val="single" w:color="auto"/>
          <w:color w:val="auto"/>
        </w:rPr>
        <w:t>Change in Control Protection Period</w:t>
      </w:r>
      <w:r>
        <w:rPr>
          <w:rFonts w:ascii="Arial" w:cs="Arial" w:eastAsia="Arial" w:hAnsi="Arial"/>
          <w:sz w:val="20"/>
          <w:szCs w:val="20"/>
          <w:color w:val="auto"/>
        </w:rPr>
        <w:t>. “Change in Control Protection Period” means the period beginning one</w:t>
      </w:r>
      <w:r>
        <w:rPr>
          <w:rFonts w:ascii="Arial" w:cs="Arial" w:eastAsia="Arial" w:hAnsi="Arial"/>
          <w:sz w:val="20"/>
          <w:szCs w:val="20"/>
          <w:b w:val="1"/>
          <w:bCs w:val="1"/>
          <w:color w:val="auto"/>
        </w:rPr>
        <w:t xml:space="preserve"> </w:t>
      </w:r>
      <w:r>
        <w:rPr>
          <w:rFonts w:ascii="Arial" w:cs="Arial" w:eastAsia="Arial" w:hAnsi="Arial"/>
          <w:sz w:val="20"/>
          <w:szCs w:val="20"/>
          <w:color w:val="auto"/>
        </w:rPr>
        <w:t>month prior to and ending twelve (12) months immediately following the consummation of a Change in Control.</w:t>
      </w:r>
    </w:p>
    <w:p>
      <w:pPr>
        <w:spacing w:after="0" w:line="113" w:lineRule="exact"/>
        <w:rPr>
          <w:rFonts w:ascii="Arial" w:cs="Arial" w:eastAsia="Arial" w:hAnsi="Arial"/>
          <w:sz w:val="20"/>
          <w:szCs w:val="20"/>
          <w:color w:val="auto"/>
        </w:rPr>
      </w:pPr>
    </w:p>
    <w:p>
      <w:pPr>
        <w:ind w:left="320" w:hanging="320"/>
        <w:spacing w:after="0"/>
        <w:tabs>
          <w:tab w:leader="none" w:pos="320" w:val="left"/>
        </w:tabs>
        <w:numPr>
          <w:ilvl w:val="0"/>
          <w:numId w:val="81"/>
        </w:numPr>
        <w:rPr>
          <w:rFonts w:ascii="Arial" w:cs="Arial" w:eastAsia="Arial" w:hAnsi="Arial"/>
          <w:sz w:val="20"/>
          <w:szCs w:val="20"/>
          <w:color w:val="auto"/>
        </w:rPr>
      </w:pPr>
      <w:r>
        <w:rPr>
          <w:rFonts w:ascii="Arial" w:cs="Arial" w:eastAsia="Arial" w:hAnsi="Arial"/>
          <w:sz w:val="20"/>
          <w:szCs w:val="20"/>
          <w:b w:val="1"/>
          <w:bCs w:val="1"/>
          <w:u w:val="single" w:color="auto"/>
          <w:color w:val="auto"/>
        </w:rPr>
        <w:t>Code</w:t>
      </w:r>
      <w:r>
        <w:rPr>
          <w:rFonts w:ascii="Arial" w:cs="Arial" w:eastAsia="Arial" w:hAnsi="Arial"/>
          <w:sz w:val="20"/>
          <w:szCs w:val="20"/>
          <w:color w:val="auto"/>
        </w:rPr>
        <w:t>. “Code” means the Internal Revenue Code of 1986, as amended.</w:t>
      </w:r>
    </w:p>
    <w:p>
      <w:pPr>
        <w:spacing w:after="0" w:line="202" w:lineRule="exact"/>
        <w:rPr>
          <w:rFonts w:ascii="Arial" w:cs="Arial" w:eastAsia="Arial" w:hAnsi="Arial"/>
          <w:sz w:val="20"/>
          <w:szCs w:val="20"/>
          <w:color w:val="auto"/>
        </w:rPr>
      </w:pPr>
    </w:p>
    <w:p>
      <w:pPr>
        <w:jc w:val="both"/>
        <w:ind w:left="320" w:hanging="320"/>
        <w:spacing w:after="0" w:line="283" w:lineRule="auto"/>
        <w:tabs>
          <w:tab w:leader="none" w:pos="309" w:val="left"/>
        </w:tabs>
        <w:numPr>
          <w:ilvl w:val="0"/>
          <w:numId w:val="81"/>
        </w:numPr>
        <w:rPr>
          <w:rFonts w:ascii="Arial" w:cs="Arial" w:eastAsia="Arial" w:hAnsi="Arial"/>
          <w:sz w:val="20"/>
          <w:szCs w:val="20"/>
          <w:color w:val="auto"/>
        </w:rPr>
      </w:pPr>
      <w:r>
        <w:rPr>
          <w:rFonts w:ascii="Arial" w:cs="Arial" w:eastAsia="Arial" w:hAnsi="Arial"/>
          <w:sz w:val="20"/>
          <w:szCs w:val="20"/>
          <w:b w:val="1"/>
          <w:bCs w:val="1"/>
          <w:u w:val="single" w:color="auto"/>
          <w:color w:val="auto"/>
        </w:rPr>
        <w:t>Disability</w:t>
      </w:r>
      <w:r>
        <w:rPr>
          <w:rFonts w:ascii="Arial" w:cs="Arial" w:eastAsia="Arial" w:hAnsi="Arial"/>
          <w:sz w:val="20"/>
          <w:szCs w:val="20"/>
          <w:color w:val="auto"/>
        </w:rPr>
        <w:t>. “Disability” or “Disabled” means that Executive is unable to engage in any substantial gainful activity</w:t>
      </w:r>
      <w:r>
        <w:rPr>
          <w:rFonts w:ascii="Arial" w:cs="Arial" w:eastAsia="Arial" w:hAnsi="Arial"/>
          <w:sz w:val="20"/>
          <w:szCs w:val="20"/>
          <w:b w:val="1"/>
          <w:bCs w:val="1"/>
          <w:color w:val="auto"/>
        </w:rPr>
        <w:t xml:space="preserve"> </w:t>
      </w:r>
      <w:r>
        <w:rPr>
          <w:rFonts w:ascii="Arial" w:cs="Arial" w:eastAsia="Arial" w:hAnsi="Arial"/>
          <w:sz w:val="20"/>
          <w:szCs w:val="20"/>
          <w:color w:val="auto"/>
        </w:rPr>
        <w:t>by reason of any medically determinable physical or mental impairment which can be expected to result in death or which has lasted, or can be expected to last, for a continuous period of not less than one (1) year.</w:t>
      </w:r>
    </w:p>
    <w:p>
      <w:pPr>
        <w:spacing w:after="0" w:line="144" w:lineRule="exact"/>
        <w:rPr>
          <w:rFonts w:ascii="Arial" w:cs="Arial" w:eastAsia="Arial" w:hAnsi="Arial"/>
          <w:sz w:val="20"/>
          <w:szCs w:val="20"/>
          <w:color w:val="auto"/>
        </w:rPr>
      </w:pPr>
    </w:p>
    <w:p>
      <w:pPr>
        <w:jc w:val="both"/>
        <w:ind w:left="320" w:hanging="320"/>
        <w:spacing w:after="0" w:line="283" w:lineRule="auto"/>
        <w:tabs>
          <w:tab w:leader="none" w:pos="309" w:val="left"/>
        </w:tabs>
        <w:numPr>
          <w:ilvl w:val="0"/>
          <w:numId w:val="81"/>
        </w:numPr>
        <w:rPr>
          <w:rFonts w:ascii="Arial" w:cs="Arial" w:eastAsia="Arial" w:hAnsi="Arial"/>
          <w:sz w:val="20"/>
          <w:szCs w:val="20"/>
          <w:color w:val="auto"/>
        </w:rPr>
      </w:pPr>
      <w:r>
        <w:rPr>
          <w:rFonts w:ascii="Arial" w:cs="Arial" w:eastAsia="Arial" w:hAnsi="Arial"/>
          <w:sz w:val="20"/>
          <w:szCs w:val="20"/>
          <w:b w:val="1"/>
          <w:bCs w:val="1"/>
          <w:u w:val="single" w:color="auto"/>
          <w:color w:val="auto"/>
        </w:rPr>
        <w:t>Good Reason</w:t>
      </w:r>
      <w:r>
        <w:rPr>
          <w:rFonts w:ascii="Arial" w:cs="Arial" w:eastAsia="Arial" w:hAnsi="Arial"/>
          <w:sz w:val="20"/>
          <w:szCs w:val="20"/>
          <w:color w:val="auto"/>
        </w:rPr>
        <w:t>. “Good Reason” means Executive’s resignation or termination of employment within thirty (30)</w:t>
      </w:r>
      <w:r>
        <w:rPr>
          <w:rFonts w:ascii="Arial" w:cs="Arial" w:eastAsia="Arial" w:hAnsi="Arial"/>
          <w:sz w:val="20"/>
          <w:szCs w:val="20"/>
          <w:b w:val="1"/>
          <w:bCs w:val="1"/>
          <w:color w:val="auto"/>
        </w:rPr>
        <w:t xml:space="preserve"> </w:t>
      </w:r>
      <w:r>
        <w:rPr>
          <w:rFonts w:ascii="Arial" w:cs="Arial" w:eastAsia="Arial" w:hAnsi="Arial"/>
          <w:sz w:val="20"/>
          <w:szCs w:val="20"/>
          <w:color w:val="auto"/>
        </w:rPr>
        <w:t>days following the expiration of any cure period (discussed below) following the occurrence of one or more of the following without Executive’s consent:</w:t>
      </w:r>
    </w:p>
    <w:p>
      <w:pPr>
        <w:spacing w:after="0" w:line="155" w:lineRule="exact"/>
        <w:rPr>
          <w:rFonts w:ascii="Arial" w:cs="Arial" w:eastAsia="Arial" w:hAnsi="Arial"/>
          <w:sz w:val="20"/>
          <w:szCs w:val="20"/>
          <w:color w:val="auto"/>
        </w:rPr>
      </w:pPr>
    </w:p>
    <w:p>
      <w:pPr>
        <w:jc w:val="both"/>
        <w:ind w:left="980" w:hanging="332"/>
        <w:spacing w:after="0" w:line="269" w:lineRule="auto"/>
        <w:tabs>
          <w:tab w:leader="none" w:pos="979" w:val="left"/>
        </w:tabs>
        <w:numPr>
          <w:ilvl w:val="1"/>
          <w:numId w:val="81"/>
        </w:numPr>
        <w:rPr>
          <w:rFonts w:ascii="Arial" w:cs="Arial" w:eastAsia="Arial" w:hAnsi="Arial"/>
          <w:sz w:val="20"/>
          <w:szCs w:val="20"/>
          <w:color w:val="auto"/>
        </w:rPr>
      </w:pPr>
      <w:r>
        <w:rPr>
          <w:rFonts w:ascii="Arial" w:cs="Arial" w:eastAsia="Arial" w:hAnsi="Arial"/>
          <w:sz w:val="20"/>
          <w:szCs w:val="20"/>
          <w:color w:val="auto"/>
        </w:rPr>
        <w:t>A material reduction of Executive’s duties, authority or responsibilities, relative to Executive’s duties, authority or responsibilities in effect immediately prior to such reduction; provided, however, that a reduction in duties, authority or responsibilities solely by virtue of the Company being acquired and made part of a larger entity (as, for example, when the General Manager, Direct Contracting of the Company remains as such following a Change in Control but is not made the General Manager, Direct Contracting of the acquiring corporation) will not constitute Good Reason;</w:t>
      </w:r>
    </w:p>
    <w:p>
      <w:pPr>
        <w:spacing w:after="0" w:line="167" w:lineRule="exact"/>
        <w:rPr>
          <w:rFonts w:ascii="Arial" w:cs="Arial" w:eastAsia="Arial" w:hAnsi="Arial"/>
          <w:sz w:val="20"/>
          <w:szCs w:val="20"/>
          <w:color w:val="auto"/>
        </w:rPr>
      </w:pPr>
    </w:p>
    <w:p>
      <w:pPr>
        <w:jc w:val="both"/>
        <w:ind w:left="980" w:hanging="332"/>
        <w:spacing w:after="0" w:line="271" w:lineRule="auto"/>
        <w:tabs>
          <w:tab w:leader="none" w:pos="969" w:val="left"/>
        </w:tabs>
        <w:numPr>
          <w:ilvl w:val="1"/>
          <w:numId w:val="81"/>
        </w:numPr>
        <w:rPr>
          <w:rFonts w:ascii="Arial" w:cs="Arial" w:eastAsia="Arial" w:hAnsi="Arial"/>
          <w:sz w:val="20"/>
          <w:szCs w:val="20"/>
          <w:color w:val="auto"/>
        </w:rPr>
      </w:pPr>
      <w:r>
        <w:rPr>
          <w:rFonts w:ascii="Arial" w:cs="Arial" w:eastAsia="Arial" w:hAnsi="Arial"/>
          <w:sz w:val="20"/>
          <w:szCs w:val="20"/>
          <w:color w:val="auto"/>
        </w:rPr>
        <w:t>A material reduction in Executive’s Base Salary (except where there is a reduction applicable to all similarly situated executive officers generally); provided, that a reduction of less than ten percent (10%) will not be considered a material reduction in Base Salary;</w:t>
      </w:r>
    </w:p>
    <w:p>
      <w:pPr>
        <w:spacing w:after="0" w:line="179" w:lineRule="exact"/>
        <w:rPr>
          <w:rFonts w:ascii="Arial" w:cs="Arial" w:eastAsia="Arial" w:hAnsi="Arial"/>
          <w:sz w:val="20"/>
          <w:szCs w:val="20"/>
          <w:color w:val="auto"/>
        </w:rPr>
      </w:pPr>
    </w:p>
    <w:p>
      <w:pPr>
        <w:jc w:val="both"/>
        <w:ind w:left="980" w:hanging="332"/>
        <w:spacing w:after="0" w:line="271" w:lineRule="auto"/>
        <w:tabs>
          <w:tab w:leader="none" w:pos="975" w:val="left"/>
        </w:tabs>
        <w:numPr>
          <w:ilvl w:val="1"/>
          <w:numId w:val="81"/>
        </w:numPr>
        <w:rPr>
          <w:rFonts w:ascii="Arial" w:cs="Arial" w:eastAsia="Arial" w:hAnsi="Arial"/>
          <w:sz w:val="20"/>
          <w:szCs w:val="20"/>
          <w:color w:val="auto"/>
        </w:rPr>
      </w:pPr>
      <w:r>
        <w:rPr>
          <w:rFonts w:ascii="Arial" w:cs="Arial" w:eastAsia="Arial" w:hAnsi="Arial"/>
          <w:sz w:val="20"/>
          <w:szCs w:val="20"/>
          <w:color w:val="auto"/>
        </w:rPr>
        <w:t>A material change in the geographic location of Executive’s primary work facility or location; provided, that a relocation of less than fifty (50) miles from Executive’s then-present work location will not be considered a material change in geographic location; or</w:t>
      </w:r>
    </w:p>
    <w:p>
      <w:pPr>
        <w:spacing w:after="0" w:line="165" w:lineRule="exact"/>
        <w:rPr>
          <w:rFonts w:ascii="Arial" w:cs="Arial" w:eastAsia="Arial" w:hAnsi="Arial"/>
          <w:sz w:val="20"/>
          <w:szCs w:val="20"/>
          <w:color w:val="auto"/>
        </w:rPr>
      </w:pPr>
    </w:p>
    <w:p>
      <w:pPr>
        <w:ind w:left="960" w:hanging="312"/>
        <w:spacing w:after="0"/>
        <w:tabs>
          <w:tab w:leader="none" w:pos="960" w:val="left"/>
        </w:tabs>
        <w:numPr>
          <w:ilvl w:val="1"/>
          <w:numId w:val="81"/>
        </w:numPr>
        <w:rPr>
          <w:rFonts w:ascii="Arial" w:cs="Arial" w:eastAsia="Arial" w:hAnsi="Arial"/>
          <w:sz w:val="20"/>
          <w:szCs w:val="20"/>
          <w:color w:val="auto"/>
        </w:rPr>
      </w:pPr>
      <w:r>
        <w:rPr>
          <w:rFonts w:ascii="Arial" w:cs="Arial" w:eastAsia="Arial" w:hAnsi="Arial"/>
          <w:sz w:val="20"/>
          <w:szCs w:val="20"/>
          <w:color w:val="auto"/>
        </w:rPr>
        <w:t>A material breach by the Company of a material provision of this Agreement.</w:t>
      </w:r>
    </w:p>
    <w:p>
      <w:pPr>
        <w:spacing w:after="0" w:line="243" w:lineRule="exact"/>
        <w:rPr>
          <w:sz w:val="20"/>
          <w:szCs w:val="20"/>
          <w:color w:val="auto"/>
        </w:rPr>
      </w:pPr>
    </w:p>
    <w:p>
      <w:pPr>
        <w:jc w:val="both"/>
        <w:ind w:left="320"/>
        <w:spacing w:after="0" w:line="271" w:lineRule="auto"/>
        <w:rPr>
          <w:sz w:val="20"/>
          <w:szCs w:val="20"/>
          <w:color w:val="auto"/>
        </w:rPr>
      </w:pPr>
      <w:r>
        <w:rPr>
          <w:rFonts w:ascii="Arial" w:cs="Arial" w:eastAsia="Arial" w:hAnsi="Arial"/>
          <w:sz w:val="20"/>
          <w:szCs w:val="20"/>
          <w:color w:val="auto"/>
        </w:rPr>
        <w:t>Executive will not resign for Good Reason without first providing the Company with written notice of the acts or omissions constituting the grounds for Good Reason within thirty (30) days of the initial existence of the grounds for Good Reason and a reasonable cure period of not less than thirty (30) days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260"/>
          </w:cols>
          <w:pgMar w:left="1300" w:top="1440" w:right="339" w:bottom="1440" w:gutter="0" w:footer="0" w:header="0"/>
        </w:sectPr>
      </w:pPr>
    </w:p>
    <w:bookmarkStart w:id="96" w:name="page97"/>
    <w:bookmarkEnd w:id="96"/>
    <w:p>
      <w:pPr>
        <w:spacing w:after="0" w:line="181" w:lineRule="exact"/>
        <w:rPr>
          <w:sz w:val="20"/>
          <w:szCs w:val="20"/>
          <w:color w:val="auto"/>
        </w:rPr>
      </w:pPr>
    </w:p>
    <w:p>
      <w:pPr>
        <w:ind w:left="968"/>
        <w:spacing w:after="0"/>
        <w:rPr>
          <w:sz w:val="20"/>
          <w:szCs w:val="20"/>
          <w:color w:val="auto"/>
        </w:rPr>
      </w:pPr>
      <w:r>
        <w:rPr>
          <w:rFonts w:ascii="Arial" w:cs="Arial" w:eastAsia="Arial" w:hAnsi="Arial"/>
          <w:sz w:val="20"/>
          <w:szCs w:val="20"/>
          <w:color w:val="auto"/>
        </w:rPr>
        <w:t>the date the Company receives such notice during which such condition must not have been cured.</w:t>
      </w:r>
    </w:p>
    <w:p>
      <w:pPr>
        <w:spacing w:after="0" w:line="219" w:lineRule="exact"/>
        <w:rPr>
          <w:sz w:val="20"/>
          <w:szCs w:val="20"/>
          <w:color w:val="auto"/>
        </w:rPr>
      </w:pPr>
    </w:p>
    <w:p>
      <w:pPr>
        <w:jc w:val="both"/>
        <w:ind w:left="968" w:hanging="323"/>
        <w:spacing w:after="0" w:line="283"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u w:val="single" w:color="auto"/>
          <w:color w:val="auto"/>
        </w:rPr>
        <w:t>Governmental Authority</w:t>
      </w:r>
      <w:r>
        <w:rPr>
          <w:rFonts w:ascii="Arial" w:cs="Arial" w:eastAsia="Arial" w:hAnsi="Arial"/>
          <w:sz w:val="20"/>
          <w:szCs w:val="20"/>
          <w:color w:val="auto"/>
        </w:rPr>
        <w:t>. “Governmental Authority” means any federal, state, municipal, foreign or other government, governmental department, commission, board, bureau, agency or instrumentality, or any private or public court or tribunal.</w:t>
      </w:r>
    </w:p>
    <w:p>
      <w:pPr>
        <w:spacing w:after="0" w:line="172" w:lineRule="exact"/>
        <w:rPr>
          <w:sz w:val="20"/>
          <w:szCs w:val="20"/>
          <w:color w:val="auto"/>
        </w:rPr>
      </w:pPr>
    </w:p>
    <w:p>
      <w:pPr>
        <w:jc w:val="both"/>
        <w:ind w:left="968" w:right="20" w:hanging="320"/>
        <w:spacing w:after="0" w:line="283" w:lineRule="auto"/>
        <w:tabs>
          <w:tab w:leader="none" w:pos="957" w:val="left"/>
        </w:tabs>
        <w:numPr>
          <w:ilvl w:val="1"/>
          <w:numId w:val="82"/>
        </w:numPr>
        <w:rPr>
          <w:rFonts w:ascii="Arial" w:cs="Arial" w:eastAsia="Arial" w:hAnsi="Arial"/>
          <w:sz w:val="20"/>
          <w:szCs w:val="20"/>
          <w:color w:val="auto"/>
        </w:rPr>
      </w:pPr>
      <w:r>
        <w:rPr>
          <w:rFonts w:ascii="Arial" w:cs="Arial" w:eastAsia="Arial" w:hAnsi="Arial"/>
          <w:sz w:val="20"/>
          <w:szCs w:val="20"/>
          <w:b w:val="1"/>
          <w:bCs w:val="1"/>
          <w:u w:val="single" w:color="auto"/>
          <w:color w:val="auto"/>
        </w:rPr>
        <w:t>Person</w:t>
      </w:r>
      <w:r>
        <w:rPr>
          <w:rFonts w:ascii="Arial" w:cs="Arial" w:eastAsia="Arial" w:hAnsi="Arial"/>
          <w:sz w:val="20"/>
          <w:szCs w:val="20"/>
          <w:color w:val="auto"/>
        </w:rPr>
        <w:t>. “Person” shall be construed in the broadest sense and means and includes any natural person, a</w:t>
      </w:r>
      <w:r>
        <w:rPr>
          <w:rFonts w:ascii="Arial" w:cs="Arial" w:eastAsia="Arial" w:hAnsi="Arial"/>
          <w:sz w:val="20"/>
          <w:szCs w:val="20"/>
          <w:b w:val="1"/>
          <w:bCs w:val="1"/>
          <w:color w:val="auto"/>
        </w:rPr>
        <w:t xml:space="preserve"> </w:t>
      </w:r>
      <w:r>
        <w:rPr>
          <w:rFonts w:ascii="Arial" w:cs="Arial" w:eastAsia="Arial" w:hAnsi="Arial"/>
          <w:sz w:val="20"/>
          <w:szCs w:val="20"/>
          <w:color w:val="auto"/>
        </w:rPr>
        <w:t>partnership, a corporation, an association, a joint stock company, a limited liability company, a trust, a joint venture, an unincorporated organization and other entity or Governmental Authority.</w:t>
      </w:r>
    </w:p>
    <w:p>
      <w:pPr>
        <w:spacing w:after="0" w:line="144" w:lineRule="exact"/>
        <w:rPr>
          <w:rFonts w:ascii="Arial" w:cs="Arial" w:eastAsia="Arial" w:hAnsi="Arial"/>
          <w:sz w:val="20"/>
          <w:szCs w:val="20"/>
          <w:color w:val="auto"/>
        </w:rPr>
      </w:pPr>
    </w:p>
    <w:p>
      <w:pPr>
        <w:ind w:left="968" w:right="20" w:hanging="320"/>
        <w:spacing w:after="0" w:line="300" w:lineRule="auto"/>
        <w:tabs>
          <w:tab w:leader="none" w:pos="960" w:val="left"/>
        </w:tabs>
        <w:numPr>
          <w:ilvl w:val="1"/>
          <w:numId w:val="82"/>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 “Section 409A” means Section 409A of the Code, and the final regulations and any guidance</w:t>
      </w:r>
      <w:r>
        <w:rPr>
          <w:rFonts w:ascii="Arial" w:cs="Arial" w:eastAsia="Arial" w:hAnsi="Arial"/>
          <w:sz w:val="20"/>
          <w:szCs w:val="20"/>
          <w:b w:val="1"/>
          <w:bCs w:val="1"/>
          <w:color w:val="auto"/>
        </w:rPr>
        <w:t xml:space="preserve"> </w:t>
      </w:r>
      <w:r>
        <w:rPr>
          <w:rFonts w:ascii="Arial" w:cs="Arial" w:eastAsia="Arial" w:hAnsi="Arial"/>
          <w:sz w:val="20"/>
          <w:szCs w:val="20"/>
          <w:color w:val="auto"/>
        </w:rPr>
        <w:t>promulgated thereunder or any state law equivalent.</w:t>
      </w:r>
    </w:p>
    <w:p>
      <w:pPr>
        <w:spacing w:after="0" w:line="113" w:lineRule="exact"/>
        <w:rPr>
          <w:rFonts w:ascii="Arial" w:cs="Arial" w:eastAsia="Arial" w:hAnsi="Arial"/>
          <w:sz w:val="20"/>
          <w:szCs w:val="20"/>
          <w:color w:val="auto"/>
        </w:rPr>
      </w:pPr>
    </w:p>
    <w:p>
      <w:pPr>
        <w:jc w:val="both"/>
        <w:ind w:left="968" w:hanging="320"/>
        <w:spacing w:after="0" w:line="274" w:lineRule="auto"/>
        <w:tabs>
          <w:tab w:leader="none" w:pos="957" w:val="left"/>
        </w:tabs>
        <w:numPr>
          <w:ilvl w:val="1"/>
          <w:numId w:val="82"/>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 Limit</w:t>
      </w:r>
      <w:r>
        <w:rPr>
          <w:rFonts w:ascii="Arial" w:cs="Arial" w:eastAsia="Arial" w:hAnsi="Arial"/>
          <w:sz w:val="20"/>
          <w:szCs w:val="20"/>
          <w:color w:val="auto"/>
        </w:rPr>
        <w:t>. “Section 409A Limit” shall mean two (2) times the lesser of: (i) Executive’s annualized</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based upon 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separation from service occurred.</w:t>
      </w:r>
    </w:p>
    <w:p>
      <w:pPr>
        <w:spacing w:after="0" w:line="139" w:lineRule="exact"/>
        <w:rPr>
          <w:rFonts w:ascii="Arial" w:cs="Arial" w:eastAsia="Arial" w:hAnsi="Arial"/>
          <w:sz w:val="20"/>
          <w:szCs w:val="20"/>
          <w:color w:val="auto"/>
        </w:rPr>
      </w:pPr>
    </w:p>
    <w:p>
      <w:pPr>
        <w:ind w:left="308" w:hanging="308"/>
        <w:spacing w:after="0"/>
        <w:tabs>
          <w:tab w:leader="none" w:pos="308" w:val="left"/>
        </w:tabs>
        <w:numPr>
          <w:ilvl w:val="0"/>
          <w:numId w:val="83"/>
        </w:numPr>
        <w:rPr>
          <w:rFonts w:ascii="Arial" w:cs="Arial" w:eastAsia="Arial" w:hAnsi="Arial"/>
          <w:sz w:val="20"/>
          <w:szCs w:val="20"/>
          <w:color w:val="auto"/>
        </w:rPr>
      </w:pPr>
      <w:r>
        <w:rPr>
          <w:rFonts w:ascii="Arial" w:cs="Arial" w:eastAsia="Arial" w:hAnsi="Arial"/>
          <w:sz w:val="20"/>
          <w:szCs w:val="20"/>
          <w:b w:val="1"/>
          <w:bCs w:val="1"/>
          <w:u w:val="single" w:color="auto"/>
          <w:color w:val="auto"/>
        </w:rPr>
        <w:t>Golden Parachute</w:t>
      </w:r>
      <w:r>
        <w:rPr>
          <w:rFonts w:ascii="Arial" w:cs="Arial" w:eastAsia="Arial" w:hAnsi="Arial"/>
          <w:sz w:val="20"/>
          <w:szCs w:val="20"/>
          <w:color w:val="auto"/>
        </w:rPr>
        <w:t>.</w:t>
      </w:r>
    </w:p>
    <w:p>
      <w:pPr>
        <w:spacing w:after="0" w:line="239" w:lineRule="exact"/>
        <w:rPr>
          <w:rFonts w:ascii="Arial" w:cs="Arial" w:eastAsia="Arial" w:hAnsi="Arial"/>
          <w:sz w:val="20"/>
          <w:szCs w:val="20"/>
          <w:color w:val="auto"/>
        </w:rPr>
      </w:pPr>
    </w:p>
    <w:p>
      <w:pPr>
        <w:jc w:val="both"/>
        <w:ind w:left="968" w:hanging="320"/>
        <w:spacing w:after="0" w:line="267" w:lineRule="auto"/>
        <w:tabs>
          <w:tab w:leader="none" w:pos="956" w:val="left"/>
        </w:tabs>
        <w:numPr>
          <w:ilvl w:val="1"/>
          <w:numId w:val="83"/>
        </w:numPr>
        <w:rPr>
          <w:rFonts w:ascii="Arial" w:cs="Arial" w:eastAsia="Arial" w:hAnsi="Arial"/>
          <w:sz w:val="20"/>
          <w:szCs w:val="20"/>
          <w:color w:val="auto"/>
        </w:rPr>
      </w:pPr>
      <w:r>
        <w:rPr>
          <w:rFonts w:ascii="Arial" w:cs="Arial" w:eastAsia="Arial" w:hAnsi="Arial"/>
          <w:sz w:val="20"/>
          <w:szCs w:val="20"/>
          <w:color w:val="auto"/>
        </w:rPr>
        <w:t>Anything in this Agreement to the contrary notwithstanding, if any payment or benefit Executive would receive from the Company or otherwise (“</w:t>
      </w:r>
      <w:r>
        <w:rPr>
          <w:rFonts w:ascii="Arial" w:cs="Arial" w:eastAsia="Arial" w:hAnsi="Arial"/>
          <w:sz w:val="20"/>
          <w:szCs w:val="20"/>
          <w:b w:val="1"/>
          <w:bCs w:val="1"/>
          <w:i w:val="1"/>
          <w:iCs w:val="1"/>
          <w:color w:val="auto"/>
        </w:rPr>
        <w:t>Payment</w:t>
      </w:r>
      <w:r>
        <w:rPr>
          <w:rFonts w:ascii="Arial" w:cs="Arial" w:eastAsia="Arial" w:hAnsi="Arial"/>
          <w:sz w:val="20"/>
          <w:szCs w:val="20"/>
          <w:color w:val="auto"/>
        </w:rPr>
        <w:t>”) would (i) constitute a “parachute payment” within the meaning of</w:t>
      </w:r>
    </w:p>
    <w:p>
      <w:pPr>
        <w:spacing w:after="0" w:line="1" w:lineRule="exact"/>
        <w:rPr>
          <w:rFonts w:ascii="Arial" w:cs="Arial" w:eastAsia="Arial" w:hAnsi="Arial"/>
          <w:sz w:val="20"/>
          <w:szCs w:val="20"/>
          <w:color w:val="auto"/>
        </w:rPr>
      </w:pPr>
    </w:p>
    <w:p>
      <w:pPr>
        <w:jc w:val="both"/>
        <w:ind w:left="968"/>
        <w:spacing w:after="0" w:line="281" w:lineRule="auto"/>
        <w:rPr>
          <w:rFonts w:ascii="Arial" w:cs="Arial" w:eastAsia="Arial" w:hAnsi="Arial"/>
          <w:sz w:val="20"/>
          <w:szCs w:val="20"/>
          <w:color w:val="auto"/>
        </w:rPr>
      </w:pPr>
      <w:r>
        <w:rPr>
          <w:rFonts w:ascii="Arial" w:cs="Arial" w:eastAsia="Arial" w:hAnsi="Arial"/>
          <w:sz w:val="19"/>
          <w:szCs w:val="19"/>
          <w:color w:val="auto"/>
        </w:rPr>
        <w:t>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such Payment shall be equal to the Reduced Amount. The “</w:t>
      </w:r>
      <w:r>
        <w:rPr>
          <w:rFonts w:ascii="Arial" w:cs="Arial" w:eastAsia="Arial" w:hAnsi="Arial"/>
          <w:sz w:val="19"/>
          <w:szCs w:val="19"/>
          <w:b w:val="1"/>
          <w:bCs w:val="1"/>
          <w:i w:val="1"/>
          <w:iCs w:val="1"/>
          <w:color w:val="auto"/>
        </w:rPr>
        <w:t>Reduced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Amount</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be either (x) the largest portion of the Payment that would result in no portion of the Payment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9(a) shall be made in</w:t>
      </w:r>
    </w:p>
    <w:p>
      <w:pPr>
        <w:spacing w:after="0" w:line="4" w:lineRule="exact"/>
        <w:rPr>
          <w:rFonts w:ascii="Arial" w:cs="Arial" w:eastAsia="Arial" w:hAnsi="Arial"/>
          <w:sz w:val="20"/>
          <w:szCs w:val="20"/>
          <w:color w:val="auto"/>
        </w:rPr>
      </w:pPr>
    </w:p>
    <w:p>
      <w:pPr>
        <w:jc w:val="both"/>
        <w:ind w:left="968"/>
        <w:spacing w:after="0" w:line="269" w:lineRule="auto"/>
        <w:rPr>
          <w:rFonts w:ascii="Arial" w:cs="Arial" w:eastAsia="Arial" w:hAnsi="Arial"/>
          <w:sz w:val="20"/>
          <w:szCs w:val="20"/>
          <w:color w:val="auto"/>
        </w:rPr>
      </w:pPr>
      <w:r>
        <w:rPr>
          <w:rFonts w:ascii="Arial" w:cs="Arial" w:eastAsia="Arial" w:hAnsi="Arial"/>
          <w:sz w:val="20"/>
          <w:szCs w:val="20"/>
          <w:color w:val="auto"/>
        </w:rPr>
        <w:t>accordance with the following order of priority: (i) stock options whose exercise price exceeds the fair market value of the optioned stock (“</w:t>
      </w:r>
      <w:r>
        <w:rPr>
          <w:rFonts w:ascii="Arial" w:cs="Arial" w:eastAsia="Arial" w:hAnsi="Arial"/>
          <w:sz w:val="20"/>
          <w:szCs w:val="20"/>
          <w:b w:val="1"/>
          <w:bCs w:val="1"/>
          <w:i w:val="1"/>
          <w:iCs w:val="1"/>
          <w:color w:val="auto"/>
        </w:rPr>
        <w:t>Underwater Options</w:t>
      </w:r>
      <w:r>
        <w:rPr>
          <w:rFonts w:ascii="Arial" w:cs="Arial" w:eastAsia="Arial" w:hAnsi="Arial"/>
          <w:sz w:val="20"/>
          <w:szCs w:val="20"/>
          <w:color w:val="auto"/>
        </w:rPr>
        <w:t>”) (ii) Full Credit Payments (as defined below) that are payable in cash, (iii) non-cash Full Credit Payments that are taxable, (iv) non-cash Full Credit Payments that are not taxable (v) Partial Credit Payments (as defined below) and (vi) non-cash employee welfare benefits. In each case, reductions shall be made in reverse chronological order such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908"/>
          </w:cols>
          <w:pgMar w:left="652" w:top="1440" w:right="339" w:bottom="1440" w:gutter="0" w:footer="0" w:header="0"/>
        </w:sectPr>
      </w:pPr>
    </w:p>
    <w:bookmarkStart w:id="97" w:name="page98"/>
    <w:bookmarkEnd w:id="97"/>
    <w:p>
      <w:pPr>
        <w:spacing w:after="0" w:line="181" w:lineRule="exact"/>
        <w:rPr>
          <w:sz w:val="20"/>
          <w:szCs w:val="20"/>
          <w:color w:val="auto"/>
        </w:rPr>
      </w:pPr>
    </w:p>
    <w:p>
      <w:pPr>
        <w:jc w:val="both"/>
        <w:ind w:left="968"/>
        <w:spacing w:after="0" w:line="268" w:lineRule="auto"/>
        <w:rPr>
          <w:sz w:val="20"/>
          <w:szCs w:val="20"/>
          <w:color w:val="auto"/>
        </w:rPr>
      </w:pPr>
      <w:r>
        <w:rPr>
          <w:rFonts w:ascii="Arial" w:cs="Arial" w:eastAsia="Arial" w:hAnsi="Arial"/>
          <w:sz w:val="20"/>
          <w:szCs w:val="20"/>
          <w:color w:val="auto"/>
        </w:rPr>
        <w:t>payment or benefit owed on the latest date following the occurrence of the event triggering the excise tax will be the first payment or benefit to be reduced (with reductions made pro-rata in the event payments or benefits are owed at the same time). “</w:t>
      </w:r>
      <w:r>
        <w:rPr>
          <w:rFonts w:ascii="Arial" w:cs="Arial" w:eastAsia="Arial" w:hAnsi="Arial"/>
          <w:sz w:val="20"/>
          <w:szCs w:val="20"/>
          <w:b w:val="1"/>
          <w:bCs w:val="1"/>
          <w:i w:val="1"/>
          <w:iCs w:val="1"/>
          <w:color w:val="auto"/>
        </w:rPr>
        <w:t>Full Credit Payment</w:t>
      </w:r>
      <w:r>
        <w:rPr>
          <w:rFonts w:ascii="Arial" w:cs="Arial" w:eastAsia="Arial" w:hAnsi="Arial"/>
          <w:sz w:val="20"/>
          <w:szCs w:val="20"/>
          <w:color w:val="auto"/>
        </w:rPr>
        <w:t>” 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Arial" w:cs="Arial" w:eastAsia="Arial" w:hAnsi="Arial"/>
          <w:sz w:val="20"/>
          <w:szCs w:val="20"/>
          <w:b w:val="1"/>
          <w:bCs w:val="1"/>
          <w:i w:val="1"/>
          <w:iCs w:val="1"/>
          <w:color w:val="auto"/>
        </w:rPr>
        <w:t>Partial Credit Payment</w:t>
      </w:r>
      <w:r>
        <w:rPr>
          <w:rFonts w:ascii="Arial" w:cs="Arial" w:eastAsia="Arial" w:hAnsi="Arial"/>
          <w:sz w:val="20"/>
          <w:szCs w:val="20"/>
          <w:color w:val="auto"/>
        </w:rPr>
        <w:t>” means any payment, distribution or benefit that is not a Full Credit Payment.</w:t>
      </w:r>
    </w:p>
    <w:p>
      <w:pPr>
        <w:spacing w:after="0" w:line="163" w:lineRule="exact"/>
        <w:rPr>
          <w:sz w:val="20"/>
          <w:szCs w:val="20"/>
          <w:color w:val="auto"/>
        </w:rPr>
      </w:pPr>
    </w:p>
    <w:p>
      <w:pPr>
        <w:jc w:val="both"/>
        <w:ind w:left="968" w:hanging="320"/>
        <w:spacing w:after="0" w:line="297" w:lineRule="auto"/>
        <w:tabs>
          <w:tab w:leader="none" w:pos="957" w:val="left"/>
        </w:tabs>
        <w:numPr>
          <w:ilvl w:val="1"/>
          <w:numId w:val="84"/>
        </w:numPr>
        <w:rPr>
          <w:rFonts w:ascii="Arial" w:cs="Arial" w:eastAsia="Arial" w:hAnsi="Arial"/>
          <w:sz w:val="19"/>
          <w:szCs w:val="19"/>
          <w:color w:val="auto"/>
        </w:rPr>
      </w:pPr>
      <w:r>
        <w:rPr>
          <w:rFonts w:ascii="Arial" w:cs="Arial" w:eastAsia="Arial" w:hAnsi="Arial"/>
          <w:sz w:val="19"/>
          <w:szCs w:val="19"/>
          <w:color w:val="auto"/>
        </w:rPr>
        <w:t>A nationally recognized certified public accounting firm selected by the Company (the “</w:t>
      </w:r>
      <w:r>
        <w:rPr>
          <w:rFonts w:ascii="Arial" w:cs="Arial" w:eastAsia="Arial" w:hAnsi="Arial"/>
          <w:sz w:val="19"/>
          <w:szCs w:val="19"/>
          <w:b w:val="1"/>
          <w:bCs w:val="1"/>
          <w:i w:val="1"/>
          <w:iCs w:val="1"/>
          <w:color w:val="auto"/>
        </w:rPr>
        <w:t>Accounting Firm</w:t>
      </w:r>
      <w:r>
        <w:rPr>
          <w:rFonts w:ascii="Arial" w:cs="Arial" w:eastAsia="Arial" w:hAnsi="Arial"/>
          <w:sz w:val="19"/>
          <w:szCs w:val="19"/>
          <w:color w:val="auto"/>
        </w:rPr>
        <w:t>”) shall perform the foregoing calculations related to the Excise Tax. If a reduction is required pursuant to Section 9(a), the Accounting Firm shall administer the ordering of the reduction as set forth in Section 9(a). The Company shall bear all expenses with respect to the determinations by such accounting firm required to be made hereunder.</w:t>
      </w:r>
    </w:p>
    <w:p>
      <w:pPr>
        <w:spacing w:after="0" w:line="143" w:lineRule="exact"/>
        <w:rPr>
          <w:rFonts w:ascii="Arial" w:cs="Arial" w:eastAsia="Arial" w:hAnsi="Arial"/>
          <w:sz w:val="19"/>
          <w:szCs w:val="19"/>
          <w:color w:val="auto"/>
        </w:rPr>
      </w:pPr>
    </w:p>
    <w:p>
      <w:pPr>
        <w:jc w:val="both"/>
        <w:ind w:left="968" w:hanging="320"/>
        <w:spacing w:after="0" w:line="270" w:lineRule="auto"/>
        <w:tabs>
          <w:tab w:leader="none" w:pos="957"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Accounting Firm engaged to make the determinations hereunder shall provide its calculations, together with detailed supporting documentation, to Executive and the Company within fifteen (15) calendar days after the date on which Executive’s right to a Payment is triggered. Any good faith determinations of the Accounting Firm made hereunder shall be final, binding, and conclusive upon Executive and the Company.</w:t>
      </w:r>
    </w:p>
    <w:p>
      <w:pPr>
        <w:spacing w:after="0" w:line="142" w:lineRule="exact"/>
        <w:rPr>
          <w:rFonts w:ascii="Arial" w:cs="Arial" w:eastAsia="Arial" w:hAnsi="Arial"/>
          <w:sz w:val="20"/>
          <w:szCs w:val="20"/>
          <w:color w:val="auto"/>
        </w:rPr>
      </w:pPr>
    </w:p>
    <w:p>
      <w:pPr>
        <w:jc w:val="both"/>
        <w:ind w:left="328" w:hanging="328"/>
        <w:spacing w:after="0" w:line="283" w:lineRule="auto"/>
        <w:tabs>
          <w:tab w:leader="none" w:pos="319" w:val="left"/>
        </w:tabs>
        <w:numPr>
          <w:ilvl w:val="0"/>
          <w:numId w:val="85"/>
        </w:numPr>
        <w:rPr>
          <w:rFonts w:ascii="Arial" w:cs="Arial" w:eastAsia="Arial" w:hAnsi="Arial"/>
          <w:sz w:val="19"/>
          <w:szCs w:val="19"/>
          <w:color w:val="auto"/>
        </w:rPr>
      </w:pPr>
      <w:r>
        <w:rPr>
          <w:rFonts w:ascii="Arial" w:cs="Arial" w:eastAsia="Arial" w:hAnsi="Arial"/>
          <w:sz w:val="19"/>
          <w:szCs w:val="19"/>
          <w:b w:val="1"/>
          <w:bCs w:val="1"/>
          <w:u w:val="single" w:color="auto"/>
          <w:color w:val="auto"/>
        </w:rPr>
        <w:t>Arbitration</w:t>
      </w:r>
      <w:r>
        <w:rPr>
          <w:rFonts w:ascii="Arial" w:cs="Arial" w:eastAsia="Arial" w:hAnsi="Arial"/>
          <w:sz w:val="19"/>
          <w:szCs w:val="19"/>
          <w:color w:val="auto"/>
        </w:rPr>
        <w:t>. To the fullest extent permitted by applicable law, Executive and the Company agree that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disputes, demands, claims, or controversies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relating to, arising from or regarding Executive’s employment, including claims by the Company, claims against the Company, and claims against any current or former parent, affiliate, subsidiary, successor or predecessor of the Company, and each of the Company’s and these entities’ respective officers, directors, agents or employees, shall be resolved by final and binding arbitration before a single arbitrator in the State of Iowa (or another mutually agreeable location). This does not prevent either Executive or the Company from seeking and obtaining temporary or preliminary injunctive relief in court to prevent irreparable harm to Executive’s or its confidential information or trade secrets pending the conclusion of any arbitration. This arbitration agreement does not apply to any claims that have been expressly excluded from arbitration by a governing law not preempted by the Federal Arbitration Act and does not restrict or preclude Executive from communicating with, filing an administrative charge or claim with, or providing testimony to any governmental entity about any actual or potential violation of law or obtaining relief through a government agency process. The parties hereto agree that claims shall be resolved on an individual basis only, and not</w:t>
      </w:r>
    </w:p>
    <w:p>
      <w:pPr>
        <w:spacing w:after="0" w:line="10" w:lineRule="exact"/>
        <w:rPr>
          <w:rFonts w:ascii="Arial" w:cs="Arial" w:eastAsia="Arial" w:hAnsi="Arial"/>
          <w:sz w:val="19"/>
          <w:szCs w:val="19"/>
          <w:color w:val="auto"/>
        </w:rPr>
      </w:pPr>
    </w:p>
    <w:p>
      <w:pPr>
        <w:ind w:left="328"/>
        <w:spacing w:after="0" w:line="275" w:lineRule="auto"/>
        <w:rPr>
          <w:rFonts w:ascii="Arial" w:cs="Arial" w:eastAsia="Arial" w:hAnsi="Arial"/>
          <w:sz w:val="19"/>
          <w:szCs w:val="19"/>
          <w:color w:val="auto"/>
        </w:rPr>
      </w:pPr>
      <w:r>
        <w:rPr>
          <w:rFonts w:ascii="Arial" w:cs="Arial" w:eastAsia="Arial" w:hAnsi="Arial"/>
          <w:sz w:val="20"/>
          <w:szCs w:val="20"/>
          <w:color w:val="auto"/>
        </w:rPr>
        <w:t>on a class, collective, or representative basis on behalf of other employees to the fullest extent permitted by applicable law (“</w:t>
      </w:r>
      <w:r>
        <w:rPr>
          <w:rFonts w:ascii="Arial" w:cs="Arial" w:eastAsia="Arial" w:hAnsi="Arial"/>
          <w:sz w:val="20"/>
          <w:szCs w:val="20"/>
          <w:b w:val="1"/>
          <w:bCs w:val="1"/>
          <w:i w:val="1"/>
          <w:iCs w:val="1"/>
          <w:color w:val="auto"/>
        </w:rPr>
        <w:t>Class Waiver</w:t>
      </w:r>
      <w:r>
        <w:rPr>
          <w:rFonts w:ascii="Arial" w:cs="Arial" w:eastAsia="Arial" w:hAnsi="Arial"/>
          <w:sz w:val="20"/>
          <w:szCs w:val="20"/>
          <w:color w:val="auto"/>
        </w:rPr>
        <w:t>”). Any claim that all or part of the Class Waiver is invalid,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908"/>
          </w:cols>
          <w:pgMar w:left="652" w:top="1440" w:right="339" w:bottom="1440" w:gutter="0" w:footer="0" w:header="0"/>
        </w:sectPr>
      </w:pPr>
    </w:p>
    <w:bookmarkStart w:id="98" w:name="page99"/>
    <w:bookmarkEnd w:id="98"/>
    <w:p>
      <w:pPr>
        <w:spacing w:after="0" w:line="181" w:lineRule="exact"/>
        <w:rPr>
          <w:sz w:val="20"/>
          <w:szCs w:val="20"/>
          <w:color w:val="auto"/>
        </w:rPr>
      </w:pPr>
    </w:p>
    <w:p>
      <w:pPr>
        <w:jc w:val="both"/>
        <w:ind w:left="328"/>
        <w:spacing w:after="0" w:line="275" w:lineRule="auto"/>
        <w:rPr>
          <w:sz w:val="20"/>
          <w:szCs w:val="20"/>
          <w:color w:val="auto"/>
        </w:rPr>
      </w:pPr>
      <w:r>
        <w:rPr>
          <w:rFonts w:ascii="Arial" w:cs="Arial" w:eastAsia="Arial" w:hAnsi="Arial"/>
          <w:sz w:val="20"/>
          <w:szCs w:val="20"/>
          <w:color w:val="auto"/>
        </w:rPr>
        <w:t>unenforceable, or unconscionable may be determined only by a court. In no case may class, collective or representative claims proceed in arbitration on behalf of other employees.</w:t>
      </w:r>
    </w:p>
    <w:p>
      <w:pPr>
        <w:spacing w:after="0" w:line="202" w:lineRule="exact"/>
        <w:rPr>
          <w:sz w:val="20"/>
          <w:szCs w:val="20"/>
          <w:color w:val="auto"/>
        </w:rPr>
      </w:pPr>
    </w:p>
    <w:p>
      <w:pPr>
        <w:jc w:val="both"/>
        <w:ind w:left="328"/>
        <w:spacing w:after="0" w:line="268" w:lineRule="auto"/>
        <w:rPr>
          <w:sz w:val="20"/>
          <w:szCs w:val="20"/>
          <w:color w:val="auto"/>
        </w:rPr>
      </w:pPr>
      <w:r>
        <w:rPr>
          <w:rFonts w:ascii="Arial" w:cs="Arial" w:eastAsia="Arial" w:hAnsi="Arial"/>
          <w:sz w:val="20"/>
          <w:szCs w:val="20"/>
          <w:color w:val="auto"/>
        </w:rPr>
        <w:t>The parties agree that the arbitration shall be conducted by a single neutral arbitrator through JAMS in accordance with JAMS Employment Arbitration Rules and Procedures (available at www.jamsadr.com/rules-employment-arbitration). Except as to the Class Waiver, the arbitrator shall determine arbitrability. The Company will bear all JAMS arbitration fees and administrative costs in excess of the amount of administrative fees and costs that Executive otherwise would have been required to pay if the claims were litigated in court. The arbitrator shall apply the applicable substantive law in deciding the claims at issue. Claims will be governed by their applicable statute of limitations and failure to demand arbitration within the prescribed time period shall bar the claims as provided by law. The decision or award of the arbitrator shall be final and binding upon the parties. This arbitration agreement is enforceable under and governed by the Federal Arbitration Act. In the event that any portion of this arbitration agreement is held to be invalid or unenforceable, any such provision shall be severed, and the remainder of this arbitration agreement will be given full force and effect. By signing the offer letter, Executive acknowledges and agrees that Executive has read this arbitration agreement carefully, are bound by it and are WAIVING ANY RIGHT TO HAVE A TRIAL BEFORE A COURT OR JURY OF ANY AND ALL CLAIMS SUBJECT TO ARBITRATION UNDER THIS ARBITRATION AGREEMENT.</w:t>
      </w:r>
    </w:p>
    <w:p>
      <w:pPr>
        <w:spacing w:after="0" w:line="188" w:lineRule="exact"/>
        <w:rPr>
          <w:sz w:val="20"/>
          <w:szCs w:val="20"/>
          <w:color w:val="auto"/>
        </w:rPr>
      </w:pPr>
    </w:p>
    <w:p>
      <w:pPr>
        <w:ind w:left="308" w:hanging="308"/>
        <w:spacing w:after="0"/>
        <w:tabs>
          <w:tab w:leader="none" w:pos="308" w:val="left"/>
        </w:tabs>
        <w:numPr>
          <w:ilvl w:val="0"/>
          <w:numId w:val="86"/>
        </w:numPr>
        <w:rPr>
          <w:rFonts w:ascii="Arial" w:cs="Arial" w:eastAsia="Arial" w:hAnsi="Arial"/>
          <w:sz w:val="20"/>
          <w:szCs w:val="20"/>
          <w:color w:val="auto"/>
        </w:rPr>
      </w:pPr>
      <w:r>
        <w:rPr>
          <w:rFonts w:ascii="Arial" w:cs="Arial" w:eastAsia="Arial" w:hAnsi="Arial"/>
          <w:sz w:val="20"/>
          <w:szCs w:val="20"/>
          <w:b w:val="1"/>
          <w:bCs w:val="1"/>
          <w:u w:val="single" w:color="auto"/>
          <w:color w:val="auto"/>
        </w:rPr>
        <w:t>Pre-Employment Conditions</w:t>
      </w:r>
      <w:r>
        <w:rPr>
          <w:rFonts w:ascii="Arial" w:cs="Arial" w:eastAsia="Arial" w:hAnsi="Arial"/>
          <w:sz w:val="20"/>
          <w:szCs w:val="20"/>
          <w:b w:val="1"/>
          <w:bCs w:val="1"/>
          <w:color w:val="auto"/>
        </w:rPr>
        <w:t>.</w:t>
      </w:r>
    </w:p>
    <w:p>
      <w:pPr>
        <w:spacing w:after="0" w:line="242" w:lineRule="exact"/>
        <w:rPr>
          <w:rFonts w:ascii="Arial" w:cs="Arial" w:eastAsia="Arial" w:hAnsi="Arial"/>
          <w:sz w:val="20"/>
          <w:szCs w:val="20"/>
          <w:color w:val="auto"/>
        </w:rPr>
      </w:pPr>
    </w:p>
    <w:p>
      <w:pPr>
        <w:jc w:val="both"/>
        <w:ind w:left="968" w:hanging="320"/>
        <w:spacing w:after="0" w:line="294" w:lineRule="auto"/>
        <w:tabs>
          <w:tab w:leader="none" w:pos="957" w:val="left"/>
        </w:tabs>
        <w:numPr>
          <w:ilvl w:val="1"/>
          <w:numId w:val="86"/>
        </w:numPr>
        <w:rPr>
          <w:rFonts w:ascii="Arial" w:cs="Arial" w:eastAsia="Arial" w:hAnsi="Arial"/>
          <w:sz w:val="19"/>
          <w:szCs w:val="19"/>
          <w:color w:val="auto"/>
        </w:rPr>
      </w:pPr>
      <w:r>
        <w:rPr>
          <w:rFonts w:ascii="Arial" w:cs="Arial" w:eastAsia="Arial" w:hAnsi="Arial"/>
          <w:sz w:val="19"/>
          <w:szCs w:val="19"/>
          <w:b w:val="1"/>
          <w:bCs w:val="1"/>
          <w:u w:val="single" w:color="auto"/>
          <w:color w:val="auto"/>
        </w:rPr>
        <w:t>Confidentiality Agreement</w:t>
      </w:r>
      <w:r>
        <w:rPr>
          <w:rFonts w:ascii="Arial" w:cs="Arial" w:eastAsia="Arial" w:hAnsi="Arial"/>
          <w:sz w:val="19"/>
          <w:szCs w:val="19"/>
          <w:color w:val="auto"/>
        </w:rPr>
        <w:t>. Executive’s acceptance of this offer and Executive’s Employment with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is contingent upon the execution, and delivery to an officer of the Company, of the Company’s Employee</w:t>
      </w:r>
    </w:p>
    <w:p>
      <w:pPr>
        <w:spacing w:after="0" w:line="1" w:lineRule="exact"/>
        <w:rPr>
          <w:rFonts w:ascii="Arial" w:cs="Arial" w:eastAsia="Arial" w:hAnsi="Arial"/>
          <w:sz w:val="19"/>
          <w:szCs w:val="19"/>
          <w:color w:val="auto"/>
        </w:rPr>
      </w:pPr>
    </w:p>
    <w:p>
      <w:pPr>
        <w:jc w:val="both"/>
        <w:ind w:left="968"/>
        <w:spacing w:after="0" w:line="271" w:lineRule="auto"/>
        <w:rPr>
          <w:rFonts w:ascii="Arial" w:cs="Arial" w:eastAsia="Arial" w:hAnsi="Arial"/>
          <w:sz w:val="19"/>
          <w:szCs w:val="19"/>
          <w:color w:val="auto"/>
        </w:rPr>
      </w:pPr>
      <w:r>
        <w:rPr>
          <w:rFonts w:ascii="Arial" w:cs="Arial" w:eastAsia="Arial" w:hAnsi="Arial"/>
          <w:sz w:val="20"/>
          <w:szCs w:val="20"/>
          <w:color w:val="auto"/>
        </w:rPr>
        <w:t xml:space="preserve">Nondisclosure, Non-Solicitation, Confidentiality and Developments Agreement, a copy of which is attached hereto as </w:t>
      </w:r>
      <w:r>
        <w:rPr>
          <w:rFonts w:ascii="Arial" w:cs="Arial" w:eastAsia="Arial" w:hAnsi="Arial"/>
          <w:sz w:val="20"/>
          <w:szCs w:val="20"/>
          <w:u w:val="single" w:color="auto"/>
          <w:color w:val="auto"/>
        </w:rPr>
        <w:t>Attachment [B]</w:t>
      </w:r>
      <w:r>
        <w:rPr>
          <w:rFonts w:ascii="Arial" w:cs="Arial" w:eastAsia="Arial" w:hAnsi="Arial"/>
          <w:sz w:val="20"/>
          <w:szCs w:val="20"/>
          <w:color w:val="auto"/>
        </w:rPr>
        <w:t xml:space="preserve"> for Executive’s review and execution (the “</w:t>
      </w:r>
      <w:r>
        <w:rPr>
          <w:rFonts w:ascii="Arial" w:cs="Arial" w:eastAsia="Arial" w:hAnsi="Arial"/>
          <w:sz w:val="20"/>
          <w:szCs w:val="20"/>
          <w:b w:val="1"/>
          <w:bCs w:val="1"/>
          <w:i w:val="1"/>
          <w:iCs w:val="1"/>
          <w:color w:val="auto"/>
        </w:rPr>
        <w:t>Confidentiality Agreement</w:t>
      </w:r>
      <w:r>
        <w:rPr>
          <w:rFonts w:ascii="Arial" w:cs="Arial" w:eastAsia="Arial" w:hAnsi="Arial"/>
          <w:sz w:val="20"/>
          <w:szCs w:val="20"/>
          <w:color w:val="auto"/>
        </w:rPr>
        <w:t>”), prior to or on the Effective Date.</w:t>
      </w:r>
    </w:p>
    <w:p>
      <w:pPr>
        <w:spacing w:after="0" w:line="155" w:lineRule="exact"/>
        <w:rPr>
          <w:rFonts w:ascii="Arial" w:cs="Arial" w:eastAsia="Arial" w:hAnsi="Arial"/>
          <w:sz w:val="19"/>
          <w:szCs w:val="19"/>
          <w:color w:val="auto"/>
        </w:rPr>
      </w:pPr>
    </w:p>
    <w:p>
      <w:pPr>
        <w:jc w:val="both"/>
        <w:ind w:left="968" w:hanging="320"/>
        <w:spacing w:after="0" w:line="278" w:lineRule="auto"/>
        <w:tabs>
          <w:tab w:leader="none" w:pos="960" w:val="left"/>
        </w:tabs>
        <w:numPr>
          <w:ilvl w:val="1"/>
          <w:numId w:val="86"/>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 to Work</w:t>
      </w:r>
      <w:r>
        <w:rPr>
          <w:rFonts w:ascii="Arial" w:cs="Arial" w:eastAsia="Arial" w:hAnsi="Arial"/>
          <w:sz w:val="20"/>
          <w:szCs w:val="20"/>
          <w:color w:val="auto"/>
        </w:rPr>
        <w:t>. For purposes of federal immigration law, Executive will be required, if Executive has not already,</w:t>
      </w:r>
      <w:r>
        <w:rPr>
          <w:rFonts w:ascii="Arial" w:cs="Arial" w:eastAsia="Arial" w:hAnsi="Arial"/>
          <w:sz w:val="20"/>
          <w:szCs w:val="20"/>
          <w:b w:val="1"/>
          <w:bCs w:val="1"/>
          <w:color w:val="auto"/>
        </w:rPr>
        <w:t xml:space="preserve"> </w:t>
      </w:r>
      <w:r>
        <w:rPr>
          <w:rFonts w:ascii="Arial" w:cs="Arial" w:eastAsia="Arial" w:hAnsi="Arial"/>
          <w:sz w:val="20"/>
          <w:szCs w:val="20"/>
          <w:color w:val="auto"/>
        </w:rPr>
        <w:t>to provide to the Company documentary evidence of Executive’s identity and eligibility for employment in the United States. Such documentation must be provided to the Company within three (3) business days of the Effective Date, or the Employment relationship with Executive may be terminated.</w:t>
      </w:r>
    </w:p>
    <w:p>
      <w:pPr>
        <w:spacing w:after="0" w:line="135" w:lineRule="exact"/>
        <w:rPr>
          <w:rFonts w:ascii="Arial" w:cs="Arial" w:eastAsia="Arial" w:hAnsi="Arial"/>
          <w:sz w:val="20"/>
          <w:szCs w:val="20"/>
          <w:color w:val="auto"/>
        </w:rPr>
      </w:pPr>
    </w:p>
    <w:p>
      <w:pPr>
        <w:jc w:val="both"/>
        <w:ind w:left="968" w:hanging="320"/>
        <w:spacing w:after="0" w:line="275" w:lineRule="auto"/>
        <w:tabs>
          <w:tab w:leader="none" w:pos="957" w:val="left"/>
        </w:tabs>
        <w:numPr>
          <w:ilvl w:val="1"/>
          <w:numId w:val="86"/>
        </w:numPr>
        <w:rPr>
          <w:rFonts w:ascii="Arial" w:cs="Arial" w:eastAsia="Arial" w:hAnsi="Arial"/>
          <w:sz w:val="20"/>
          <w:szCs w:val="20"/>
          <w:color w:val="auto"/>
        </w:rPr>
      </w:pPr>
      <w:r>
        <w:rPr>
          <w:rFonts w:ascii="Arial" w:cs="Arial" w:eastAsia="Arial" w:hAnsi="Arial"/>
          <w:sz w:val="20"/>
          <w:szCs w:val="20"/>
          <w:b w:val="1"/>
          <w:bCs w:val="1"/>
          <w:u w:val="single" w:color="auto"/>
          <w:color w:val="auto"/>
        </w:rPr>
        <w:t>Verification of Information</w:t>
      </w:r>
      <w:r>
        <w:rPr>
          <w:rFonts w:ascii="Arial" w:cs="Arial" w:eastAsia="Arial" w:hAnsi="Arial"/>
          <w:sz w:val="20"/>
          <w:szCs w:val="20"/>
          <w:color w:val="auto"/>
        </w:rPr>
        <w:t>. This Agreement is also contingent upon the successful verification of the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provided to the Company during Executive’s application process, as well as a general background check performed by the Company to confirm Executive’s suitability for Employment. By accepting this Agreement, Executive warrants that all information provided by Executive is true and correct to the best of Executive’s knowledge,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908"/>
          </w:cols>
          <w:pgMar w:left="652" w:top="1440" w:right="339" w:bottom="1440" w:gutter="0" w:footer="0" w:header="0"/>
        </w:sectPr>
      </w:pPr>
    </w:p>
    <w:bookmarkStart w:id="99" w:name="page100"/>
    <w:bookmarkEnd w:id="99"/>
    <w:p>
      <w:pPr>
        <w:spacing w:after="0" w:line="181" w:lineRule="exact"/>
        <w:rPr>
          <w:sz w:val="20"/>
          <w:szCs w:val="20"/>
          <w:color w:val="auto"/>
        </w:rPr>
      </w:pPr>
    </w:p>
    <w:p>
      <w:pPr>
        <w:jc w:val="both"/>
        <w:ind w:left="968"/>
        <w:spacing w:after="0" w:line="271" w:lineRule="auto"/>
        <w:rPr>
          <w:sz w:val="20"/>
          <w:szCs w:val="20"/>
          <w:color w:val="auto"/>
        </w:rPr>
      </w:pPr>
      <w:r>
        <w:rPr>
          <w:rFonts w:ascii="Arial" w:cs="Arial" w:eastAsia="Arial" w:hAnsi="Arial"/>
          <w:sz w:val="20"/>
          <w:szCs w:val="20"/>
          <w:color w:val="auto"/>
        </w:rPr>
        <w:t>agrees to execute any and all documentation necessary for the Company to conduct a background check and Executive expressly releases the Company from any claim or cause of action arising out of the Company’s verification of such information.</w:t>
      </w:r>
    </w:p>
    <w:p>
      <w:pPr>
        <w:spacing w:after="0" w:line="155" w:lineRule="exact"/>
        <w:rPr>
          <w:sz w:val="20"/>
          <w:szCs w:val="20"/>
          <w:color w:val="auto"/>
        </w:rPr>
      </w:pPr>
    </w:p>
    <w:p>
      <w:pPr>
        <w:ind w:left="308" w:hanging="308"/>
        <w:spacing w:after="0"/>
        <w:tabs>
          <w:tab w:leader="none" w:pos="308" w:val="left"/>
        </w:tabs>
        <w:numPr>
          <w:ilvl w:val="0"/>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Successors</w:t>
      </w:r>
      <w:r>
        <w:rPr>
          <w:rFonts w:ascii="Arial" w:cs="Arial" w:eastAsia="Arial" w:hAnsi="Arial"/>
          <w:sz w:val="20"/>
          <w:szCs w:val="20"/>
          <w:b w:val="1"/>
          <w:bCs w:val="1"/>
          <w:color w:val="auto"/>
        </w:rPr>
        <w:t>.</w:t>
      </w:r>
    </w:p>
    <w:p>
      <w:pPr>
        <w:spacing w:after="0" w:line="202" w:lineRule="exact"/>
        <w:rPr>
          <w:rFonts w:ascii="Arial" w:cs="Arial" w:eastAsia="Arial" w:hAnsi="Arial"/>
          <w:sz w:val="20"/>
          <w:szCs w:val="20"/>
          <w:color w:val="auto"/>
        </w:rPr>
      </w:pPr>
    </w:p>
    <w:p>
      <w:pPr>
        <w:ind w:left="968" w:hanging="320"/>
        <w:spacing w:after="0"/>
        <w:tabs>
          <w:tab w:leader="none" w:pos="968" w:val="left"/>
        </w:tabs>
        <w:numPr>
          <w:ilvl w:val="1"/>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Company’s 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binding upon any successor (whether direct or indirect and</w:t>
      </w:r>
    </w:p>
    <w:p>
      <w:pPr>
        <w:spacing w:after="0" w:line="50" w:lineRule="exact"/>
        <w:rPr>
          <w:rFonts w:ascii="Arial" w:cs="Arial" w:eastAsia="Arial" w:hAnsi="Arial"/>
          <w:sz w:val="20"/>
          <w:szCs w:val="20"/>
          <w:color w:val="auto"/>
        </w:rPr>
      </w:pPr>
    </w:p>
    <w:p>
      <w:pPr>
        <w:jc w:val="both"/>
        <w:ind w:left="968"/>
        <w:spacing w:after="0" w:line="270" w:lineRule="auto"/>
        <w:rPr>
          <w:rFonts w:ascii="Arial" w:cs="Arial" w:eastAsia="Arial" w:hAnsi="Arial"/>
          <w:sz w:val="20"/>
          <w:szCs w:val="20"/>
          <w:color w:val="auto"/>
        </w:rPr>
      </w:pPr>
      <w:r>
        <w:rPr>
          <w:rFonts w:ascii="Arial" w:cs="Arial" w:eastAsia="Arial" w:hAnsi="Arial"/>
          <w:sz w:val="20"/>
          <w:szCs w:val="20"/>
          <w:color w:val="auto"/>
        </w:rPr>
        <w:t>whether by purchase, lease, merger, consolidation, liquidation or otherwise) to all or substantially all of the Company’s business and/or assets. For all purposes under this Agreement, the term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shall include any successor to the Company’s business or assets that become bound by this Agreement or any affiliate of any such successor that employs Executive.</w:t>
      </w:r>
    </w:p>
    <w:p>
      <w:pPr>
        <w:spacing w:after="0" w:line="142" w:lineRule="exact"/>
        <w:rPr>
          <w:rFonts w:ascii="Arial" w:cs="Arial" w:eastAsia="Arial" w:hAnsi="Arial"/>
          <w:sz w:val="20"/>
          <w:szCs w:val="20"/>
          <w:color w:val="auto"/>
        </w:rPr>
      </w:pPr>
    </w:p>
    <w:p>
      <w:pPr>
        <w:jc w:val="both"/>
        <w:ind w:left="968" w:hanging="320"/>
        <w:spacing w:after="0" w:line="283" w:lineRule="auto"/>
        <w:tabs>
          <w:tab w:leader="none" w:pos="959" w:val="left"/>
        </w:tabs>
        <w:numPr>
          <w:ilvl w:val="1"/>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Executive’s 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all of Executive’s rights hereunder shall inure to the benefit of,</w:t>
      </w:r>
      <w:r>
        <w:rPr>
          <w:rFonts w:ascii="Arial" w:cs="Arial" w:eastAsia="Arial" w:hAnsi="Arial"/>
          <w:sz w:val="20"/>
          <w:szCs w:val="20"/>
          <w:b w:val="1"/>
          <w:bCs w:val="1"/>
          <w:color w:val="auto"/>
        </w:rPr>
        <w:t xml:space="preserve"> </w:t>
      </w:r>
      <w:r>
        <w:rPr>
          <w:rFonts w:ascii="Arial" w:cs="Arial" w:eastAsia="Arial" w:hAnsi="Arial"/>
          <w:sz w:val="20"/>
          <w:szCs w:val="20"/>
          <w:color w:val="auto"/>
        </w:rPr>
        <w:t>and be enforceable by, Executive’s personal or legal representatives, executors, administrators, successors, heirs, distributees, devisees and legatees.</w:t>
      </w:r>
    </w:p>
    <w:p>
      <w:pPr>
        <w:spacing w:after="0" w:line="144" w:lineRule="exact"/>
        <w:rPr>
          <w:rFonts w:ascii="Arial" w:cs="Arial" w:eastAsia="Arial" w:hAnsi="Arial"/>
          <w:sz w:val="20"/>
          <w:szCs w:val="20"/>
          <w:color w:val="auto"/>
        </w:rPr>
      </w:pPr>
    </w:p>
    <w:p>
      <w:pPr>
        <w:ind w:left="308" w:hanging="308"/>
        <w:spacing w:after="0"/>
        <w:tabs>
          <w:tab w:leader="none" w:pos="308" w:val="left"/>
        </w:tabs>
        <w:numPr>
          <w:ilvl w:val="0"/>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 Provisions</w:t>
      </w:r>
      <w:r>
        <w:rPr>
          <w:rFonts w:ascii="Arial" w:cs="Arial" w:eastAsia="Arial" w:hAnsi="Arial"/>
          <w:sz w:val="20"/>
          <w:szCs w:val="20"/>
          <w:b w:val="1"/>
          <w:bCs w:val="1"/>
          <w:color w:val="auto"/>
        </w:rPr>
        <w:t>.</w:t>
      </w:r>
    </w:p>
    <w:p>
      <w:pPr>
        <w:spacing w:after="0" w:line="202" w:lineRule="exact"/>
        <w:rPr>
          <w:rFonts w:ascii="Arial" w:cs="Arial" w:eastAsia="Arial" w:hAnsi="Arial"/>
          <w:sz w:val="20"/>
          <w:szCs w:val="20"/>
          <w:color w:val="auto"/>
        </w:rPr>
      </w:pPr>
    </w:p>
    <w:p>
      <w:pPr>
        <w:jc w:val="both"/>
        <w:ind w:left="968" w:hanging="320"/>
        <w:spacing w:after="0" w:line="278" w:lineRule="auto"/>
        <w:tabs>
          <w:tab w:leader="none" w:pos="957" w:val="left"/>
        </w:tabs>
        <w:numPr>
          <w:ilvl w:val="1"/>
          <w:numId w:val="88"/>
        </w:numPr>
        <w:rPr>
          <w:rFonts w:ascii="Arial" w:cs="Arial" w:eastAsia="Arial" w:hAnsi="Arial"/>
          <w:sz w:val="20"/>
          <w:szCs w:val="20"/>
          <w:color w:val="auto"/>
        </w:rPr>
      </w:pPr>
      <w:r>
        <w:rPr>
          <w:rFonts w:ascii="Arial" w:cs="Arial" w:eastAsia="Arial" w:hAnsi="Arial"/>
          <w:sz w:val="20"/>
          <w:szCs w:val="20"/>
          <w:b w:val="1"/>
          <w:bCs w:val="1"/>
          <w:u w:val="single" w:color="auto"/>
          <w:color w:val="auto"/>
        </w:rPr>
        <w:t>Indemnification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shall indemnify Executive to the maximum extent permitted by applicable law</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Company’s 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135" w:lineRule="exact"/>
        <w:rPr>
          <w:rFonts w:ascii="Arial" w:cs="Arial" w:eastAsia="Arial" w:hAnsi="Arial"/>
          <w:sz w:val="20"/>
          <w:szCs w:val="20"/>
          <w:color w:val="auto"/>
        </w:rPr>
      </w:pPr>
    </w:p>
    <w:p>
      <w:pPr>
        <w:ind w:left="968" w:hanging="320"/>
        <w:spacing w:after="0" w:line="300" w:lineRule="auto"/>
        <w:tabs>
          <w:tab w:leader="none" w:pos="956" w:val="left"/>
        </w:tabs>
        <w:numPr>
          <w:ilvl w:val="1"/>
          <w:numId w:val="88"/>
        </w:numPr>
        <w:rPr>
          <w:rFonts w:ascii="Arial" w:cs="Arial" w:eastAsia="Arial" w:hAnsi="Arial"/>
          <w:sz w:val="20"/>
          <w:szCs w:val="20"/>
          <w:color w:val="auto"/>
        </w:rPr>
      </w:pPr>
      <w:r>
        <w:rPr>
          <w:rFonts w:ascii="Arial" w:cs="Arial" w:eastAsia="Arial" w:hAnsi="Arial"/>
          <w:sz w:val="20"/>
          <w:szCs w:val="20"/>
          <w:b w:val="1"/>
          <w:bCs w:val="1"/>
          <w:u w:val="single" w:color="auto"/>
          <w:color w:val="auto"/>
        </w:rPr>
        <w:t>Headings</w:t>
      </w:r>
      <w:r>
        <w:rPr>
          <w:rFonts w:ascii="Arial" w:cs="Arial" w:eastAsia="Arial" w:hAnsi="Arial"/>
          <w:sz w:val="20"/>
          <w:szCs w:val="20"/>
          <w:color w:val="auto"/>
        </w:rPr>
        <w:t>. All captions and section headings used in this Agreement are for convenient reference only and do</w:t>
      </w:r>
      <w:r>
        <w:rPr>
          <w:rFonts w:ascii="Arial" w:cs="Arial" w:eastAsia="Arial" w:hAnsi="Arial"/>
          <w:sz w:val="20"/>
          <w:szCs w:val="20"/>
          <w:b w:val="1"/>
          <w:bCs w:val="1"/>
          <w:color w:val="auto"/>
        </w:rPr>
        <w:t xml:space="preserve"> </w:t>
      </w:r>
      <w:r>
        <w:rPr>
          <w:rFonts w:ascii="Arial" w:cs="Arial" w:eastAsia="Arial" w:hAnsi="Arial"/>
          <w:sz w:val="20"/>
          <w:szCs w:val="20"/>
          <w:color w:val="auto"/>
        </w:rPr>
        <w:t>not form a part of this Agreement.</w:t>
      </w:r>
    </w:p>
    <w:p>
      <w:pPr>
        <w:spacing w:after="0" w:line="127" w:lineRule="exact"/>
        <w:rPr>
          <w:rFonts w:ascii="Arial" w:cs="Arial" w:eastAsia="Arial" w:hAnsi="Arial"/>
          <w:sz w:val="20"/>
          <w:szCs w:val="20"/>
          <w:color w:val="auto"/>
        </w:rPr>
      </w:pPr>
    </w:p>
    <w:p>
      <w:pPr>
        <w:ind w:left="968" w:hanging="320"/>
        <w:spacing w:after="0"/>
        <w:tabs>
          <w:tab w:leader="none" w:pos="968" w:val="left"/>
        </w:tabs>
        <w:numPr>
          <w:ilvl w:val="1"/>
          <w:numId w:val="88"/>
        </w:numPr>
        <w:rPr>
          <w:rFonts w:ascii="Arial" w:cs="Arial" w:eastAsia="Arial" w:hAnsi="Arial"/>
          <w:sz w:val="20"/>
          <w:szCs w:val="20"/>
          <w:color w:val="auto"/>
        </w:rPr>
      </w:pPr>
      <w:r>
        <w:rPr>
          <w:rFonts w:ascii="Arial" w:cs="Arial" w:eastAsia="Arial" w:hAnsi="Arial"/>
          <w:sz w:val="20"/>
          <w:szCs w:val="20"/>
          <w:b w:val="1"/>
          <w:bCs w:val="1"/>
          <w:u w:val="single" w:color="auto"/>
          <w:color w:val="auto"/>
        </w:rPr>
        <w:t>Notice</w:t>
      </w:r>
      <w:r>
        <w:rPr>
          <w:rFonts w:ascii="Arial" w:cs="Arial" w:eastAsia="Arial" w:hAnsi="Arial"/>
          <w:sz w:val="20"/>
          <w:szCs w:val="20"/>
          <w:b w:val="1"/>
          <w:bCs w:val="1"/>
          <w:color w:val="auto"/>
        </w:rPr>
        <w:t>.</w:t>
      </w:r>
    </w:p>
    <w:p>
      <w:pPr>
        <w:spacing w:after="0" w:line="226" w:lineRule="exact"/>
        <w:rPr>
          <w:rFonts w:ascii="Arial" w:cs="Arial" w:eastAsia="Arial" w:hAnsi="Arial"/>
          <w:sz w:val="20"/>
          <w:szCs w:val="20"/>
          <w:color w:val="auto"/>
        </w:rPr>
      </w:pPr>
    </w:p>
    <w:p>
      <w:pPr>
        <w:jc w:val="both"/>
        <w:ind w:left="1628" w:hanging="332"/>
        <w:spacing w:after="0" w:line="269" w:lineRule="auto"/>
        <w:tabs>
          <w:tab w:leader="none" w:pos="1619" w:val="left"/>
        </w:tabs>
        <w:numPr>
          <w:ilvl w:val="2"/>
          <w:numId w:val="88"/>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spacing w:after="0" w:line="167" w:lineRule="exact"/>
        <w:rPr>
          <w:rFonts w:ascii="Arial" w:cs="Arial" w:eastAsia="Arial" w:hAnsi="Arial"/>
          <w:sz w:val="20"/>
          <w:szCs w:val="20"/>
          <w:color w:val="auto"/>
        </w:rPr>
      </w:pPr>
    </w:p>
    <w:p>
      <w:pPr>
        <w:jc w:val="both"/>
        <w:ind w:left="1628" w:hanging="332"/>
        <w:spacing w:after="0" w:line="271" w:lineRule="auto"/>
        <w:tabs>
          <w:tab w:leader="none" w:pos="1622" w:val="left"/>
        </w:tabs>
        <w:numPr>
          <w:ilvl w:val="2"/>
          <w:numId w:val="88"/>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Any termination by the Company for Cause or by Executive for Good Reason will be communicated by a notice of termination to the other party hereto given in accordance with Section 13(c)(i) of this Agreement. Such notice will indicate the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908"/>
          </w:cols>
          <w:pgMar w:left="652" w:top="1440" w:right="339" w:bottom="1440" w:gutter="0" w:footer="0" w:header="0"/>
        </w:sectPr>
      </w:pPr>
    </w:p>
    <w:bookmarkStart w:id="100" w:name="page101"/>
    <w:bookmarkEnd w:id="100"/>
    <w:p>
      <w:pPr>
        <w:spacing w:after="0" w:line="181" w:lineRule="exact"/>
        <w:rPr>
          <w:sz w:val="20"/>
          <w:szCs w:val="20"/>
          <w:color w:val="auto"/>
        </w:rPr>
      </w:pPr>
    </w:p>
    <w:p>
      <w:pPr>
        <w:jc w:val="both"/>
        <w:ind w:left="980"/>
        <w:spacing w:after="0" w:line="268" w:lineRule="auto"/>
        <w:rPr>
          <w:sz w:val="20"/>
          <w:szCs w:val="20"/>
          <w:color w:val="auto"/>
        </w:rPr>
      </w:pPr>
      <w:r>
        <w:rPr>
          <w:rFonts w:ascii="Arial" w:cs="Arial" w:eastAsia="Arial" w:hAnsi="Arial"/>
          <w:sz w:val="20"/>
          <w:szCs w:val="20"/>
          <w:color w:val="auto"/>
        </w:rPr>
        <w:t>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 Any termination by Executive without Good Reason will be communicated by Executive to the Company upon sixty (60) days advance written notice.</w:t>
      </w:r>
    </w:p>
    <w:p>
      <w:pPr>
        <w:spacing w:after="0" w:line="162" w:lineRule="exact"/>
        <w:rPr>
          <w:sz w:val="20"/>
          <w:szCs w:val="20"/>
          <w:color w:val="auto"/>
        </w:rPr>
      </w:pPr>
    </w:p>
    <w:p>
      <w:pPr>
        <w:jc w:val="both"/>
        <w:ind w:left="320" w:hanging="320"/>
        <w:spacing w:after="0" w:line="275" w:lineRule="auto"/>
        <w:tabs>
          <w:tab w:leader="none" w:pos="312"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Modifications and Waivers</w:t>
      </w:r>
      <w:r>
        <w:rPr>
          <w:rFonts w:ascii="Arial" w:cs="Arial" w:eastAsia="Arial" w:hAnsi="Arial"/>
          <w:sz w:val="20"/>
          <w:szCs w:val="20"/>
          <w:b w:val="1"/>
          <w:bCs w:val="1"/>
          <w:color w:val="auto"/>
        </w:rPr>
        <w:t xml:space="preserve">. </w:t>
      </w:r>
      <w:r>
        <w:rPr>
          <w:rFonts w:ascii="Arial" w:cs="Arial" w:eastAsia="Arial" w:hAnsi="Arial"/>
          <w:sz w:val="20"/>
          <w:szCs w:val="20"/>
          <w:color w:val="auto"/>
        </w:rPr>
        <w:t>No provision of this Agreement shall be modified, waived or discharged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modification, waiver or discharge is agreed to in writing and signed by Executive and by an authorized officer of the Company (other than Executive ).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0" w:lineRule="exact"/>
        <w:rPr>
          <w:rFonts w:ascii="Arial" w:cs="Arial" w:eastAsia="Arial" w:hAnsi="Arial"/>
          <w:sz w:val="20"/>
          <w:szCs w:val="20"/>
          <w:color w:val="auto"/>
        </w:rPr>
      </w:pPr>
    </w:p>
    <w:p>
      <w:pPr>
        <w:jc w:val="both"/>
        <w:ind w:left="320" w:hanging="320"/>
        <w:spacing w:after="0" w:line="283" w:lineRule="auto"/>
        <w:tabs>
          <w:tab w:leader="none" w:pos="311"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the Confidentiality Agreement contain the entire understanding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with respect to the subject matter hereof and supersede all other prior or contemporaneous discussions, understandings and agreements, whether oral or written, between them relating to the subject matter hereof.</w:t>
      </w:r>
    </w:p>
    <w:p>
      <w:pPr>
        <w:spacing w:after="0" w:line="131" w:lineRule="exact"/>
        <w:rPr>
          <w:rFonts w:ascii="Arial" w:cs="Arial" w:eastAsia="Arial" w:hAnsi="Arial"/>
          <w:sz w:val="20"/>
          <w:szCs w:val="20"/>
          <w:color w:val="auto"/>
        </w:rPr>
      </w:pPr>
    </w:p>
    <w:p>
      <w:pPr>
        <w:ind w:left="320" w:hanging="320"/>
        <w:spacing w:after="0" w:line="300" w:lineRule="auto"/>
        <w:tabs>
          <w:tab w:leader="none" w:pos="310"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Withholding Taxes</w:t>
      </w:r>
      <w:r>
        <w:rPr>
          <w:rFonts w:ascii="Arial" w:cs="Arial" w:eastAsia="Arial" w:hAnsi="Arial"/>
          <w:sz w:val="20"/>
          <w:szCs w:val="20"/>
          <w:b w:val="1"/>
          <w:bCs w:val="1"/>
          <w:color w:val="auto"/>
        </w:rPr>
        <w:t xml:space="preserve">. </w:t>
      </w:r>
      <w:r>
        <w:rPr>
          <w:rFonts w:ascii="Arial" w:cs="Arial" w:eastAsia="Arial" w:hAnsi="Arial"/>
          <w:sz w:val="20"/>
          <w:szCs w:val="20"/>
          <w:color w:val="auto"/>
        </w:rPr>
        <w:t>All payments made under this Agreement shall be subject to reduction to reflect taxes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deductions required to be withheld by law.</w:t>
      </w:r>
    </w:p>
    <w:p>
      <w:pPr>
        <w:spacing w:after="0" w:line="127" w:lineRule="exact"/>
        <w:rPr>
          <w:rFonts w:ascii="Arial" w:cs="Arial" w:eastAsia="Arial" w:hAnsi="Arial"/>
          <w:sz w:val="20"/>
          <w:szCs w:val="20"/>
          <w:color w:val="auto"/>
        </w:rPr>
      </w:pPr>
    </w:p>
    <w:p>
      <w:pPr>
        <w:jc w:val="both"/>
        <w:ind w:left="320" w:hanging="320"/>
        <w:spacing w:after="0" w:line="286" w:lineRule="auto"/>
        <w:tabs>
          <w:tab w:leader="none" w:pos="309" w:val="left"/>
        </w:tabs>
        <w:numPr>
          <w:ilvl w:val="0"/>
          <w:numId w:val="89"/>
        </w:numPr>
        <w:rPr>
          <w:rFonts w:ascii="Arial" w:cs="Arial" w:eastAsia="Arial" w:hAnsi="Arial"/>
          <w:sz w:val="19"/>
          <w:szCs w:val="19"/>
          <w:color w:val="auto"/>
        </w:rPr>
      </w:pPr>
      <w:r>
        <w:rPr>
          <w:rFonts w:ascii="Arial" w:cs="Arial" w:eastAsia="Arial" w:hAnsi="Arial"/>
          <w:sz w:val="19"/>
          <w:szCs w:val="19"/>
          <w:b w:val="1"/>
          <w:bCs w:val="1"/>
          <w:u w:val="single" w:color="auto"/>
          <w:color w:val="auto"/>
        </w:rPr>
        <w:t>Choice of Law and 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interpreted in accordance with the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Iowa without giving 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w:t>
      </w:r>
    </w:p>
    <w:p>
      <w:pPr>
        <w:jc w:val="both"/>
        <w:ind w:left="320"/>
        <w:spacing w:after="0" w:line="270" w:lineRule="auto"/>
        <w:rPr>
          <w:rFonts w:ascii="Arial" w:cs="Arial" w:eastAsia="Arial" w:hAnsi="Arial"/>
          <w:sz w:val="19"/>
          <w:szCs w:val="19"/>
          <w:color w:val="auto"/>
        </w:rPr>
      </w:pPr>
      <w:r>
        <w:rPr>
          <w:rFonts w:ascii="Arial" w:cs="Arial" w:eastAsia="Arial" w:hAnsi="Arial"/>
          <w:sz w:val="20"/>
          <w:szCs w:val="20"/>
          <w:color w:val="auto"/>
        </w:rPr>
        <w:t>Agreement shall continue in full force and effect. If any provision of this Agreement is rendered illegal by any present or future statute, law, ordinance or regulation (collectively, the “</w:t>
      </w:r>
      <w:r>
        <w:rPr>
          <w:rFonts w:ascii="Arial" w:cs="Arial" w:eastAsia="Arial" w:hAnsi="Arial"/>
          <w:sz w:val="20"/>
          <w:szCs w:val="20"/>
          <w:b w:val="1"/>
          <w:bCs w:val="1"/>
          <w:i w:val="1"/>
          <w:iCs w:val="1"/>
          <w:color w:val="auto"/>
        </w:rPr>
        <w:t>Law</w:t>
      </w:r>
      <w:r>
        <w:rPr>
          <w:rFonts w:ascii="Arial" w:cs="Arial" w:eastAsia="Arial" w:hAnsi="Arial"/>
          <w:sz w:val="20"/>
          <w:szCs w:val="20"/>
          <w:color w:val="auto"/>
        </w:rPr>
        <w:t>”) then that provision shall be curtailed or limited only to the minimum extent necessary to bring the provision into compliance with the Law. All the other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260"/>
          </w:cols>
          <w:pgMar w:left="1300" w:top="1440" w:right="339" w:bottom="1440" w:gutter="0" w:footer="0" w:header="0"/>
        </w:sectPr>
      </w:pPr>
    </w:p>
    <w:bookmarkStart w:id="101" w:name="page102"/>
    <w:bookmarkEnd w:id="101"/>
    <w:p>
      <w:pPr>
        <w:spacing w:after="0" w:line="18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provisions of this Agreement shall continue in full force and effect without impairment or limitation.</w:t>
      </w:r>
    </w:p>
    <w:p>
      <w:pPr>
        <w:spacing w:after="0" w:line="192" w:lineRule="exact"/>
        <w:rPr>
          <w:sz w:val="20"/>
          <w:szCs w:val="20"/>
          <w:color w:val="auto"/>
        </w:rPr>
      </w:pPr>
    </w:p>
    <w:p>
      <w:pPr>
        <w:jc w:val="both"/>
        <w:ind w:left="320" w:hanging="320"/>
        <w:spacing w:after="0" w:line="278" w:lineRule="auto"/>
        <w:tabs>
          <w:tab w:leader="none" w:pos="309" w:val="left"/>
        </w:tabs>
        <w:numPr>
          <w:ilvl w:val="0"/>
          <w:numId w:val="90"/>
        </w:numPr>
        <w:rPr>
          <w:rFonts w:ascii="Arial" w:cs="Arial" w:eastAsia="Arial" w:hAnsi="Arial"/>
          <w:sz w:val="20"/>
          <w:szCs w:val="20"/>
          <w:color w:val="auto"/>
        </w:rPr>
      </w:pPr>
      <w:r>
        <w:rPr>
          <w:rFonts w:ascii="Arial" w:cs="Arial" w:eastAsia="Arial" w:hAnsi="Arial"/>
          <w:sz w:val="20"/>
          <w:szCs w:val="20"/>
          <w:b w:val="1"/>
          <w:bCs w:val="1"/>
          <w:u w:val="single" w:color="auto"/>
          <w:color w:val="auto"/>
        </w:rPr>
        <w:t>No Assignment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all of Executive’s rights and obligations hereunder are personal to</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and may not be transferred or assigned by Executive at any time. The Company may assign its rights under this Agreement to any entity that assumes the Company’s obligations hereunder in connection with any sale or transfer to such entity of all or a substantial portion of the Company’s assets.</w:t>
      </w:r>
    </w:p>
    <w:p>
      <w:pPr>
        <w:spacing w:after="0" w:line="135" w:lineRule="exact"/>
        <w:rPr>
          <w:rFonts w:ascii="Arial" w:cs="Arial" w:eastAsia="Arial" w:hAnsi="Arial"/>
          <w:sz w:val="20"/>
          <w:szCs w:val="20"/>
          <w:color w:val="auto"/>
        </w:rPr>
      </w:pPr>
    </w:p>
    <w:p>
      <w:pPr>
        <w:jc w:val="both"/>
        <w:ind w:left="320" w:hanging="320"/>
        <w:spacing w:after="0" w:line="283" w:lineRule="auto"/>
        <w:tabs>
          <w:tab w:leader="none" w:pos="309" w:val="left"/>
        </w:tabs>
        <w:numPr>
          <w:ilvl w:val="0"/>
          <w:numId w:val="90"/>
        </w:numPr>
        <w:rPr>
          <w:rFonts w:ascii="Arial" w:cs="Arial" w:eastAsia="Arial" w:hAnsi="Arial"/>
          <w:sz w:val="20"/>
          <w:szCs w:val="20"/>
          <w:color w:val="auto"/>
        </w:rPr>
      </w:pPr>
      <w:r>
        <w:rPr>
          <w:rFonts w:ascii="Arial" w:cs="Arial" w:eastAsia="Arial" w:hAnsi="Arial"/>
          <w:sz w:val="20"/>
          <w:szCs w:val="20"/>
          <w:b w:val="1"/>
          <w:bCs w:val="1"/>
          <w:u w:val="single" w:color="auto"/>
          <w:color w:val="auto"/>
        </w:rPr>
        <w:t>Acknowledgment</w:t>
      </w:r>
      <w:r>
        <w:rPr>
          <w:rFonts w:ascii="Arial" w:cs="Arial" w:eastAsia="Arial" w:hAnsi="Arial"/>
          <w:sz w:val="20"/>
          <w:szCs w:val="20"/>
          <w:color w:val="auto"/>
        </w:rPr>
        <w:t>. Executive acknowledges that Executive has had the opportunity to discuss this matter with</w:t>
      </w:r>
      <w:r>
        <w:rPr>
          <w:rFonts w:ascii="Arial" w:cs="Arial" w:eastAsia="Arial" w:hAnsi="Arial"/>
          <w:sz w:val="20"/>
          <w:szCs w:val="20"/>
          <w:b w:val="1"/>
          <w:bCs w:val="1"/>
          <w:color w:val="auto"/>
        </w:rPr>
        <w:t xml:space="preserve"> </w:t>
      </w:r>
      <w:r>
        <w:rPr>
          <w:rFonts w:ascii="Arial" w:cs="Arial" w:eastAsia="Arial" w:hAnsi="Arial"/>
          <w:sz w:val="20"/>
          <w:szCs w:val="20"/>
          <w:color w:val="auto"/>
        </w:rPr>
        <w:t>and obtain advice from Executive’s personal attorney, has had sufficient time to, and has carefully read and fully understood all the provisions of this Agreement, and is knowingly and voluntarily entering into this Agreement.</w:t>
      </w:r>
    </w:p>
    <w:p>
      <w:pPr>
        <w:spacing w:after="0" w:line="131" w:lineRule="exact"/>
        <w:rPr>
          <w:rFonts w:ascii="Arial" w:cs="Arial" w:eastAsia="Arial" w:hAnsi="Arial"/>
          <w:sz w:val="20"/>
          <w:szCs w:val="20"/>
          <w:color w:val="auto"/>
        </w:rPr>
      </w:pPr>
    </w:p>
    <w:p>
      <w:pPr>
        <w:jc w:val="both"/>
        <w:ind w:left="320" w:hanging="320"/>
        <w:spacing w:after="0" w:line="278" w:lineRule="auto"/>
        <w:tabs>
          <w:tab w:leader="none" w:pos="309" w:val="left"/>
        </w:tabs>
        <w:numPr>
          <w:ilvl w:val="0"/>
          <w:numId w:val="90"/>
        </w:numPr>
        <w:rPr>
          <w:rFonts w:ascii="Arial" w:cs="Arial" w:eastAsia="Arial" w:hAnsi="Arial"/>
          <w:sz w:val="20"/>
          <w:szCs w:val="20"/>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deemed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but all of which together shall constitute one and the same instrument. Execution of a facsimile copy will have the same force and effect as execution of an original, and a facsimile signature will be deemed an original and valid signature.</w:t>
      </w:r>
    </w:p>
    <w:p>
      <w:pPr>
        <w:spacing w:after="0" w:line="149" w:lineRule="exact"/>
        <w:rPr>
          <w:rFonts w:ascii="Arial" w:cs="Arial" w:eastAsia="Arial" w:hAnsi="Arial"/>
          <w:sz w:val="20"/>
          <w:szCs w:val="20"/>
          <w:color w:val="auto"/>
        </w:rPr>
      </w:pPr>
    </w:p>
    <w:p>
      <w:pPr>
        <w:jc w:val="both"/>
        <w:ind w:left="320" w:hanging="320"/>
        <w:spacing w:after="0" w:line="273" w:lineRule="auto"/>
        <w:tabs>
          <w:tab w:leader="none" w:pos="308" w:val="left"/>
        </w:tabs>
        <w:numPr>
          <w:ilvl w:val="0"/>
          <w:numId w:val="90"/>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may, in its sole discretion, decide to deliver any documents or notices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letter, securities of the Company or any of its affiliates or any other matter, including documents and/or notices required to be delivered to Executive by applicable securities law or any other law or the Company’s Certificate of Incorporation or Bylaws by email or any other electronic means. Executive hereby consents to (i)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w:t>
      </w:r>
    </w:p>
    <w:p>
      <w:pPr>
        <w:spacing w:after="0" w:line="184" w:lineRule="exact"/>
        <w:rPr>
          <w:sz w:val="20"/>
          <w:szCs w:val="20"/>
          <w:color w:val="auto"/>
        </w:rPr>
      </w:pPr>
    </w:p>
    <w:p>
      <w:pPr>
        <w:ind w:left="3540"/>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260"/>
          </w:cols>
          <w:pgMar w:left="1300" w:top="1440" w:right="339" w:bottom="1440" w:gutter="0" w:footer="0" w:header="0"/>
        </w:sectPr>
      </w:pPr>
    </w:p>
    <w:bookmarkStart w:id="102" w:name="page103"/>
    <w:bookmarkEnd w:id="102"/>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Vivek Garipalli</w:t>
      </w:r>
      <w:r>
        <w:rPr>
          <w:rFonts w:ascii="Arial" w:cs="Arial" w:eastAsia="Arial" w:hAnsi="Arial"/>
          <w:sz w:val="18"/>
          <w:szCs w:val="18"/>
          <w:color w:val="auto"/>
        </w:rPr>
        <w:t xml:space="preserve"> ___________</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Vivek Garipalli, CEO &amp; Co-Founder</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to and Accepted by: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Aric Sharp</w:t>
      </w:r>
      <w:r>
        <w:rPr>
          <w:rFonts w:ascii="Arial" w:cs="Arial" w:eastAsia="Arial" w:hAnsi="Arial"/>
          <w:sz w:val="20"/>
          <w:szCs w:val="20"/>
          <w:color w:val="auto"/>
        </w:rPr>
        <w:t>______________</w:t>
      </w:r>
    </w:p>
    <w:p>
      <w:pPr>
        <w:spacing w:after="0"/>
        <w:rPr>
          <w:sz w:val="20"/>
          <w:szCs w:val="20"/>
          <w:color w:val="auto"/>
        </w:rPr>
      </w:pPr>
      <w:r>
        <w:rPr>
          <w:rFonts w:ascii="Arial" w:cs="Arial" w:eastAsia="Arial" w:hAnsi="Arial"/>
          <w:sz w:val="20"/>
          <w:szCs w:val="20"/>
          <w:color w:val="auto"/>
        </w:rPr>
        <w:t>Aric Sharp</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highlight w:val="black"/>
        </w:rPr>
        <w:t>_______________________________</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highlight w:val="black"/>
        </w:rPr>
        <w:t>_______________________________</w:t>
      </w:r>
    </w:p>
    <w:p>
      <w:pPr>
        <w:spacing w:after="0"/>
        <w:rPr>
          <w:sz w:val="20"/>
          <w:szCs w:val="20"/>
          <w:color w:val="auto"/>
        </w:rPr>
      </w:pPr>
      <w:r>
        <w:rPr>
          <w:rFonts w:ascii="Arial" w:cs="Arial" w:eastAsia="Arial" w:hAnsi="Arial"/>
          <w:sz w:val="20"/>
          <w:szCs w:val="20"/>
          <w:color w:val="auto"/>
          <w:highlight w:val="white"/>
        </w:rPr>
        <w:t>Address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Date: 3/28/2022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16"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ATTACHMENT A</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SEPARATION AGREEMENT AND RELEASE</w:t>
      </w:r>
    </w:p>
    <w:p>
      <w:pPr>
        <w:spacing w:after="0" w:line="226" w:lineRule="exact"/>
        <w:rPr>
          <w:sz w:val="20"/>
          <w:szCs w:val="20"/>
          <w:color w:val="auto"/>
        </w:rPr>
      </w:pPr>
    </w:p>
    <w:p>
      <w:pPr>
        <w:ind w:left="80" w:right="480" w:firstLine="648"/>
        <w:spacing w:after="0" w:line="218" w:lineRule="auto"/>
        <w:rPr>
          <w:sz w:val="20"/>
          <w:szCs w:val="20"/>
          <w:color w:val="auto"/>
        </w:rPr>
      </w:pPr>
      <w:r>
        <w:rPr>
          <w:rFonts w:ascii="Arial" w:cs="Arial" w:eastAsia="Arial" w:hAnsi="Arial"/>
          <w:sz w:val="22"/>
          <w:szCs w:val="22"/>
          <w:color w:val="auto"/>
        </w:rPr>
        <w:t>This Confidential Separation and Release Agreement (“Agreement”) sets forth the agreement reached concerning the separation of [EMPLOYEE NAME] (herein referred to as “you,” “your” or similar words, as the context requires) from employment with [ENTITY NAME] and/or its affiliates (collectively, the “Company”).</w:t>
      </w:r>
    </w:p>
    <w:p>
      <w:pPr>
        <w:spacing w:after="0" w:line="188" w:lineRule="exact"/>
        <w:rPr>
          <w:sz w:val="20"/>
          <w:szCs w:val="20"/>
          <w:color w:val="auto"/>
        </w:rPr>
      </w:pPr>
    </w:p>
    <w:p>
      <w:pPr>
        <w:ind w:left="80" w:firstLine="648"/>
        <w:spacing w:after="0" w:line="232" w:lineRule="auto"/>
        <w:rPr>
          <w:sz w:val="20"/>
          <w:szCs w:val="20"/>
          <w:color w:val="auto"/>
        </w:rPr>
      </w:pPr>
      <w:r>
        <w:rPr>
          <w:rFonts w:ascii="Arial" w:cs="Arial" w:eastAsia="Arial" w:hAnsi="Arial"/>
          <w:sz w:val="22"/>
          <w:szCs w:val="22"/>
          <w:color w:val="auto"/>
        </w:rPr>
        <w:t>WHEREAS, your employment with the Company is ending effective [DATE], (the “Separation Date”), and thereafter you no longer will be employed with the Company; and</w:t>
      </w:r>
    </w:p>
    <w:p>
      <w:pPr>
        <w:spacing w:after="0" w:line="253" w:lineRule="exact"/>
        <w:rPr>
          <w:sz w:val="20"/>
          <w:szCs w:val="20"/>
          <w:color w:val="auto"/>
        </w:rPr>
      </w:pPr>
    </w:p>
    <w:p>
      <w:pPr>
        <w:jc w:val="both"/>
        <w:ind w:left="80" w:right="620" w:firstLine="638"/>
        <w:spacing w:after="0" w:line="386" w:lineRule="auto"/>
        <w:rPr>
          <w:sz w:val="20"/>
          <w:szCs w:val="20"/>
          <w:color w:val="auto"/>
        </w:rPr>
      </w:pPr>
      <w:r>
        <w:rPr>
          <w:rFonts w:ascii="Arial" w:cs="Arial" w:eastAsia="Arial" w:hAnsi="Arial"/>
          <w:sz w:val="19"/>
          <w:szCs w:val="19"/>
          <w:color w:val="auto"/>
        </w:rPr>
        <w:t>WHEREAS, you and the Company desire to end your employment relationship amicably, and settle, compromise and resolve any and all claims and disputes, whether known or unknown, which you may have against the Company at any time up to and including the date you sign this Agreement;</w:t>
      </w:r>
    </w:p>
    <w:p>
      <w:pPr>
        <w:spacing w:after="0" w:line="107" w:lineRule="exact"/>
        <w:rPr>
          <w:sz w:val="20"/>
          <w:szCs w:val="20"/>
          <w:color w:val="auto"/>
        </w:rPr>
      </w:pPr>
    </w:p>
    <w:p>
      <w:pPr>
        <w:ind w:left="740"/>
        <w:spacing w:after="0"/>
        <w:rPr>
          <w:sz w:val="20"/>
          <w:szCs w:val="20"/>
          <w:color w:val="auto"/>
        </w:rPr>
      </w:pPr>
      <w:r>
        <w:rPr>
          <w:rFonts w:ascii="Arial" w:cs="Arial" w:eastAsia="Arial" w:hAnsi="Arial"/>
          <w:sz w:val="19"/>
          <w:szCs w:val="19"/>
          <w:color w:val="auto"/>
        </w:rPr>
        <w:t>NOW, THEREFORE, in consideration of the mutual promises contained in this Agreement, you and the</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22"/>
          <w:szCs w:val="22"/>
          <w:color w:val="auto"/>
        </w:rPr>
        <w:t>Company agree as follows:</w:t>
      </w:r>
    </w:p>
    <w:p>
      <w:pPr>
        <w:spacing w:after="0" w:line="256" w:lineRule="exact"/>
        <w:rPr>
          <w:sz w:val="20"/>
          <w:szCs w:val="20"/>
          <w:color w:val="auto"/>
        </w:rPr>
      </w:pPr>
    </w:p>
    <w:p>
      <w:pPr>
        <w:jc w:val="both"/>
        <w:ind w:left="80" w:right="80" w:firstLine="651"/>
        <w:spacing w:after="0" w:line="314" w:lineRule="auto"/>
        <w:tabs>
          <w:tab w:leader="none" w:pos="137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Consideration for Execution of this Agreement.</w:t>
      </w:r>
      <w:r>
        <w:rPr>
          <w:rFonts w:ascii="Arial" w:cs="Arial" w:eastAsia="Arial" w:hAnsi="Arial"/>
          <w:sz w:val="22"/>
          <w:szCs w:val="22"/>
          <w:color w:val="auto"/>
        </w:rPr>
        <w:t xml:space="preserve"> As consideration for your promises and obligations under this Agreement, the Company will provide you with the following consideration to which you are not otherwise entitled, provided you sign this Agreement within twenty one (21) days of receipt but not before your actual Separation Date:</w:t>
      </w:r>
    </w:p>
    <w:p>
      <w:pPr>
        <w:spacing w:after="0" w:line="215" w:lineRule="exact"/>
        <w:rPr>
          <w:rFonts w:ascii="Arial" w:cs="Arial" w:eastAsia="Arial" w:hAnsi="Arial"/>
          <w:sz w:val="22"/>
          <w:szCs w:val="22"/>
          <w:color w:val="auto"/>
        </w:rPr>
      </w:pPr>
    </w:p>
    <w:p>
      <w:pPr>
        <w:jc w:val="both"/>
        <w:ind w:left="1400" w:right="80" w:hanging="332"/>
        <w:spacing w:after="0" w:line="312" w:lineRule="auto"/>
        <w:tabs>
          <w:tab w:leader="none" w:pos="1400"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The Company will pay you an amount equivalent to [ ] ([ ]) weeks of your regular base salary, in the gross amount of [ ] ($[ ]), less applicable taxes and withholdings (the “Severance Payment”). The Severance Payment will be paid in a one-time, lump sum payment and payable upon the next regularly scheduled Company payroll date after your signed Agreement is received by the Company.</w:t>
      </w:r>
    </w:p>
    <w:p>
      <w:pPr>
        <w:spacing w:after="0" w:line="219" w:lineRule="exact"/>
        <w:rPr>
          <w:sz w:val="20"/>
          <w:szCs w:val="20"/>
          <w:color w:val="auto"/>
        </w:rPr>
      </w:pPr>
    </w:p>
    <w:p>
      <w:pPr>
        <w:ind w:right="480"/>
        <w:spacing w:after="0" w:line="314" w:lineRule="auto"/>
        <w:rPr>
          <w:sz w:val="20"/>
          <w:szCs w:val="20"/>
          <w:color w:val="auto"/>
        </w:rPr>
      </w:pPr>
      <w:r>
        <w:rPr>
          <w:rFonts w:ascii="Arial" w:cs="Arial" w:eastAsia="Arial" w:hAnsi="Arial"/>
          <w:sz w:val="22"/>
          <w:szCs w:val="22"/>
          <w:color w:val="auto"/>
        </w:rPr>
        <w:t>You acknowledge and agree that you would not be otherwise entitled to any of the above consideration but for your signing this Agreement and adhering to its terms and conditions.</w:t>
      </w:r>
    </w:p>
    <w:p>
      <w:pPr>
        <w:spacing w:after="0" w:line="216" w:lineRule="exact"/>
        <w:rPr>
          <w:sz w:val="20"/>
          <w:szCs w:val="20"/>
          <w:color w:val="auto"/>
        </w:rPr>
      </w:pPr>
    </w:p>
    <w:p>
      <w:pPr>
        <w:jc w:val="both"/>
        <w:ind w:left="80" w:right="80" w:firstLine="651"/>
        <w:spacing w:after="0" w:line="371" w:lineRule="auto"/>
        <w:tabs>
          <w:tab w:leader="none" w:pos="1376"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General Release of Claims.</w:t>
      </w:r>
      <w:r>
        <w:rPr>
          <w:rFonts w:ascii="Arial" w:cs="Arial" w:eastAsia="Arial" w:hAnsi="Arial"/>
          <w:sz w:val="19"/>
          <w:szCs w:val="19"/>
          <w:color w:val="auto"/>
        </w:rPr>
        <w:t xml:space="preserve"> You agree to release and forever discharge the Company, the Company’s affiliates, subsidiaries, parents, predecessors, successors and assigns, and the officers, directors, shareholders, agents, employees, counsel and insurers of each of them (together, the “Released Parties”) from any and all claims you may have or have had against any of the Released Parties arising prior to or on the dates you execute this Agreement, including without limitation any and all claims arising out of your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020"/>
          </w:cols>
          <w:pgMar w:left="880" w:top="1440" w:right="999" w:bottom="1440" w:gutter="0" w:footer="0" w:header="0"/>
        </w:sectPr>
      </w:pPr>
    </w:p>
    <w:bookmarkStart w:id="104" w:name="page105"/>
    <w:bookmarkEnd w:id="104"/>
    <w:p>
      <w:pPr>
        <w:jc w:val="both"/>
        <w:spacing w:after="0" w:line="364" w:lineRule="auto"/>
        <w:rPr>
          <w:sz w:val="20"/>
          <w:szCs w:val="20"/>
          <w:color w:val="auto"/>
        </w:rPr>
      </w:pPr>
      <w:r>
        <w:rPr>
          <w:rFonts w:ascii="Arial" w:cs="Arial" w:eastAsia="Arial" w:hAnsi="Arial"/>
          <w:sz w:val="19"/>
          <w:szCs w:val="19"/>
          <w:color w:val="auto"/>
        </w:rPr>
        <w:t>with the Company and/or the termination of that employment. You understand and agree that this release is intended to waive all claims of every kind and nature, whether known or unknown, actual or contingent, asserted or unasserted, arising under common law, statutory law or otherwise. This release includes any and all causes of actions or claims you have had, now have, or may have up to the dates you execute this Agreement including, without limitation, any claims arising pursuant to the Age Discrimination in Employment Act (“ADEA”), Title VII of the Civil Rights Act, the Family and Medical Leave Act, and the Americans with Disabilities Act, and common, federal, state, and local laws, regulations, rules, and ordinances. You also waive any claim to reinstatement or re-employment with the Company following your Separation Date.</w:t>
      </w:r>
    </w:p>
    <w:p>
      <w:pPr>
        <w:spacing w:after="0" w:line="184"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19"/>
          <w:szCs w:val="19"/>
          <w:color w:val="auto"/>
        </w:rPr>
        <w:t>You expressly acknowledge and represent that you have received all wages, benefits, compensation, reimbursements, vacation and paid time off, or any other remuneration to which you were entitled as an employee of the Company and are not currently aware of any facts or circumstances constituting a claim or cause of action you could bring for violation of the Fair Labor Standards Act (“FLSA”) or any other federal, state or local constitution, statute, rule, regulation, or common law that applies to your employment relationship. You expressly acknowledge and represent that no one has interfered with your ability to report possible violations of any law and it is Released Parties’ policy to encourage such reporting. You further acknowledge and represent that you have not suffered any on-the-job injury for which you have not already filed a claim, and the end of your employment is not related to any such injury.</w:t>
      </w:r>
    </w:p>
    <w:p>
      <w:pPr>
        <w:spacing w:after="0" w:line="185"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21"/>
          <w:szCs w:val="21"/>
          <w:color w:val="auto"/>
        </w:rPr>
        <w:t>No claim of any sort is exempt from the above release, except claims that the law does not allow you to waive by signing this Agreement, such as claims for workers’ compensation benefits (but it does apply to, waive and affect claims of discrimination and/or retaliation on the basis of having made a workers’ compensation claim), claims for unemployment benefits, or your rights to any vested benefits to which you are entitled under the terms of the applicable employee benefit plan. For the purpose of implementing a full and complete release, you expressly acknowledge that the release given in this Agreement is intended to include, without limitation, claims that you did not know or suspect to exist in your favor at the time of the date of your execution of this Agreement, regardless of whether the knowledge of such claims, or the facts upon with which they might be based, would have materially affected the settlement of this matter; and that the consideration provided under this Agreement was also for the release of those claims and contemplates the extinguishment of any such unknown claims.</w:t>
      </w:r>
    </w:p>
    <w:p>
      <w:pPr>
        <w:sectPr>
          <w:pgSz w:w="11900" w:h="16838" w:orient="portrait"/>
          <w:cols w:equalWidth="0" w:num="1">
            <w:col w:w="9860"/>
          </w:cols>
          <w:pgMar w:left="960" w:top="1401" w:right="1079" w:bottom="1440" w:gutter="0" w:footer="0" w:header="0"/>
        </w:sectPr>
      </w:pPr>
    </w:p>
    <w:bookmarkStart w:id="105" w:name="page106"/>
    <w:bookmarkEnd w:id="105"/>
    <w:p>
      <w:pPr>
        <w:spacing w:after="0" w:line="204" w:lineRule="exact"/>
        <w:rPr>
          <w:sz w:val="20"/>
          <w:szCs w:val="20"/>
          <w:color w:val="auto"/>
        </w:rPr>
      </w:pPr>
    </w:p>
    <w:p>
      <w:pPr>
        <w:jc w:val="both"/>
        <w:ind w:left="-480" w:firstLine="651"/>
        <w:spacing w:after="0" w:line="317" w:lineRule="auto"/>
        <w:tabs>
          <w:tab w:leader="none" w:pos="816"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Older Workers’ Benefit Protection Act</w:t>
      </w:r>
      <w:r>
        <w:rPr>
          <w:rFonts w:ascii="Arial" w:cs="Arial" w:eastAsia="Arial" w:hAnsi="Arial"/>
          <w:sz w:val="22"/>
          <w:szCs w:val="22"/>
          <w:color w:val="auto"/>
        </w:rPr>
        <w:t>. This Agreement is intended to satisfy the requirements of the Older Workers’ Benefit Protection Act, 29 U.S.C. sec. 626(f). You are advised to consult with an attorney before executing this Agreement.</w:t>
      </w:r>
    </w:p>
    <w:p>
      <w:pPr>
        <w:spacing w:after="0" w:line="226" w:lineRule="exact"/>
        <w:rPr>
          <w:rFonts w:ascii="Arial" w:cs="Arial" w:eastAsia="Arial" w:hAnsi="Arial"/>
          <w:sz w:val="22"/>
          <w:szCs w:val="22"/>
          <w:color w:val="auto"/>
        </w:rPr>
      </w:pPr>
    </w:p>
    <w:p>
      <w:pPr>
        <w:jc w:val="both"/>
        <w:ind w:left="840" w:hanging="332"/>
        <w:spacing w:after="0" w:line="327" w:lineRule="auto"/>
        <w:tabs>
          <w:tab w:leader="none" w:pos="828" w:val="left"/>
        </w:tabs>
        <w:numPr>
          <w:ilvl w:val="1"/>
          <w:numId w:val="93"/>
        </w:numPr>
        <w:rPr>
          <w:rFonts w:ascii="Arial" w:cs="Arial" w:eastAsia="Arial" w:hAnsi="Arial"/>
          <w:sz w:val="21"/>
          <w:szCs w:val="21"/>
          <w:color w:val="auto"/>
        </w:rPr>
      </w:pPr>
      <w:r>
        <w:rPr>
          <w:rFonts w:ascii="Arial" w:cs="Arial" w:eastAsia="Arial" w:hAnsi="Arial"/>
          <w:sz w:val="21"/>
          <w:szCs w:val="21"/>
          <w:u w:val="single" w:color="auto"/>
          <w:color w:val="auto"/>
        </w:rPr>
        <w:t>Acknowledgments/Time to Consider</w:t>
      </w:r>
      <w:r>
        <w:rPr>
          <w:rFonts w:ascii="Arial" w:cs="Arial" w:eastAsia="Arial" w:hAnsi="Arial"/>
          <w:sz w:val="21"/>
          <w:szCs w:val="21"/>
          <w:color w:val="auto"/>
        </w:rPr>
        <w:t>. You acknowledge and agree that (a) you have read and understand the terms of this Agreement; (b) you have been advised in writing to consult with an attorney before executing this Agreement; (c) you have had the opportunity to obtain and consider such legal counsel as you deem necessary; (d) you have been given twenty-one (21) days to consider whether or not to enter into this Agreement (although you may elect not to use the full 21- day period at your option); and (e) by signing this Agreement, you acknowledge that you do so freely, knowingly, and voluntarily.</w:t>
      </w:r>
    </w:p>
    <w:p>
      <w:pPr>
        <w:spacing w:after="0" w:line="208" w:lineRule="exact"/>
        <w:rPr>
          <w:sz w:val="20"/>
          <w:szCs w:val="20"/>
          <w:color w:val="auto"/>
        </w:rPr>
      </w:pPr>
    </w:p>
    <w:p>
      <w:pPr>
        <w:ind w:left="840" w:right="20" w:hanging="332"/>
        <w:spacing w:after="0" w:line="307" w:lineRule="auto"/>
        <w:tabs>
          <w:tab w:leader="none" w:pos="828"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Revocation/Effective Date</w:t>
      </w:r>
      <w:r>
        <w:rPr>
          <w:rFonts w:ascii="Arial" w:cs="Arial" w:eastAsia="Arial" w:hAnsi="Arial"/>
          <w:sz w:val="22"/>
          <w:szCs w:val="22"/>
          <w:color w:val="auto"/>
        </w:rPr>
        <w:t>. This Agreement shall not become effective or enforceable until the eighth day after you sign this Agreement. In other words,</w:t>
      </w:r>
    </w:p>
    <w:p>
      <w:pPr>
        <w:jc w:val="both"/>
        <w:ind w:left="840"/>
        <w:spacing w:after="0" w:line="311" w:lineRule="auto"/>
        <w:rPr>
          <w:rFonts w:ascii="Arial" w:cs="Arial" w:eastAsia="Arial" w:hAnsi="Arial"/>
          <w:sz w:val="22"/>
          <w:szCs w:val="22"/>
          <w:color w:val="auto"/>
        </w:rPr>
      </w:pPr>
      <w:r>
        <w:rPr>
          <w:rFonts w:ascii="Arial" w:cs="Arial" w:eastAsia="Arial" w:hAnsi="Arial"/>
          <w:sz w:val="22"/>
          <w:szCs w:val="22"/>
          <w:color w:val="auto"/>
        </w:rPr>
        <w:t>you may revoke your acceptance of this Agreement within seven (7) days after the date you sign it. Your revocation must be in writing and sent via email to the Company’s Chief People Officer, Rachel Fish, at email address rachel.fish@cloverhealth.com by the end of the seventh day in order to be effective. If you do not revoke acceptance within the seven (7) day period, your acceptance of this Agreement shall become binding and enforceable on the eighth day after you signed it (“Effective Date”).</w:t>
      </w:r>
    </w:p>
    <w:p>
      <w:pPr>
        <w:spacing w:after="0" w:line="220" w:lineRule="exact"/>
        <w:rPr>
          <w:sz w:val="20"/>
          <w:szCs w:val="20"/>
          <w:color w:val="auto"/>
        </w:rPr>
      </w:pPr>
    </w:p>
    <w:p>
      <w:pPr>
        <w:jc w:val="both"/>
        <w:ind w:left="840" w:right="20" w:hanging="332"/>
        <w:spacing w:after="0" w:line="312" w:lineRule="auto"/>
        <w:tabs>
          <w:tab w:leader="none" w:pos="840"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Preserved Rights</w:t>
      </w:r>
      <w:r>
        <w:rPr>
          <w:rFonts w:ascii="Arial" w:cs="Arial" w:eastAsia="Arial" w:hAnsi="Arial"/>
          <w:sz w:val="22"/>
          <w:szCs w:val="22"/>
          <w:color w:val="auto"/>
        </w:rPr>
        <w:t>. This Agreement does not waive or release any rights or claims that you may have under the Age Discrimination in Employment Act that arise after dates that you execute this Agreement. In addition, this Agreement does not prohibit you from challenging the validity of this Agreement’s waiver and release of claims under the Age Discrimination in Employment Act of 1967, as amended.</w:t>
      </w:r>
    </w:p>
    <w:p>
      <w:pPr>
        <w:spacing w:after="0" w:line="232" w:lineRule="exact"/>
        <w:rPr>
          <w:rFonts w:ascii="Arial" w:cs="Arial" w:eastAsia="Arial" w:hAnsi="Arial"/>
          <w:sz w:val="22"/>
          <w:szCs w:val="22"/>
          <w:color w:val="auto"/>
        </w:rPr>
      </w:pPr>
    </w:p>
    <w:p>
      <w:pPr>
        <w:jc w:val="both"/>
        <w:ind w:left="-480" w:firstLine="641"/>
        <w:spacing w:after="0" w:line="312" w:lineRule="auto"/>
        <w:tabs>
          <w:tab w:leader="none" w:pos="82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xml:space="preserve"> You agree and acknowledge that, notwithstanding anything stated in this Agreement, you shall remain bound by the terms of any other agreement relating to noncompetition, non-solicitation, confidentiality, intellectual property, or inventions that you executed prior to commencing employment with the Company, or during your employment with the Company, and any Company policies concerning non-</w:t>
      </w:r>
    </w:p>
    <w:p>
      <w:pPr>
        <w:sectPr>
          <w:pgSz w:w="11900" w:h="16838" w:orient="portrait"/>
          <w:cols w:equalWidth="0" w:num="1">
            <w:col w:w="9380"/>
          </w:cols>
          <w:pgMar w:left="1440" w:top="1440" w:right="1079" w:bottom="1440" w:gutter="0" w:footer="0" w:header="0"/>
        </w:sectPr>
      </w:pPr>
    </w:p>
    <w:bookmarkStart w:id="106" w:name="page107"/>
    <w:bookmarkEnd w:id="106"/>
    <w:p>
      <w:pPr>
        <w:ind w:right="60"/>
        <w:spacing w:after="0" w:line="327" w:lineRule="auto"/>
        <w:rPr>
          <w:sz w:val="20"/>
          <w:szCs w:val="20"/>
          <w:color w:val="auto"/>
        </w:rPr>
      </w:pPr>
      <w:r>
        <w:rPr>
          <w:rFonts w:ascii="Arial" w:cs="Arial" w:eastAsia="Arial" w:hAnsi="Arial"/>
          <w:sz w:val="22"/>
          <w:szCs w:val="22"/>
          <w:color w:val="auto"/>
        </w:rPr>
        <w:t>competition, non- solicitation, confidentiality, intellectual property, or inventions that were in force at the time of your separation.</w:t>
      </w:r>
    </w:p>
    <w:p>
      <w:pPr>
        <w:spacing w:after="0" w:line="196" w:lineRule="exact"/>
        <w:rPr>
          <w:sz w:val="20"/>
          <w:szCs w:val="20"/>
          <w:color w:val="auto"/>
        </w:rPr>
      </w:pPr>
    </w:p>
    <w:p>
      <w:pPr>
        <w:jc w:val="both"/>
        <w:ind w:left="1300" w:hanging="321"/>
        <w:spacing w:after="0" w:line="361" w:lineRule="auto"/>
        <w:tabs>
          <w:tab w:leader="none" w:pos="1300"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Non-Litigation Covenant</w:t>
      </w:r>
      <w:r>
        <w:rPr>
          <w:rFonts w:ascii="Arial" w:cs="Arial" w:eastAsia="Arial" w:hAnsi="Arial"/>
          <w:sz w:val="19"/>
          <w:szCs w:val="19"/>
          <w:b w:val="1"/>
          <w:bCs w:val="1"/>
          <w:color w:val="auto"/>
        </w:rPr>
        <w:t>.</w:t>
      </w:r>
      <w:r>
        <w:rPr>
          <w:rFonts w:ascii="Arial" w:cs="Arial" w:eastAsia="Arial" w:hAnsi="Arial"/>
          <w:sz w:val="19"/>
          <w:szCs w:val="19"/>
          <w:color w:val="auto"/>
        </w:rPr>
        <w:t xml:space="preserve"> You further agree not to sue Company or any Releasee with regard to any claim released in Section 2 of this Agreement. You understand that the provisions of this Agreement shall not be construed as preventing you from filing a charge with or cooperating or participating in any investigation or proceeding conducted by any governmental agency, only to the extent you are permitted to do so by law, notwithstanding any provisions of any agreement to the contrary. Both parties acknowledge that this Agreement does not limit your right to communicate with governmental agencies, including filing or participating in an investigative proceeding. Such communication, whether initiated by you or an agency, is not limited by this Agreement. However, you expressly release, waive, and disclaim any right to personal compensation or other benefit, including cost and attorneys’ fees, that may otherwise inure to you as a result of you filing any such charge with a government agency. You understand that the provisions of this paragraph mean that you cannot bring a personal, collective or class action lawsuit or arbitration in any forum against the Releasees for any reason for claims you may have as of the date of this Agreement.</w:t>
      </w:r>
    </w:p>
    <w:p>
      <w:pPr>
        <w:spacing w:after="0" w:line="202" w:lineRule="exact"/>
        <w:rPr>
          <w:rFonts w:ascii="Arial" w:cs="Arial" w:eastAsia="Arial" w:hAnsi="Arial"/>
          <w:sz w:val="19"/>
          <w:szCs w:val="19"/>
          <w:color w:val="auto"/>
        </w:rPr>
      </w:pPr>
    </w:p>
    <w:p>
      <w:pPr>
        <w:jc w:val="both"/>
        <w:ind w:left="1300" w:hanging="321"/>
        <w:spacing w:after="0" w:line="364" w:lineRule="auto"/>
        <w:tabs>
          <w:tab w:leader="none" w:pos="1300"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Waiver of Relator Recovery.</w:t>
      </w:r>
      <w:r>
        <w:rPr>
          <w:rFonts w:ascii="Arial" w:cs="Arial" w:eastAsia="Arial" w:hAnsi="Arial"/>
          <w:sz w:val="19"/>
          <w:szCs w:val="19"/>
          <w:color w:val="auto"/>
        </w:rPr>
        <w:t xml:space="preserve"> To the fullest extent permitted by law, you further agree to release, waive, and forever discharge your right to any portion of any settlement, judgment, or other recovery as a Relator under the </w:t>
      </w:r>
      <w:r>
        <w:rPr>
          <w:rFonts w:ascii="Arial" w:cs="Arial" w:eastAsia="Arial" w:hAnsi="Arial"/>
          <w:sz w:val="19"/>
          <w:szCs w:val="19"/>
          <w:i w:val="1"/>
          <w:iCs w:val="1"/>
          <w:color w:val="auto"/>
        </w:rPr>
        <w:t>qui tam</w:t>
      </w:r>
      <w:r>
        <w:rPr>
          <w:rFonts w:ascii="Arial" w:cs="Arial" w:eastAsia="Arial" w:hAnsi="Arial"/>
          <w:sz w:val="19"/>
          <w:szCs w:val="19"/>
          <w:color w:val="auto"/>
        </w:rPr>
        <w:t xml:space="preserve"> provisions of the False Claims Act, 31 U.S.C. § 3730, or analogous state false claims acts, in any lawsuit arising from, or in any way related to, any transactions or occurrences involving Company, and other companies Company dealt with, their affiliated or related entities through common identity of ownership (in whole or in part) from the beginning of time until the present, including but not limited to, any right to receive expenses, attorneys’ fees, and costs under 31 U.S.C. § 3730(d) or analogous state laws.</w:t>
      </w:r>
    </w:p>
    <w:p>
      <w:pPr>
        <w:spacing w:after="0" w:line="184" w:lineRule="exact"/>
        <w:rPr>
          <w:rFonts w:ascii="Arial" w:cs="Arial" w:eastAsia="Arial" w:hAnsi="Arial"/>
          <w:sz w:val="19"/>
          <w:szCs w:val="19"/>
          <w:color w:val="auto"/>
        </w:rPr>
      </w:pPr>
    </w:p>
    <w:p>
      <w:pPr>
        <w:jc w:val="both"/>
        <w:ind w:left="-80" w:right="20" w:firstLine="644"/>
        <w:spacing w:after="0" w:line="314" w:lineRule="auto"/>
        <w:tabs>
          <w:tab w:leader="none" w:pos="1302"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xml:space="preserve"> You acknowledge that during your employment you have learned Confidential Information relating to the business conducted and to be conducted by the Company. You agree that you have not and will not disclose or use or authorize any third party to disclose or use any such Confidential Information, without prior written approval</w:t>
      </w:r>
    </w:p>
    <w:p>
      <w:pPr>
        <w:sectPr>
          <w:pgSz w:w="11900" w:h="16838" w:orient="portrait"/>
          <w:cols w:equalWidth="0" w:num="1">
            <w:col w:w="9920"/>
          </w:cols>
          <w:pgMar w:left="960" w:top="1401" w:right="1019" w:bottom="1440" w:gutter="0" w:footer="0" w:header="0"/>
        </w:sectPr>
      </w:pPr>
    </w:p>
    <w:bookmarkStart w:id="107" w:name="page108"/>
    <w:bookmarkEnd w:id="107"/>
    <w:p>
      <w:pPr>
        <w:jc w:val="both"/>
        <w:spacing w:after="0" w:line="325" w:lineRule="auto"/>
        <w:rPr>
          <w:sz w:val="20"/>
          <w:szCs w:val="20"/>
          <w:color w:val="auto"/>
        </w:rPr>
      </w:pPr>
      <w:r>
        <w:rPr>
          <w:rFonts w:ascii="Arial" w:cs="Arial" w:eastAsia="Arial" w:hAnsi="Arial"/>
          <w:sz w:val="21"/>
          <w:szCs w:val="21"/>
          <w:color w:val="auto"/>
        </w:rPr>
        <w:t>of the Company. As used in this Agreement, “Confidential Information” means all information belonging to the Company or provided to the Company by a customer that is not known generally to the public or the Company’s competitors and includes all trade secrets, client lists and information related to client files, know-how, show-how, technical, operating, financial, and other business information and materials. Confidential Information shall not, however, include any general know-how or skills that you possess whether obtained through your employment at the Company or elsewhere. Confidential Information also does not include information that (i) is publicly known or becomes publicly known through no fault of yours, or (ii) is generally or readily obtainable by the public. You understand that your obligations related to Confidential Information are in addition to, and not in lieu of, your obligations with regard to the protection of the Company’s trade secrets under the law governing misappropriation of the Company’s trade secrets, and any other agreements you may have with the Company of similar subject matter.</w:t>
      </w:r>
    </w:p>
    <w:p>
      <w:pPr>
        <w:spacing w:after="0" w:line="223" w:lineRule="exact"/>
        <w:rPr>
          <w:sz w:val="20"/>
          <w:szCs w:val="20"/>
          <w:color w:val="auto"/>
        </w:rPr>
      </w:pPr>
    </w:p>
    <w:p>
      <w:pPr>
        <w:jc w:val="both"/>
        <w:ind w:right="40" w:firstLine="661"/>
        <w:spacing w:after="0" w:line="363" w:lineRule="auto"/>
        <w:rPr>
          <w:sz w:val="20"/>
          <w:szCs w:val="20"/>
          <w:color w:val="auto"/>
        </w:rPr>
      </w:pPr>
      <w:r>
        <w:rPr>
          <w:rFonts w:ascii="Arial" w:cs="Arial" w:eastAsia="Arial" w:hAnsi="Arial"/>
          <w:sz w:val="19"/>
          <w:szCs w:val="19"/>
          <w:color w:val="auto"/>
        </w:rPr>
        <w:t>You may not be held criminally or civilly liable under any Federal or State trade secret law for the disclosure of a trade secret that is made: (a) in confidence to a Federal, State, or local government official, either directly or indirectly, or to an attorney, and provided that such disclosure is solely for the purpose of reporting or investigating a suspected violation of the law; or (b) in a complaint or other document filed in a lawsuit or other proceeding, provided that such filing is made under seal. Additionally, in the event you file a lawsuit against the Company for retaliation by the Company against you for reporting a suspected violation of law, you understand that you have the right to provide trade secret information to your attorney and use the trade secret information in the court proceeding, although you must file any document containing the trade secret under seal and you may not disclose the trade secret, except pursuant to court order.</w:t>
      </w:r>
    </w:p>
    <w:p>
      <w:pPr>
        <w:spacing w:after="0" w:line="185" w:lineRule="exact"/>
        <w:rPr>
          <w:sz w:val="20"/>
          <w:szCs w:val="20"/>
          <w:color w:val="auto"/>
        </w:rPr>
      </w:pPr>
    </w:p>
    <w:p>
      <w:pPr>
        <w:jc w:val="both"/>
        <w:ind w:right="180" w:firstLine="648"/>
        <w:spacing w:after="0" w:line="366" w:lineRule="auto"/>
        <w:rPr>
          <w:sz w:val="20"/>
          <w:szCs w:val="20"/>
          <w:color w:val="auto"/>
        </w:rPr>
      </w:pPr>
      <w:r>
        <w:rPr>
          <w:rFonts w:ascii="Arial" w:cs="Arial" w:eastAsia="Arial" w:hAnsi="Arial"/>
          <w:sz w:val="19"/>
          <w:szCs w:val="19"/>
          <w:color w:val="auto"/>
        </w:rPr>
        <w:t>By signing this Agreement, you represent and warrant that you will not and have not disclosed any Confidential Information to a third party, or, except as permitted, consistent with Company policy, with respect to your personal mobile device(s) used for business purposes, sent/downloaded any Confidential Information to your personal email account(s), personal computer(s), personal mobile device(s), and/or external and removable thumb or flash drives. Insofar as you have printed any Confidential Information or sent/downloaded any Confidential Information on your personal mobile device(s), you represent and warrant that you have shredded and/or deleted all such information upon termination of your employment.</w:t>
      </w:r>
    </w:p>
    <w:p>
      <w:pPr>
        <w:sectPr>
          <w:pgSz w:w="11900" w:h="16838" w:orient="portrait"/>
          <w:cols w:equalWidth="0" w:num="1">
            <w:col w:w="9980"/>
          </w:cols>
          <w:pgMar w:left="880" w:top="1401" w:right="1039" w:bottom="1440" w:gutter="0" w:footer="0" w:header="0"/>
        </w:sectPr>
      </w:pPr>
    </w:p>
    <w:bookmarkStart w:id="108" w:name="page109"/>
    <w:bookmarkEnd w:id="108"/>
    <w:p>
      <w:pPr>
        <w:jc w:val="both"/>
        <w:ind w:left="20" w:right="80"/>
        <w:spacing w:after="0" w:line="360" w:lineRule="auto"/>
        <w:rPr>
          <w:sz w:val="20"/>
          <w:szCs w:val="20"/>
          <w:color w:val="auto"/>
        </w:rPr>
      </w:pPr>
      <w:r>
        <w:rPr>
          <w:rFonts w:ascii="Arial" w:cs="Arial" w:eastAsia="Arial" w:hAnsi="Arial"/>
          <w:sz w:val="19"/>
          <w:szCs w:val="19"/>
          <w:b w:val="1"/>
          <w:bCs w:val="1"/>
          <w:color w:val="auto"/>
        </w:rPr>
        <w:t>PROTECTED RIGHTS: Nothing in this Agreement is intended to waive claims: (i) for vested rights under ERISA-covered employee benefit plans as applicable on the date you sign this Agreement; (ii) that may arise after the parties sign this Agreement; or (iii) which cannot be released by private agreement. In addition, nothing in this Agreement including but not limited to the release of claims, cooperation, non-disparagement, covenant not to sue, acknowledgements and representations, shall be construed to waive your right to testify in an administrative, legislative, or judicial proceeding concerning alleged criminal conduct on the part of the Company, or on the part of the agents or employees of the Company, when you have been required or requested to attend such a proceeding pursuant to a court order, subpoena, or written request from an administrative agency or the legislature, or shall prevent you from filing a charge or complaint with or from participating in an investigation or proceeding conducted by the Equal Employment Opportunity Commission (EEOC), National Labor Relations Board (NLRB), or any other any federal, state or local agency charged with the enforcement of any laws, or from exercising rights under Section 7 of the National Labor Relations Act (NLRA) to engage in joint activity with other employee, although by signing this release you are waiving rights to individual relief based on claims asserted in such a charge or complaint, or asserted by any third-party on your behalf, except where such a waiver of individual relief is prohibited.</w:t>
      </w:r>
    </w:p>
    <w:p>
      <w:pPr>
        <w:spacing w:after="0" w:line="200" w:lineRule="exact"/>
        <w:rPr>
          <w:sz w:val="20"/>
          <w:szCs w:val="20"/>
          <w:color w:val="auto"/>
        </w:rPr>
      </w:pPr>
    </w:p>
    <w:p>
      <w:pPr>
        <w:spacing w:after="0" w:line="311" w:lineRule="exact"/>
        <w:rPr>
          <w:sz w:val="20"/>
          <w:szCs w:val="20"/>
          <w:color w:val="auto"/>
        </w:rPr>
      </w:pPr>
    </w:p>
    <w:p>
      <w:pPr>
        <w:jc w:val="both"/>
        <w:spacing w:after="0" w:line="312" w:lineRule="auto"/>
        <w:rPr>
          <w:sz w:val="20"/>
          <w:szCs w:val="20"/>
          <w:color w:val="auto"/>
        </w:rPr>
      </w:pPr>
      <w:r>
        <w:rPr>
          <w:rFonts w:ascii="Arial" w:cs="Arial" w:eastAsia="Arial" w:hAnsi="Arial"/>
          <w:sz w:val="22"/>
          <w:szCs w:val="22"/>
          <w:b w:val="1"/>
          <w:bCs w:val="1"/>
          <w:color w:val="auto"/>
        </w:rPr>
        <w:t>ALTHOUGH THE PARTIES MAY HAVE AGREED TO KEEP THIS AGREEMENT, ITS TERMS AND UNDERLYING DETAILS CONFIDENTIAL, SUCH A PROVISION IS UNENFORCEABLE AS TO THE UNDERLYING DETAILS OF ANY CLAIM OF HARASSMENT, DISCRIMINATION OR RETALIATION AND IS UNENFORCEABLE AGAINST THE EMPLOYER IF THE EMPLOYEE PUBLICLY REVEALS SUFFICIENT DETAILS OF THE CLAIM SO THAT THE EMPLOYER IS REASONABLY IDENTIFIABLE.</w:t>
      </w:r>
    </w:p>
    <w:p>
      <w:pPr>
        <w:spacing w:after="0" w:line="233" w:lineRule="exact"/>
        <w:rPr>
          <w:sz w:val="20"/>
          <w:szCs w:val="20"/>
          <w:color w:val="auto"/>
        </w:rPr>
      </w:pPr>
    </w:p>
    <w:p>
      <w:pPr>
        <w:jc w:val="both"/>
        <w:ind w:left="20" w:right="20" w:firstLine="645"/>
        <w:spacing w:after="0" w:line="327" w:lineRule="auto"/>
        <w:tabs>
          <w:tab w:leader="none" w:pos="1401"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No Recognition of Wrongdoing.</w:t>
      </w:r>
      <w:r>
        <w:rPr>
          <w:rFonts w:ascii="Arial" w:cs="Arial" w:eastAsia="Arial" w:hAnsi="Arial"/>
          <w:sz w:val="21"/>
          <w:szCs w:val="21"/>
          <w:color w:val="auto"/>
        </w:rPr>
        <w:t xml:space="preserve"> The signing of this Agreement and payment of the consideration described in it do not represent any admission of wrongdoing or violation of any statute, agreement, or common law by the Company. You represent that, as of the date(s) you sign this Agreement, you are not aware of and have not engaged in any activity that would constitute wrongful conduct including, but not limited to, fraud, misrepresentation, violation of any federal, state or local law or regulation, or any conduct contrary to existing policies of the Company. You further represent that you have complied with any existing obligations up through the date(s) of your signing this Agreement.</w:t>
      </w:r>
    </w:p>
    <w:p>
      <w:pPr>
        <w:sectPr>
          <w:pgSz w:w="11900" w:h="16838" w:orient="portrait"/>
          <w:cols w:equalWidth="0" w:num="1">
            <w:col w:w="10000"/>
          </w:cols>
          <w:pgMar w:left="860" w:top="1395" w:right="1039" w:bottom="1440" w:gutter="0" w:footer="0" w:header="0"/>
        </w:sectPr>
      </w:pPr>
    </w:p>
    <w:bookmarkStart w:id="109" w:name="page110"/>
    <w:bookmarkEnd w:id="109"/>
    <w:p>
      <w:pPr>
        <w:jc w:val="both"/>
        <w:ind w:left="-560" w:firstLine="645"/>
        <w:spacing w:after="0" w:line="324" w:lineRule="auto"/>
        <w:tabs>
          <w:tab w:leader="none" w:pos="821"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Confidentiality of Agreement</w:t>
      </w:r>
      <w:r>
        <w:rPr>
          <w:rFonts w:ascii="Arial" w:cs="Arial" w:eastAsia="Arial" w:hAnsi="Arial"/>
          <w:sz w:val="21"/>
          <w:szCs w:val="21"/>
          <w:color w:val="auto"/>
        </w:rPr>
        <w:t>. You agree that the terms and conditions of this Agreement are intended to remain strictly confidential between you and the Company. You have not and will not communicate this Agreement’s terms to any third party (including fellow employees), whether verbally or in writing, by any means, including by social media such as Twitter, Facebook, and the like. Any disclosure by you will cause the Company irreparable harm that money cannot undo. Accordingly, violation of this section will entitle the Company to temporary and permanent injunctive relief. You further agree that have not and you will not disclose the terms of this Agreement to any other person, excluding your attorney(s), accountant(s), and lender(s), and your spouse, if any, to the extent needed for legal advice, income tax reporting purposes, or other financial purposes, or as otherwise required by law. You agree that, to the extent you make any permissible disclosures to your spouse, you will instruct your spouse to keep the information strictly confidential, and you further agree that you will be in breach of this Agreement if they make any further disclosure of such information beyond the disclosures permitted in this paragraph.</w:t>
      </w:r>
    </w:p>
    <w:p>
      <w:pPr>
        <w:spacing w:after="0" w:line="232" w:lineRule="exact"/>
        <w:rPr>
          <w:rFonts w:ascii="Arial" w:cs="Arial" w:eastAsia="Arial" w:hAnsi="Arial"/>
          <w:sz w:val="21"/>
          <w:szCs w:val="21"/>
          <w:color w:val="auto"/>
        </w:rPr>
      </w:pPr>
    </w:p>
    <w:p>
      <w:pPr>
        <w:jc w:val="both"/>
        <w:ind w:left="-560" w:right="20" w:firstLine="645"/>
        <w:spacing w:after="0" w:line="362" w:lineRule="auto"/>
        <w:tabs>
          <w:tab w:leader="none" w:pos="821"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You agree that you will not knowingly make any disparaging and/or defamatory statements about the Company’s current or former customers, contractors, vendors or employees to the media or to any other person, including on social media. A disparaging statement is any communication that, if publicized, would cause or tend to cause the recipient of the communication to question the business condition, integrity, competence, good character, or product quality of the person or entity to whom the communication relates. You also agree not to knowingly make any defamatory statements about the Company to the media or to any other person, including on social media. However, nothing in this Agreement shall prohibit you from providing truthful disclosures to an appropriate government agency, arbitrator or court related to alleged violations of law. To the extent you are covered by Section 7 of the NLRA because you are an employee who is not in a supervisor or management role, nothing in this Agreement shall be construed to prohibit you from using information that you acquire regarding the wages, benefits, or other terms and conditions of employment at the Company for any purpose protected under the NLRA.</w:t>
      </w:r>
    </w:p>
    <w:p>
      <w:pPr>
        <w:spacing w:after="0" w:line="200" w:lineRule="exact"/>
        <w:rPr>
          <w:rFonts w:ascii="Arial" w:cs="Arial" w:eastAsia="Arial" w:hAnsi="Arial"/>
          <w:sz w:val="19"/>
          <w:szCs w:val="19"/>
          <w:color w:val="auto"/>
        </w:rPr>
      </w:pPr>
    </w:p>
    <w:p>
      <w:pPr>
        <w:spacing w:after="0" w:line="265" w:lineRule="exact"/>
        <w:rPr>
          <w:rFonts w:ascii="Arial" w:cs="Arial" w:eastAsia="Arial" w:hAnsi="Arial"/>
          <w:sz w:val="19"/>
          <w:szCs w:val="19"/>
          <w:color w:val="auto"/>
        </w:rPr>
      </w:pPr>
    </w:p>
    <w:p>
      <w:pPr>
        <w:jc w:val="both"/>
        <w:ind w:left="-560" w:right="20" w:firstLine="645"/>
        <w:spacing w:after="0" w:line="376" w:lineRule="auto"/>
        <w:tabs>
          <w:tab w:leader="none" w:pos="821"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No Pending Claims.</w:t>
      </w:r>
      <w:r>
        <w:rPr>
          <w:rFonts w:ascii="Arial" w:cs="Arial" w:eastAsia="Arial" w:hAnsi="Arial"/>
          <w:sz w:val="19"/>
          <w:szCs w:val="19"/>
          <w:color w:val="auto"/>
        </w:rPr>
        <w:t xml:space="preserve"> You represent and warrant that you have no charges, lawsuits, or actions pending in your name against any of the Released Parties relating to any claim that has been released in this Agreement. You also represent and warrant that you have not assigned or transferred to any third party any right or claim against any of the Released Parties that you have released in this Agreement.</w:t>
      </w:r>
    </w:p>
    <w:p>
      <w:pPr>
        <w:sectPr>
          <w:pgSz w:w="11900" w:h="16838" w:orient="portrait"/>
          <w:cols w:equalWidth="0" w:num="1">
            <w:col w:w="9420"/>
          </w:cols>
          <w:pgMar w:left="1440" w:top="1401" w:right="1039" w:bottom="1440" w:gutter="0" w:footer="0" w:header="0"/>
        </w:sectPr>
      </w:pPr>
    </w:p>
    <w:bookmarkStart w:id="110" w:name="page111"/>
    <w:bookmarkEnd w:id="110"/>
    <w:p>
      <w:pPr>
        <w:spacing w:after="0" w:line="164" w:lineRule="exact"/>
        <w:rPr>
          <w:sz w:val="20"/>
          <w:szCs w:val="20"/>
          <w:color w:val="auto"/>
        </w:rPr>
      </w:pPr>
    </w:p>
    <w:p>
      <w:pPr>
        <w:jc w:val="both"/>
        <w:ind w:left="-560" w:firstLine="644"/>
        <w:spacing w:after="0" w:line="363" w:lineRule="auto"/>
        <w:tabs>
          <w:tab w:leader="none" w:pos="822"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Return of Materials.</w:t>
      </w:r>
      <w:r>
        <w:rPr>
          <w:rFonts w:ascii="Arial" w:cs="Arial" w:eastAsia="Arial" w:hAnsi="Arial"/>
          <w:sz w:val="19"/>
          <w:szCs w:val="19"/>
          <w:color w:val="auto"/>
        </w:rPr>
        <w:t xml:space="preserve"> No later than the Separation Date, you represent that you have returned to the Company, and have not retained in any form or format, all Company documents and other Company property that you had in your possession at any time. You also represent that, no later than the Separation Date, you have returned all Company laptops, iPads, iPhones, credit cards, entry cards, identification badges and keys, and all other Company equipment that you had in your possession at any time. You also represent that you have used good faith, reasonable efforts to permanently delete from any electronic media in your possession, custody, or control (such as computers, cell phones, hand-held devices, back-up devices, zip drives, PDAs, etc.), or to which you have access (such as remote e-mail exchange servers, back-up servers, off-site storage, etc.), all documents or electronically stored images containing Confidential Information of the Company.</w:t>
      </w:r>
    </w:p>
    <w:p>
      <w:pPr>
        <w:spacing w:after="0" w:line="198" w:lineRule="exact"/>
        <w:rPr>
          <w:rFonts w:ascii="Arial" w:cs="Arial" w:eastAsia="Arial" w:hAnsi="Arial"/>
          <w:sz w:val="19"/>
          <w:szCs w:val="19"/>
          <w:color w:val="auto"/>
        </w:rPr>
      </w:pPr>
    </w:p>
    <w:p>
      <w:pPr>
        <w:jc w:val="both"/>
        <w:ind w:left="-560" w:firstLine="645"/>
        <w:spacing w:after="0" w:line="360" w:lineRule="auto"/>
        <w:tabs>
          <w:tab w:leader="none" w:pos="813"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Remedies for Breach</w:t>
      </w:r>
      <w:r>
        <w:rPr>
          <w:rFonts w:ascii="Arial" w:cs="Arial" w:eastAsia="Arial" w:hAnsi="Arial"/>
          <w:sz w:val="19"/>
          <w:szCs w:val="19"/>
          <w:color w:val="auto"/>
        </w:rPr>
        <w:t>. If the Company determines that you have violated, breached, or are about to breach any provision of this Agreement, or if you bring an action against the Company in violation of this Agreement, or if you bring an action asking that the Agreement be declared invalid, void, or unenforceable (except for any protected claims under the ADEA), the Company may immediately cease any payments pursuant to this Agreement, and you shall be required to reimburse the Company for all amounts paid to you under this Agreement, except for $1,000 of the payment made under Section 1(a) of the Agreement. Any and all such disputes between you and the Company shall be resolved by binding arbitration in accordance with the Company’s arbitration policy that you agreed to as a condition of employment with the Company. Nothing in this Section shall be construed as prohibiting the Company from pursuing any remedies available to it for breach of the Agreement, including injunctive relief and the recovery of any damages that it is able to prove. By your signature below, you represent that as of the date that you execute this Agreement, you have not breached any obligations or covenants contained in this Agreement. Further, except in the case of a legal action by you challenging or seeking a determination in good faith of the validity of the ADEA waiver, if either party to this agreement brings an action to enforce its rights under this Agreement, the prevailing party will be entitled to recover its costs and expenses, including the costs of mediation, arbitration, litigation, court fees, and reasonable attorneys’ fees incurred in connection with such action.</w:t>
      </w:r>
    </w:p>
    <w:p>
      <w:pPr>
        <w:spacing w:after="0" w:line="268" w:lineRule="exact"/>
        <w:rPr>
          <w:rFonts w:ascii="Arial" w:cs="Arial" w:eastAsia="Arial" w:hAnsi="Arial"/>
          <w:sz w:val="19"/>
          <w:szCs w:val="19"/>
          <w:color w:val="auto"/>
        </w:rPr>
      </w:pPr>
    </w:p>
    <w:p>
      <w:pPr>
        <w:jc w:val="both"/>
        <w:ind w:left="-560" w:firstLine="645"/>
        <w:spacing w:after="0" w:line="314" w:lineRule="auto"/>
        <w:tabs>
          <w:tab w:leader="none" w:pos="821"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Controlling Law; Jurisdiction and Venue.</w:t>
      </w:r>
      <w:r>
        <w:rPr>
          <w:rFonts w:ascii="Arial" w:cs="Arial" w:eastAsia="Arial" w:hAnsi="Arial"/>
          <w:sz w:val="22"/>
          <w:szCs w:val="22"/>
          <w:color w:val="auto"/>
        </w:rPr>
        <w:t xml:space="preserve"> This Agreement shall be construed in accordance with and governed by the laws of the State of your employment, without reference to principles of conflict of laws that would require application of the law of another jurisdiction. The Company and you irrevocably consent solely to the jurisdiction of the federal</w:t>
      </w:r>
    </w:p>
    <w:p>
      <w:pPr>
        <w:sectPr>
          <w:pgSz w:w="11900" w:h="16838" w:orient="portrait"/>
          <w:cols w:equalWidth="0" w:num="1">
            <w:col w:w="9420"/>
          </w:cols>
          <w:pgMar w:left="1440" w:top="1440" w:right="1039" w:bottom="1440" w:gutter="0" w:footer="0" w:header="0"/>
        </w:sectPr>
      </w:pPr>
    </w:p>
    <w:bookmarkStart w:id="111" w:name="page112"/>
    <w:bookmarkEnd w:id="111"/>
    <w:p>
      <w:pPr>
        <w:ind w:right="20"/>
        <w:spacing w:after="0" w:line="327" w:lineRule="auto"/>
        <w:rPr>
          <w:sz w:val="20"/>
          <w:szCs w:val="20"/>
          <w:color w:val="auto"/>
        </w:rPr>
      </w:pPr>
      <w:r>
        <w:rPr>
          <w:rFonts w:ascii="Arial" w:cs="Arial" w:eastAsia="Arial" w:hAnsi="Arial"/>
          <w:sz w:val="22"/>
          <w:szCs w:val="22"/>
          <w:color w:val="auto"/>
        </w:rPr>
        <w:t>and state courts in the State of your employment for the resolution of any disputes arising under or respect to this Agreement.</w:t>
      </w:r>
    </w:p>
    <w:p>
      <w:pPr>
        <w:spacing w:after="0" w:line="215" w:lineRule="exact"/>
        <w:rPr>
          <w:sz w:val="20"/>
          <w:szCs w:val="20"/>
          <w:color w:val="auto"/>
        </w:rPr>
      </w:pPr>
    </w:p>
    <w:p>
      <w:pPr>
        <w:jc w:val="both"/>
        <w:ind w:left="80" w:right="40" w:firstLine="641"/>
        <w:spacing w:after="0" w:line="362" w:lineRule="auto"/>
        <w:tabs>
          <w:tab w:leader="none" w:pos="1380" w:val="left"/>
        </w:tabs>
        <w:numPr>
          <w:ilvl w:val="1"/>
          <w:numId w:val="10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and any restrictive covenant and arbitration agreements and policies referenced in Sections 4 (Restrictive Covenants) and 11 (Remedies for Breach) of this Agreement, together (i) constitute the entire agreement between the Company and you regarding the separation of your employment, (ii) survive the termination of your employment, and (iii) supersede and cancel all prior and contemporaneous written and oral agreements, if any, except as specifically provided herein. You affirm that, by entering into this Agreement, you are not relying upon any other oral or written promise or statement made by anyone at any time on behalf of the Company. This Agreement may not be changed or altered, except by a writing signed by the Company and you. This Agreement may be executed, including execution by facsimile or electronically transmitted signature, in multiple counterparts, each of which will be deemed an original, and all of which together will be deemed to be one and the same instrument.</w:t>
      </w:r>
    </w:p>
    <w:p>
      <w:pPr>
        <w:spacing w:after="0" w:line="187" w:lineRule="exact"/>
        <w:rPr>
          <w:rFonts w:ascii="Arial" w:cs="Arial" w:eastAsia="Arial" w:hAnsi="Arial"/>
          <w:sz w:val="19"/>
          <w:szCs w:val="19"/>
          <w:color w:val="auto"/>
        </w:rPr>
      </w:pPr>
    </w:p>
    <w:p>
      <w:pPr>
        <w:jc w:val="both"/>
        <w:ind w:firstLine="645"/>
        <w:spacing w:after="0" w:line="338" w:lineRule="auto"/>
        <w:tabs>
          <w:tab w:leader="none" w:pos="1381"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of the provisions, terms or clauses of this Agreement are declared illegal, unenforceable, or ineffective, those provisions, terms and clauses shall be deemed severable, and all other provisions, terms and clauses of this Agreement shall remain valid and binding upon both parties.</w:t>
      </w:r>
    </w:p>
    <w:p>
      <w:pPr>
        <w:spacing w:after="0" w:line="154" w:lineRule="exact"/>
        <w:rPr>
          <w:rFonts w:ascii="Arial" w:cs="Arial" w:eastAsia="Arial" w:hAnsi="Arial"/>
          <w:sz w:val="21"/>
          <w:szCs w:val="21"/>
          <w:color w:val="auto"/>
        </w:rPr>
      </w:pPr>
    </w:p>
    <w:p>
      <w:pPr>
        <w:jc w:val="both"/>
        <w:ind w:firstLine="645"/>
        <w:spacing w:after="0" w:line="386" w:lineRule="auto"/>
        <w:tabs>
          <w:tab w:leader="none" w:pos="1381"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Representation.</w:t>
      </w:r>
      <w:r>
        <w:rPr>
          <w:rFonts w:ascii="Arial" w:cs="Arial" w:eastAsia="Arial" w:hAnsi="Arial"/>
          <w:sz w:val="19"/>
          <w:szCs w:val="19"/>
          <w:color w:val="auto"/>
        </w:rPr>
        <w:t xml:space="preserve"> You agree that no promise or inducement has been offered except as set forth in this Agreement, and that you are signing this Agreement without reliance upon any statement or representation by the Company or any representative or agent of the Company except as set forth in this Agreement.</w:t>
      </w:r>
    </w:p>
    <w:p>
      <w:pPr>
        <w:spacing w:after="0" w:line="161" w:lineRule="exact"/>
        <w:rPr>
          <w:sz w:val="20"/>
          <w:szCs w:val="20"/>
          <w:color w:val="auto"/>
        </w:rPr>
      </w:pPr>
    </w:p>
    <w:p>
      <w:pPr>
        <w:ind w:right="20"/>
        <w:spacing w:after="0" w:line="317" w:lineRule="auto"/>
        <w:rPr>
          <w:sz w:val="20"/>
          <w:szCs w:val="20"/>
          <w:color w:val="auto"/>
        </w:rPr>
      </w:pPr>
      <w:r>
        <w:rPr>
          <w:rFonts w:ascii="Arial" w:cs="Arial" w:eastAsia="Arial" w:hAnsi="Arial"/>
          <w:sz w:val="22"/>
          <w:szCs w:val="22"/>
          <w:color w:val="auto"/>
        </w:rPr>
        <w:t>I HAVE CAREFULLY READ AND FULLY UNDERSTAND AND VOLUNTARILY AGREE TO ALL THE TERMS OF THIS CONFIDENTIAL SEPARATION AGREEMENT AND RELEASE IN EXCHANGE FOR THE ADDITIONAL BENEFITS TO WHICH I WOULD OTHERWISE NOT BE ENTITLED.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w:t>
      </w:r>
    </w:p>
    <w:p>
      <w:pPr>
        <w:spacing w:after="0" w:line="187" w:lineRule="exact"/>
        <w:rPr>
          <w:sz w:val="20"/>
          <w:szCs w:val="20"/>
          <w:color w:val="auto"/>
        </w:rPr>
      </w:pPr>
    </w:p>
    <w:p>
      <w:pPr>
        <w:ind w:left="100"/>
        <w:spacing w:after="0"/>
        <w:tabs>
          <w:tab w:leader="none" w:pos="3740" w:val="left"/>
        </w:tabs>
        <w:rPr>
          <w:sz w:val="20"/>
          <w:szCs w:val="20"/>
          <w:color w:val="auto"/>
        </w:rPr>
      </w:pPr>
      <w:r>
        <w:rPr>
          <w:rFonts w:ascii="Arial" w:cs="Arial" w:eastAsia="Arial" w:hAnsi="Arial"/>
          <w:sz w:val="22"/>
          <w:szCs w:val="22"/>
          <w:color w:val="auto"/>
        </w:rPr>
        <w:t>________________________________</w:t>
      </w:r>
      <w:r>
        <w:rPr>
          <w:sz w:val="20"/>
          <w:szCs w:val="20"/>
          <w:color w:val="auto"/>
        </w:rPr>
        <w:tab/>
      </w:r>
      <w:r>
        <w:rPr>
          <w:rFonts w:ascii="Arial" w:cs="Arial" w:eastAsia="Arial" w:hAnsi="Arial"/>
          <w:sz w:val="19"/>
          <w:szCs w:val="19"/>
          <w:color w:val="auto"/>
        </w:rPr>
        <w:t>CLOVER HEALTH INVESTMENTS, CORP.</w:t>
      </w:r>
    </w:p>
    <w:p>
      <w:pPr>
        <w:ind w:left="100"/>
        <w:spacing w:after="0"/>
        <w:rPr>
          <w:sz w:val="20"/>
          <w:szCs w:val="20"/>
          <w:color w:val="auto"/>
        </w:rPr>
      </w:pPr>
      <w:r>
        <w:rPr>
          <w:rFonts w:ascii="Arial" w:cs="Arial" w:eastAsia="Arial" w:hAnsi="Arial"/>
          <w:sz w:val="22"/>
          <w:szCs w:val="22"/>
          <w:color w:val="auto"/>
        </w:rPr>
        <w:t>Employee Name</w:t>
      </w:r>
    </w:p>
    <w:p>
      <w:pPr>
        <w:sectPr>
          <w:pgSz w:w="11900" w:h="16838" w:orient="portrait"/>
          <w:cols w:equalWidth="0" w:num="1">
            <w:col w:w="9980"/>
          </w:cols>
          <w:pgMar w:left="880" w:top="1401" w:right="1039" w:bottom="1440" w:gutter="0" w:footer="0" w:header="0"/>
        </w:sectPr>
      </w:pPr>
    </w:p>
    <w:bookmarkStart w:id="112" w:name="page113"/>
    <w:bookmarkEnd w:id="112"/>
    <w:p>
      <w:pPr>
        <w:ind w:left="100"/>
        <w:spacing w:after="0"/>
        <w:tabs>
          <w:tab w:leader="none" w:pos="3740" w:val="left"/>
        </w:tabs>
        <w:rPr>
          <w:sz w:val="20"/>
          <w:szCs w:val="20"/>
          <w:color w:val="auto"/>
        </w:rPr>
      </w:pPr>
      <w:r>
        <w:rPr>
          <w:rFonts w:ascii="Arial" w:cs="Arial" w:eastAsia="Arial" w:hAnsi="Arial"/>
          <w:sz w:val="22"/>
          <w:szCs w:val="22"/>
          <w:color w:val="auto"/>
        </w:rPr>
        <w:t>________________________________</w:t>
      </w:r>
      <w:r>
        <w:rPr>
          <w:sz w:val="20"/>
          <w:szCs w:val="20"/>
          <w:color w:val="auto"/>
        </w:rPr>
        <w:tab/>
      </w:r>
      <w:r>
        <w:rPr>
          <w:rFonts w:ascii="Arial" w:cs="Arial" w:eastAsia="Arial" w:hAnsi="Arial"/>
          <w:sz w:val="19"/>
          <w:szCs w:val="19"/>
          <w:color w:val="auto"/>
        </w:rPr>
        <w:t>By: __________________________________</w:t>
      </w:r>
    </w:p>
    <w:p>
      <w:pPr>
        <w:ind w:left="100"/>
        <w:spacing w:after="0"/>
        <w:tabs>
          <w:tab w:leader="none" w:pos="1180" w:val="left"/>
        </w:tabs>
        <w:rPr>
          <w:sz w:val="20"/>
          <w:szCs w:val="20"/>
          <w:color w:val="auto"/>
        </w:rPr>
      </w:pPr>
      <w:r>
        <w:rPr>
          <w:rFonts w:ascii="Arial" w:cs="Arial" w:eastAsia="Arial" w:hAnsi="Arial"/>
          <w:sz w:val="22"/>
          <w:szCs w:val="22"/>
          <w:color w:val="auto"/>
        </w:rPr>
        <w:t>Signature</w:t>
        <w:tab/>
        <w:t>Signature</w:t>
      </w:r>
    </w:p>
    <w:p>
      <w:pPr>
        <w:spacing w:after="0" w:line="188"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__________________________________</w:t>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Name</w:t>
      </w:r>
    </w:p>
    <w:p>
      <w:pPr>
        <w:spacing w:after="0" w:line="177"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__________________________________</w:t>
      </w:r>
    </w:p>
    <w:p>
      <w:pPr>
        <w:jc w:val="center"/>
        <w:ind w:right="-100"/>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9579"/>
          </w:cols>
          <w:pgMar w:left="880" w:top="1328" w:right="1440" w:bottom="1440" w:gutter="0" w:footer="0" w:header="0"/>
        </w:sectPr>
      </w:pPr>
    </w:p>
    <w:bookmarkStart w:id="113" w:name="page114"/>
    <w:bookmarkEnd w:id="113"/>
    <w:p>
      <w:pPr>
        <w:jc w:val="center"/>
        <w:ind w:right="140"/>
        <w:spacing w:after="0"/>
        <w:rPr>
          <w:sz w:val="20"/>
          <w:szCs w:val="20"/>
          <w:color w:val="auto"/>
        </w:rPr>
      </w:pPr>
      <w:r>
        <w:rPr>
          <w:rFonts w:ascii="Arial" w:cs="Arial" w:eastAsia="Arial" w:hAnsi="Arial"/>
          <w:sz w:val="20"/>
          <w:szCs w:val="20"/>
          <w:b w:val="1"/>
          <w:bCs w:val="1"/>
          <w:color w:val="auto"/>
        </w:rPr>
        <w:t>ATTACHMENT B</w:t>
      </w:r>
    </w:p>
    <w:p>
      <w:pPr>
        <w:spacing w:after="0" w:line="186" w:lineRule="exact"/>
        <w:rPr>
          <w:sz w:val="20"/>
          <w:szCs w:val="20"/>
          <w:color w:val="auto"/>
        </w:rPr>
      </w:pPr>
    </w:p>
    <w:p>
      <w:pPr>
        <w:jc w:val="center"/>
        <w:ind w:right="140"/>
        <w:spacing w:after="0"/>
        <w:rPr>
          <w:sz w:val="20"/>
          <w:szCs w:val="20"/>
          <w:color w:val="auto"/>
        </w:rPr>
      </w:pPr>
      <w:r>
        <w:rPr>
          <w:rFonts w:ascii="Arial" w:cs="Arial" w:eastAsia="Arial" w:hAnsi="Arial"/>
          <w:sz w:val="25"/>
          <w:szCs w:val="25"/>
          <w:b w:val="1"/>
          <w:bCs w:val="1"/>
          <w:color w:val="auto"/>
        </w:rPr>
        <w:t>Nondisclosure, Confidentiality, and Nonsolicitation Agreement</w:t>
      </w:r>
    </w:p>
    <w:p>
      <w:pPr>
        <w:spacing w:after="0" w:line="298" w:lineRule="exact"/>
        <w:rPr>
          <w:sz w:val="20"/>
          <w:szCs w:val="20"/>
          <w:color w:val="auto"/>
        </w:rPr>
      </w:pPr>
    </w:p>
    <w:p>
      <w:pPr>
        <w:jc w:val="both"/>
        <w:ind w:firstLine="357"/>
        <w:spacing w:after="0" w:line="299" w:lineRule="auto"/>
        <w:rPr>
          <w:sz w:val="20"/>
          <w:szCs w:val="20"/>
          <w:color w:val="auto"/>
        </w:rPr>
      </w:pPr>
      <w:r>
        <w:rPr>
          <w:rFonts w:ascii="Arial" w:cs="Arial" w:eastAsia="Arial" w:hAnsi="Arial"/>
          <w:sz w:val="21"/>
          <w:szCs w:val="21"/>
          <w:color w:val="auto"/>
        </w:rPr>
        <w:t>In consideration of my employment or the continuation of my employment by Clover Health or any of its successors, assigns, affiliates or subsidiary companies (each hereinafter referred to as the "Company"), I agree as follows:</w:t>
      </w:r>
    </w:p>
    <w:p>
      <w:pPr>
        <w:spacing w:after="0" w:line="191" w:lineRule="exact"/>
        <w:rPr>
          <w:sz w:val="20"/>
          <w:szCs w:val="20"/>
          <w:color w:val="auto"/>
        </w:rPr>
      </w:pPr>
    </w:p>
    <w:p>
      <w:pPr>
        <w:ind w:left="240" w:hanging="223"/>
        <w:spacing w:after="0"/>
        <w:tabs>
          <w:tab w:leader="none" w:pos="240"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TRADE SECRETS AND CONFIDENTIAL INFORMATION</w:t>
      </w:r>
      <w:r>
        <w:rPr>
          <w:rFonts w:ascii="Arial" w:cs="Arial" w:eastAsia="Arial" w:hAnsi="Arial"/>
          <w:sz w:val="21"/>
          <w:szCs w:val="21"/>
          <w:color w:val="auto"/>
        </w:rPr>
        <w:t>.</w:t>
      </w:r>
    </w:p>
    <w:p>
      <w:pPr>
        <w:spacing w:after="0" w:line="352" w:lineRule="exact"/>
        <w:rPr>
          <w:rFonts w:ascii="Arial" w:cs="Arial" w:eastAsia="Arial" w:hAnsi="Arial"/>
          <w:sz w:val="21"/>
          <w:szCs w:val="21"/>
          <w:color w:val="auto"/>
        </w:rPr>
      </w:pPr>
    </w:p>
    <w:p>
      <w:pPr>
        <w:jc w:val="both"/>
        <w:ind w:left="340" w:hanging="317"/>
        <w:spacing w:after="0" w:line="325" w:lineRule="auto"/>
        <w:tabs>
          <w:tab w:leader="none" w:pos="329"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Confidentiality and Confidential Information.</w:t>
      </w:r>
      <w:r>
        <w:rPr>
          <w:rFonts w:ascii="Arial" w:cs="Arial" w:eastAsia="Arial" w:hAnsi="Arial"/>
          <w:sz w:val="20"/>
          <w:szCs w:val="20"/>
          <w:color w:val="auto"/>
        </w:rPr>
        <w:t xml:space="preserve"> I acknowledge that during the course of my employment, I will obtain, receive or gain access to certain valuable, proprietary or confidential information of the Company, its vendors, suppliers, customers, and its/their affiliates and/or subsidiaries, that is not otherwise generally known to the public, relating or pertaining to the Company's business, projects, products, customers, suppliers, inventions or trade secrets, including but not limited to: business and financial information; Company techniques, operations and methods of conducting business; computer programs, software and code, flowcharts, architecture, data structures, and data reporting methodologies; unpublished know how, whether patented or unpatented; customer names, addresses, buying habits, needs and the methods of fulfilling those needs; supplier names, addresses and pricing policies; information regarding the skills, ability and compensation of other employees; and Company pricing policies, profit margins, marketing strategies and research projects or developments relating to any aspect of the present or actual anticipated business of the Company (hereinafter collectively the “Confidential Information”). I further acknowledge that such Confidential Information may be in oral, written or electronic form and need not be marked or identified as “confidential.” I promise and agree that during my employment with the Company and at all times thereafter, I shall hold in strictest confidence and shall not publish, disclose or communicate any Confidential Information to any person or entity, except as required in connection with my work for the Company, and I shall not use or acquire for my own purposes or the purposes of any others, including any future employers or companies, any Confidential Information of the Company without the prior written approval of a duly authorized officer of the Company.</w:t>
      </w:r>
    </w:p>
    <w:p>
      <w:pPr>
        <w:spacing w:after="0" w:line="226" w:lineRule="exact"/>
        <w:rPr>
          <w:rFonts w:ascii="Arial" w:cs="Arial" w:eastAsia="Arial" w:hAnsi="Arial"/>
          <w:sz w:val="20"/>
          <w:szCs w:val="20"/>
          <w:color w:val="auto"/>
        </w:rPr>
      </w:pPr>
    </w:p>
    <w:p>
      <w:pPr>
        <w:jc w:val="both"/>
        <w:ind w:left="340" w:hanging="312"/>
        <w:spacing w:after="0" w:line="296" w:lineRule="auto"/>
        <w:tabs>
          <w:tab w:leader="none" w:pos="335" w:val="left"/>
        </w:tabs>
        <w:numPr>
          <w:ilvl w:val="1"/>
          <w:numId w:val="105"/>
        </w:numPr>
        <w:rPr>
          <w:rFonts w:ascii="Arial" w:cs="Arial" w:eastAsia="Arial" w:hAnsi="Arial"/>
          <w:sz w:val="21"/>
          <w:szCs w:val="21"/>
          <w:color w:val="auto"/>
        </w:rPr>
      </w:pPr>
      <w:r>
        <w:rPr>
          <w:rFonts w:ascii="Arial" w:cs="Arial" w:eastAsia="Arial" w:hAnsi="Arial"/>
          <w:sz w:val="21"/>
          <w:szCs w:val="21"/>
          <w:u w:val="single" w:color="auto"/>
          <w:color w:val="auto"/>
        </w:rPr>
        <w:t>Confidentiality of Protected Health Information.</w:t>
      </w:r>
      <w:r>
        <w:rPr>
          <w:rFonts w:ascii="Arial" w:cs="Arial" w:eastAsia="Arial" w:hAnsi="Arial"/>
          <w:sz w:val="21"/>
          <w:szCs w:val="21"/>
          <w:color w:val="auto"/>
        </w:rPr>
        <w:t xml:space="preserve"> The definition of “Confidential Information” includes Protected Health Information (“PHI”) as the Health Insurance Portability and Accountability Act of 1996 (“HIPAA”) defines it. During their employment, Company employees may access, use, create, receive, transmit, maintain, and/or disclose PHI. In addition, employees will receive training on HIPAA and will have access to and review Company HIPAA policies that set forth confidentiality protections that all Company employees must adhere to in regard to the access, use and/or disclosure of PHI. I agree to comply with all Company, Inc. policies governing the confidentiality and protection of PHI and am responsible for preserving the confidentiality of PHI and Individually Identifiable Health Information (“IIHI”).</w:t>
      </w:r>
    </w:p>
    <w:p>
      <w:pPr>
        <w:spacing w:after="0" w:line="236" w:lineRule="exact"/>
        <w:rPr>
          <w:rFonts w:ascii="Arial" w:cs="Arial" w:eastAsia="Arial" w:hAnsi="Arial"/>
          <w:sz w:val="21"/>
          <w:szCs w:val="21"/>
          <w:color w:val="auto"/>
        </w:rPr>
      </w:pPr>
    </w:p>
    <w:p>
      <w:pPr>
        <w:ind w:left="340" w:hanging="317"/>
        <w:spacing w:after="0" w:line="302" w:lineRule="auto"/>
        <w:tabs>
          <w:tab w:leader="none" w:pos="329" w:val="left"/>
        </w:tabs>
        <w:numPr>
          <w:ilvl w:val="1"/>
          <w:numId w:val="105"/>
        </w:numPr>
        <w:rPr>
          <w:rFonts w:ascii="Arial" w:cs="Arial" w:eastAsia="Arial" w:hAnsi="Arial"/>
          <w:sz w:val="21"/>
          <w:szCs w:val="21"/>
          <w:color w:val="auto"/>
        </w:rPr>
      </w:pPr>
      <w:r>
        <w:rPr>
          <w:rFonts w:ascii="Arial" w:cs="Arial" w:eastAsia="Arial" w:hAnsi="Arial"/>
          <w:sz w:val="21"/>
          <w:szCs w:val="21"/>
          <w:u w:val="single" w:color="auto"/>
          <w:color w:val="auto"/>
        </w:rPr>
        <w:t>Trade Secret Employee Notice Provision.</w:t>
      </w:r>
      <w:r>
        <w:rPr>
          <w:rFonts w:ascii="Arial" w:cs="Arial" w:eastAsia="Arial" w:hAnsi="Arial"/>
          <w:sz w:val="21"/>
          <w:szCs w:val="21"/>
          <w:color w:val="auto"/>
        </w:rPr>
        <w:t xml:space="preserve"> An employee shall not be held criminally or civilly liable under any Federal or State trade secret law for the disclosure of a trade secret that is</w:t>
      </w:r>
    </w:p>
    <w:p>
      <w:pPr>
        <w:sectPr>
          <w:pgSz w:w="11900" w:h="16838" w:orient="portrait"/>
          <w:cols w:equalWidth="0" w:num="1">
            <w:col w:w="10540"/>
          </w:cols>
          <w:pgMar w:left="740" w:top="962" w:right="619" w:bottom="1440" w:gutter="0" w:footer="0" w:header="0"/>
        </w:sectPr>
      </w:pPr>
    </w:p>
    <w:bookmarkStart w:id="114" w:name="page115"/>
    <w:bookmarkEnd w:id="114"/>
    <w:p>
      <w:pPr>
        <w:jc w:val="both"/>
        <w:ind w:left="555" w:right="20"/>
        <w:spacing w:after="0" w:line="297" w:lineRule="auto"/>
        <w:rPr>
          <w:sz w:val="20"/>
          <w:szCs w:val="20"/>
          <w:color w:val="auto"/>
        </w:rPr>
      </w:pPr>
      <w:r>
        <w:rPr>
          <w:rFonts w:ascii="Arial" w:cs="Arial" w:eastAsia="Arial" w:hAnsi="Arial"/>
          <w:sz w:val="21"/>
          <w:szCs w:val="21"/>
          <w:color w:val="auto"/>
        </w:rPr>
        <w:t>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employee who files a lawsuit for retaliation for</w:t>
      </w:r>
    </w:p>
    <w:p>
      <w:pPr>
        <w:spacing w:after="0" w:line="4" w:lineRule="exact"/>
        <w:rPr>
          <w:sz w:val="20"/>
          <w:szCs w:val="20"/>
          <w:color w:val="auto"/>
        </w:rPr>
      </w:pPr>
    </w:p>
    <w:p>
      <w:pPr>
        <w:jc w:val="both"/>
        <w:ind w:left="555" w:right="20" w:firstLine="7"/>
        <w:spacing w:after="0" w:line="295" w:lineRule="auto"/>
        <w:rPr>
          <w:sz w:val="20"/>
          <w:szCs w:val="20"/>
          <w:color w:val="auto"/>
        </w:rPr>
      </w:pPr>
      <w:r>
        <w:rPr>
          <w:rFonts w:ascii="Arial" w:cs="Arial" w:eastAsia="Arial" w:hAnsi="Arial"/>
          <w:sz w:val="21"/>
          <w:szCs w:val="21"/>
          <w:color w:val="auto"/>
        </w:rPr>
        <w:t>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 w:lineRule="exact"/>
        <w:rPr>
          <w:sz w:val="20"/>
          <w:szCs w:val="20"/>
          <w:color w:val="auto"/>
        </w:rPr>
      </w:pPr>
    </w:p>
    <w:p>
      <w:pPr>
        <w:jc w:val="both"/>
        <w:ind w:left="555" w:right="20" w:hanging="317"/>
        <w:spacing w:after="0" w:line="299" w:lineRule="auto"/>
        <w:tabs>
          <w:tab w:leader="none" w:pos="544" w:val="left"/>
        </w:tabs>
        <w:numPr>
          <w:ilvl w:val="1"/>
          <w:numId w:val="106"/>
        </w:numPr>
        <w:rPr>
          <w:rFonts w:ascii="Arial" w:cs="Arial" w:eastAsia="Arial" w:hAnsi="Arial"/>
          <w:sz w:val="21"/>
          <w:szCs w:val="21"/>
          <w:color w:val="auto"/>
        </w:rPr>
      </w:pPr>
      <w:r>
        <w:rPr>
          <w:rFonts w:ascii="Arial" w:cs="Arial" w:eastAsia="Arial" w:hAnsi="Arial"/>
          <w:sz w:val="21"/>
          <w:szCs w:val="21"/>
          <w:u w:val="single" w:color="auto"/>
          <w:color w:val="auto"/>
        </w:rPr>
        <w:t>Prevention of Unauthorized Release of Company Confidential Information</w:t>
      </w:r>
      <w:r>
        <w:rPr>
          <w:rFonts w:ascii="Arial" w:cs="Arial" w:eastAsia="Arial" w:hAnsi="Arial"/>
          <w:sz w:val="21"/>
          <w:szCs w:val="21"/>
          <w:color w:val="auto"/>
        </w:rPr>
        <w:t>. I agree to take reasonable measures to prevent unauthorized persons or entities from having access to, obtaining or being furnished with any Company Confidential Information in my possession.</w:t>
      </w:r>
    </w:p>
    <w:p>
      <w:pPr>
        <w:spacing w:after="0" w:line="231" w:lineRule="exact"/>
        <w:rPr>
          <w:rFonts w:ascii="Arial" w:cs="Arial" w:eastAsia="Arial" w:hAnsi="Arial"/>
          <w:sz w:val="21"/>
          <w:szCs w:val="21"/>
          <w:color w:val="auto"/>
        </w:rPr>
      </w:pPr>
    </w:p>
    <w:p>
      <w:pPr>
        <w:jc w:val="both"/>
        <w:ind w:left="555" w:right="20" w:hanging="317"/>
        <w:spacing w:after="0" w:line="297" w:lineRule="auto"/>
        <w:tabs>
          <w:tab w:leader="none" w:pos="544" w:val="left"/>
        </w:tabs>
        <w:numPr>
          <w:ilvl w:val="1"/>
          <w:numId w:val="106"/>
        </w:numPr>
        <w:rPr>
          <w:rFonts w:ascii="Arial" w:cs="Arial" w:eastAsia="Arial" w:hAnsi="Arial"/>
          <w:sz w:val="21"/>
          <w:szCs w:val="21"/>
          <w:color w:val="auto"/>
        </w:rPr>
      </w:pPr>
      <w:r>
        <w:rPr>
          <w:rFonts w:ascii="Arial" w:cs="Arial" w:eastAsia="Arial" w:hAnsi="Arial"/>
          <w:sz w:val="21"/>
          <w:szCs w:val="21"/>
          <w:u w:val="single" w:color="auto"/>
          <w:color w:val="auto"/>
        </w:rPr>
        <w:t>Confidential Information of Third Parties.</w:t>
      </w:r>
      <w:r>
        <w:rPr>
          <w:rFonts w:ascii="Arial" w:cs="Arial" w:eastAsia="Arial" w:hAnsi="Arial"/>
          <w:sz w:val="21"/>
          <w:szCs w:val="21"/>
          <w:color w:val="auto"/>
        </w:rPr>
        <w:t xml:space="preserve"> I agree to preserve as confidential any information that I learn or obtain in connection with my employment from a third party or relating to a third party, such as a client or customer, that is not readily available to the public and to treat such information as though it were Company Confidential Information.</w:t>
      </w:r>
    </w:p>
    <w:p>
      <w:pPr>
        <w:spacing w:after="0" w:line="235" w:lineRule="exact"/>
        <w:rPr>
          <w:rFonts w:ascii="Arial" w:cs="Arial" w:eastAsia="Arial" w:hAnsi="Arial"/>
          <w:sz w:val="21"/>
          <w:szCs w:val="21"/>
          <w:color w:val="auto"/>
        </w:rPr>
      </w:pPr>
    </w:p>
    <w:p>
      <w:pPr>
        <w:jc w:val="both"/>
        <w:ind w:left="555" w:right="40" w:hanging="323"/>
        <w:spacing w:after="0" w:line="299" w:lineRule="auto"/>
        <w:tabs>
          <w:tab w:leader="none" w:pos="552" w:val="left"/>
        </w:tabs>
        <w:numPr>
          <w:ilvl w:val="1"/>
          <w:numId w:val="106"/>
        </w:numPr>
        <w:rPr>
          <w:rFonts w:ascii="Arial" w:cs="Arial" w:eastAsia="Arial" w:hAnsi="Arial"/>
          <w:sz w:val="21"/>
          <w:szCs w:val="21"/>
          <w:color w:val="auto"/>
        </w:rPr>
      </w:pPr>
      <w:r>
        <w:rPr>
          <w:rFonts w:ascii="Arial" w:cs="Arial" w:eastAsia="Arial" w:hAnsi="Arial"/>
          <w:sz w:val="21"/>
          <w:szCs w:val="21"/>
          <w:u w:val="single" w:color="auto"/>
          <w:color w:val="auto"/>
        </w:rPr>
        <w:t>Confidential Information of Former Employers.</w:t>
      </w:r>
      <w:r>
        <w:rPr>
          <w:rFonts w:ascii="Arial" w:cs="Arial" w:eastAsia="Arial" w:hAnsi="Arial"/>
          <w:sz w:val="21"/>
          <w:szCs w:val="21"/>
          <w:color w:val="auto"/>
        </w:rPr>
        <w:t xml:space="preserve"> I agree not to disclose to the Company and not to use in any way in connection with my employment therewith any proprietary confidential information or trade secrets of any kind, or any embodiments thereof, of any previous employer or other third party.</w:t>
      </w:r>
    </w:p>
    <w:p>
      <w:pPr>
        <w:spacing w:after="0" w:line="244" w:lineRule="exact"/>
        <w:rPr>
          <w:rFonts w:ascii="Arial" w:cs="Arial" w:eastAsia="Arial" w:hAnsi="Arial"/>
          <w:sz w:val="21"/>
          <w:szCs w:val="21"/>
          <w:color w:val="auto"/>
        </w:rPr>
      </w:pPr>
    </w:p>
    <w:p>
      <w:pPr>
        <w:jc w:val="both"/>
        <w:ind w:left="555" w:right="20" w:hanging="316"/>
        <w:spacing w:after="0" w:line="296" w:lineRule="auto"/>
        <w:tabs>
          <w:tab w:leader="none" w:pos="552" w:val="left"/>
        </w:tabs>
        <w:numPr>
          <w:ilvl w:val="1"/>
          <w:numId w:val="106"/>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xml:space="preserve"> I agree that, upon termination of my employment with the Company (voluntary or otherwise), or as otherwise requested by the Company, I will promptly return to the Company all Confidential Information and all things belonging to the Company, including all tools, equipment, devices or property of the Company, and that all documents, records, notebooks and tangible articles containing or embodying any Confidential Information, including copies thereof and whether stored in paper, electronic, magnetic or other form, then in my possession or control, whether prepared by me or others, will be left with the Company.</w:t>
      </w:r>
    </w:p>
    <w:p>
      <w:pPr>
        <w:spacing w:after="0" w:line="251" w:lineRule="exact"/>
        <w:rPr>
          <w:rFonts w:ascii="Arial" w:cs="Arial" w:eastAsia="Arial" w:hAnsi="Arial"/>
          <w:sz w:val="21"/>
          <w:szCs w:val="21"/>
          <w:color w:val="auto"/>
        </w:rPr>
      </w:pPr>
    </w:p>
    <w:p>
      <w:pPr>
        <w:ind w:left="555" w:right="80" w:hanging="311"/>
        <w:spacing w:after="0" w:line="311" w:lineRule="auto"/>
        <w:tabs>
          <w:tab w:leader="none" w:pos="550" w:val="left"/>
        </w:tabs>
        <w:numPr>
          <w:ilvl w:val="1"/>
          <w:numId w:val="106"/>
        </w:numPr>
        <w:rPr>
          <w:rFonts w:ascii="Arial" w:cs="Arial" w:eastAsia="Arial" w:hAnsi="Arial"/>
          <w:sz w:val="21"/>
          <w:szCs w:val="21"/>
          <w:color w:val="auto"/>
        </w:rPr>
      </w:pPr>
      <w:r>
        <w:rPr>
          <w:rFonts w:ascii="Arial" w:cs="Arial" w:eastAsia="Arial" w:hAnsi="Arial"/>
          <w:sz w:val="21"/>
          <w:szCs w:val="21"/>
          <w:u w:val="single" w:color="auto"/>
          <w:color w:val="auto"/>
        </w:rPr>
        <w:t>Exit Interview</w:t>
      </w:r>
      <w:r>
        <w:rPr>
          <w:rFonts w:ascii="Arial" w:cs="Arial" w:eastAsia="Arial" w:hAnsi="Arial"/>
          <w:sz w:val="21"/>
          <w:szCs w:val="21"/>
          <w:color w:val="auto"/>
        </w:rPr>
        <w:t>. In consideration of my employment with the Company, I agree that, upon termination of my employment with the Company (voluntary or otherwise), I will attend an exit interview and execute a Termination Certificate in a form substantially similar as that attached hereto as “Exhibit A”, and understand the Company may notify my new employer of this Agreement.</w:t>
      </w:r>
    </w:p>
    <w:p>
      <w:pPr>
        <w:spacing w:after="0" w:line="179" w:lineRule="exact"/>
        <w:rPr>
          <w:rFonts w:ascii="Arial" w:cs="Arial" w:eastAsia="Arial" w:hAnsi="Arial"/>
          <w:sz w:val="21"/>
          <w:szCs w:val="21"/>
          <w:color w:val="auto"/>
        </w:rPr>
      </w:pPr>
    </w:p>
    <w:p>
      <w:pPr>
        <w:ind w:left="235" w:hanging="235"/>
        <w:spacing w:after="0"/>
        <w:tabs>
          <w:tab w:leader="none" w:pos="235"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DUTY OF LOYALTY, NON-SOLICITATION, and NONDISPARAGEMENT</w:t>
      </w:r>
    </w:p>
    <w:p>
      <w:pPr>
        <w:spacing w:after="0" w:line="352" w:lineRule="exact"/>
        <w:rPr>
          <w:rFonts w:ascii="Arial" w:cs="Arial" w:eastAsia="Arial" w:hAnsi="Arial"/>
          <w:sz w:val="21"/>
          <w:szCs w:val="21"/>
          <w:color w:val="auto"/>
        </w:rPr>
      </w:pPr>
    </w:p>
    <w:p>
      <w:pPr>
        <w:jc w:val="both"/>
        <w:ind w:left="555" w:hanging="317"/>
        <w:spacing w:after="0" w:line="299" w:lineRule="auto"/>
        <w:tabs>
          <w:tab w:leader="none" w:pos="545" w:val="left"/>
        </w:tabs>
        <w:numPr>
          <w:ilvl w:val="1"/>
          <w:numId w:val="107"/>
        </w:numPr>
        <w:rPr>
          <w:rFonts w:ascii="Arial" w:cs="Arial" w:eastAsia="Arial" w:hAnsi="Arial"/>
          <w:sz w:val="21"/>
          <w:szCs w:val="21"/>
          <w:color w:val="auto"/>
        </w:rPr>
      </w:pPr>
      <w:r>
        <w:rPr>
          <w:rFonts w:ascii="Arial" w:cs="Arial" w:eastAsia="Arial" w:hAnsi="Arial"/>
          <w:sz w:val="21"/>
          <w:szCs w:val="21"/>
          <w:u w:val="single" w:color="auto"/>
          <w:color w:val="auto"/>
        </w:rPr>
        <w:t>Duty of Loyalty</w:t>
      </w:r>
      <w:r>
        <w:rPr>
          <w:rFonts w:ascii="Arial" w:cs="Arial" w:eastAsia="Arial" w:hAnsi="Arial"/>
          <w:sz w:val="21"/>
          <w:szCs w:val="21"/>
          <w:color w:val="auto"/>
        </w:rPr>
        <w:t>. I agree that at all times during my employment with the Company, I will not, without the Company’s express written consent, engage in any employment or business activity that is competitive with or that would otherwise conflict with the business of the</w:t>
      </w:r>
    </w:p>
    <w:p>
      <w:pPr>
        <w:sectPr>
          <w:pgSz w:w="11900" w:h="16838" w:orient="portrait"/>
          <w:cols w:equalWidth="0" w:num="1">
            <w:col w:w="10775"/>
          </w:cols>
          <w:pgMar w:left="525" w:top="1032" w:right="599" w:bottom="1440" w:gutter="0" w:footer="0" w:header="0"/>
        </w:sectPr>
      </w:pPr>
    </w:p>
    <w:bookmarkStart w:id="115" w:name="page116"/>
    <w:bookmarkEnd w:id="115"/>
    <w:p>
      <w:pPr>
        <w:ind w:left="600" w:right="20"/>
        <w:spacing w:after="0" w:line="302" w:lineRule="auto"/>
        <w:rPr>
          <w:sz w:val="20"/>
          <w:szCs w:val="20"/>
          <w:color w:val="auto"/>
        </w:rPr>
      </w:pPr>
      <w:r>
        <w:rPr>
          <w:rFonts w:ascii="Arial" w:cs="Arial" w:eastAsia="Arial" w:hAnsi="Arial"/>
          <w:sz w:val="21"/>
          <w:szCs w:val="21"/>
          <w:color w:val="auto"/>
        </w:rPr>
        <w:t>Company, nor will I engage in any other activities that may conflict with my obligations or duty of loyalty to the Company.</w:t>
      </w:r>
    </w:p>
    <w:p>
      <w:pPr>
        <w:spacing w:after="0" w:line="229" w:lineRule="exact"/>
        <w:rPr>
          <w:sz w:val="20"/>
          <w:szCs w:val="20"/>
          <w:color w:val="auto"/>
        </w:rPr>
      </w:pPr>
    </w:p>
    <w:p>
      <w:pPr>
        <w:jc w:val="both"/>
        <w:ind w:left="600" w:hanging="312"/>
        <w:spacing w:after="0" w:line="297" w:lineRule="auto"/>
        <w:tabs>
          <w:tab w:leader="none" w:pos="589"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Obligations to Prior Employers or Others</w:t>
      </w:r>
      <w:r>
        <w:rPr>
          <w:rFonts w:ascii="Arial" w:cs="Arial" w:eastAsia="Arial" w:hAnsi="Arial"/>
          <w:sz w:val="21"/>
          <w:szCs w:val="21"/>
          <w:color w:val="auto"/>
        </w:rPr>
        <w:t>. Except for those described below (if any), I do not have any non-disclosure, non-compete or other obligations to any previous employer or other person or entity that would conflict with my obligations under this Agreement or the performance of my duties for the Company. I have previously provided copies of each of the agreements described below, if any, to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LIST ANY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-16510</wp:posOffset>
            </wp:positionV>
            <wp:extent cx="562356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128270</wp:posOffset>
            </wp:positionV>
            <wp:extent cx="562356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265430</wp:posOffset>
            </wp:positionV>
            <wp:extent cx="562356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411480</wp:posOffset>
            </wp:positionV>
            <wp:extent cx="562356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556895</wp:posOffset>
            </wp:positionV>
            <wp:extent cx="5623560"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694055</wp:posOffset>
            </wp:positionV>
            <wp:extent cx="562356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2356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600" w:hanging="317"/>
        <w:spacing w:after="0" w:line="314" w:lineRule="auto"/>
        <w:tabs>
          <w:tab w:leader="none" w:pos="599" w:val="left"/>
        </w:tabs>
        <w:numPr>
          <w:ilvl w:val="1"/>
          <w:numId w:val="109"/>
        </w:numPr>
        <w:rPr>
          <w:rFonts w:ascii="Arial" w:cs="Arial" w:eastAsia="Arial" w:hAnsi="Arial"/>
          <w:sz w:val="20"/>
          <w:szCs w:val="20"/>
          <w:color w:val="auto"/>
        </w:rPr>
      </w:pPr>
      <w:r>
        <w:rPr>
          <w:rFonts w:ascii="Arial" w:cs="Arial" w:eastAsia="Arial" w:hAnsi="Arial"/>
          <w:sz w:val="20"/>
          <w:szCs w:val="20"/>
          <w:u w:val="single" w:color="auto"/>
          <w:color w:val="auto"/>
        </w:rPr>
        <w:t>Solicitation of Employees</w:t>
      </w:r>
      <w:r>
        <w:rPr>
          <w:rFonts w:ascii="Arial" w:cs="Arial" w:eastAsia="Arial" w:hAnsi="Arial"/>
          <w:sz w:val="20"/>
          <w:szCs w:val="20"/>
          <w:color w:val="auto"/>
        </w:rPr>
        <w:t>. During my employment with the Company, and for a one (1) year period after the date my employment ends (voluntary or otherwise), I covenant and agree that I shall not, directly or indirectly, on my own behalf or for the benefit of any other person or entity, solicit or attempt to solicit any employee of the Company, or at any time unlawfully disrupt, damage, impair or interfere with the Company by raiding its work staff or unlawfully encouraging any employee of the Company to terminate their relationship with the Company.</w:t>
      </w:r>
    </w:p>
    <w:p>
      <w:pPr>
        <w:spacing w:after="0" w:line="223" w:lineRule="exact"/>
        <w:rPr>
          <w:rFonts w:ascii="Arial" w:cs="Arial" w:eastAsia="Arial" w:hAnsi="Arial"/>
          <w:sz w:val="20"/>
          <w:szCs w:val="20"/>
          <w:color w:val="auto"/>
        </w:rPr>
      </w:pPr>
    </w:p>
    <w:p>
      <w:pPr>
        <w:jc w:val="both"/>
        <w:ind w:left="600" w:hanging="317"/>
        <w:spacing w:after="0" w:line="296" w:lineRule="auto"/>
        <w:tabs>
          <w:tab w:leader="none" w:pos="589" w:val="left"/>
        </w:tabs>
        <w:numPr>
          <w:ilvl w:val="1"/>
          <w:numId w:val="109"/>
        </w:numPr>
        <w:rPr>
          <w:rFonts w:ascii="Arial" w:cs="Arial" w:eastAsia="Arial" w:hAnsi="Arial"/>
          <w:sz w:val="21"/>
          <w:szCs w:val="21"/>
          <w:color w:val="auto"/>
        </w:rPr>
      </w:pPr>
      <w:r>
        <w:rPr>
          <w:rFonts w:ascii="Arial" w:cs="Arial" w:eastAsia="Arial" w:hAnsi="Arial"/>
          <w:sz w:val="21"/>
          <w:szCs w:val="21"/>
          <w:u w:val="single" w:color="auto"/>
          <w:color w:val="auto"/>
        </w:rPr>
        <w:t>Solicitation of Customers</w:t>
      </w:r>
      <w:r>
        <w:rPr>
          <w:rFonts w:ascii="Arial" w:cs="Arial" w:eastAsia="Arial" w:hAnsi="Arial"/>
          <w:sz w:val="21"/>
          <w:szCs w:val="21"/>
          <w:color w:val="auto"/>
        </w:rPr>
        <w:t>. During my employment with the Company, and after my employment ends (voluntary or otherwise), I covenant and agree that I shall not in any manner, directly or indirectly, on my own behalf or for the benefit of any other person or entity, use any trade secrets or proprietary Confidential Information of the Company to solicit or attempt to solicit any client or customer of the Company, or at any time use any Confidential Information (including the confidential identity of any client or customer, or trade secret information about the client, account or customer relationship) to induce, influence or encourage any client or customer of the Company to reduce or cease doing business with the Company.</w:t>
      </w:r>
    </w:p>
    <w:p>
      <w:pPr>
        <w:spacing w:after="0" w:line="237" w:lineRule="exact"/>
        <w:rPr>
          <w:rFonts w:ascii="Arial" w:cs="Arial" w:eastAsia="Arial" w:hAnsi="Arial"/>
          <w:sz w:val="21"/>
          <w:szCs w:val="21"/>
          <w:color w:val="auto"/>
        </w:rPr>
      </w:pPr>
    </w:p>
    <w:p>
      <w:pPr>
        <w:jc w:val="both"/>
        <w:ind w:left="600" w:hanging="317"/>
        <w:spacing w:after="0" w:line="296" w:lineRule="auto"/>
        <w:tabs>
          <w:tab w:leader="none" w:pos="589" w:val="left"/>
        </w:tabs>
        <w:numPr>
          <w:ilvl w:val="1"/>
          <w:numId w:val="109"/>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I agree that I will not make any disparaging and/or defamatory statements about the Company’s current or former products or services, including on social media. A disparaging statement is any communication that, if publicized, would cause or tend to cause the recipient of the communication to question the business condition, integrity, competence, good character, or product quality of the person or entity to whom the communication relates. I also agree not to make any defamatory statements about the Company to the media or to any other person, including on social media.</w:t>
      </w:r>
    </w:p>
    <w:p>
      <w:pPr>
        <w:spacing w:after="0" w:line="197" w:lineRule="exact"/>
        <w:rPr>
          <w:rFonts w:ascii="Arial" w:cs="Arial" w:eastAsia="Arial" w:hAnsi="Arial"/>
          <w:sz w:val="21"/>
          <w:szCs w:val="21"/>
          <w:color w:val="auto"/>
        </w:rPr>
      </w:pPr>
    </w:p>
    <w:p>
      <w:pPr>
        <w:ind w:left="280" w:hanging="233"/>
        <w:spacing w:after="0"/>
        <w:tabs>
          <w:tab w:leader="none" w:pos="280"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ASSIGNMENT OF INVENTIONS</w:t>
      </w:r>
      <w:r>
        <w:rPr>
          <w:rFonts w:ascii="Arial" w:cs="Arial" w:eastAsia="Arial" w:hAnsi="Arial"/>
          <w:sz w:val="21"/>
          <w:szCs w:val="21"/>
          <w:color w:val="auto"/>
        </w:rPr>
        <w:t>.</w:t>
      </w:r>
    </w:p>
    <w:p>
      <w:pPr>
        <w:spacing w:after="0" w:line="352" w:lineRule="exact"/>
        <w:rPr>
          <w:rFonts w:ascii="Arial" w:cs="Arial" w:eastAsia="Arial" w:hAnsi="Arial"/>
          <w:sz w:val="21"/>
          <w:szCs w:val="21"/>
          <w:color w:val="auto"/>
        </w:rPr>
      </w:pPr>
    </w:p>
    <w:p>
      <w:pPr>
        <w:ind w:left="600" w:hanging="318"/>
        <w:spacing w:after="0" w:line="316" w:lineRule="auto"/>
        <w:tabs>
          <w:tab w:leader="none" w:pos="598" w:val="left"/>
        </w:tabs>
        <w:numPr>
          <w:ilvl w:val="1"/>
          <w:numId w:val="110"/>
        </w:numPr>
        <w:rPr>
          <w:rFonts w:ascii="Arial" w:cs="Arial" w:eastAsia="Arial" w:hAnsi="Arial"/>
          <w:sz w:val="21"/>
          <w:szCs w:val="21"/>
          <w:color w:val="auto"/>
        </w:rPr>
      </w:pPr>
      <w:r>
        <w:rPr>
          <w:rFonts w:ascii="Arial" w:cs="Arial" w:eastAsia="Arial" w:hAnsi="Arial"/>
          <w:sz w:val="21"/>
          <w:szCs w:val="21"/>
          <w:u w:val="single" w:color="auto"/>
          <w:color w:val="auto"/>
        </w:rPr>
        <w:t>Inventions and Assignment</w:t>
      </w:r>
      <w:r>
        <w:rPr>
          <w:rFonts w:ascii="Arial" w:cs="Arial" w:eastAsia="Arial" w:hAnsi="Arial"/>
          <w:sz w:val="21"/>
          <w:szCs w:val="21"/>
          <w:color w:val="auto"/>
        </w:rPr>
        <w:t>. In connection with your employment with the Company, you understand and agree that all Inventions, defined as and including discoveries, developments,</w:t>
      </w:r>
    </w:p>
    <w:p>
      <w:pPr>
        <w:sectPr>
          <w:pgSz w:w="11900" w:h="16838" w:orient="portrait"/>
          <w:cols w:equalWidth="0" w:num="1">
            <w:col w:w="10820"/>
          </w:cols>
          <w:pgMar w:left="480" w:top="1127" w:right="599" w:bottom="1440" w:gutter="0" w:footer="0" w:header="0"/>
        </w:sectPr>
      </w:pPr>
    </w:p>
    <w:bookmarkStart w:id="116" w:name="page117"/>
    <w:bookmarkEnd w:id="116"/>
    <w:p>
      <w:pPr>
        <w:jc w:val="both"/>
        <w:ind w:left="640" w:right="80"/>
        <w:spacing w:after="0" w:line="312" w:lineRule="auto"/>
        <w:rPr>
          <w:sz w:val="20"/>
          <w:szCs w:val="20"/>
          <w:color w:val="auto"/>
        </w:rPr>
      </w:pPr>
      <w:r>
        <w:rPr>
          <w:rFonts w:ascii="Arial" w:cs="Arial" w:eastAsia="Arial" w:hAnsi="Arial"/>
          <w:sz w:val="21"/>
          <w:szCs w:val="21"/>
          <w:color w:val="auto"/>
        </w:rPr>
        <w:t>designs, improvements, inventions, formulas, programs, computer software or code, processes, techniques, know-how, research, technical data and ideas (whether or not patentable or registrable under patent, copyright or similar statutes) that (i) that relate to the Company's business or potential business, (ii) that result from tasks assigned to me by the Company, or (iii) that are conceived or made with the use of the Company's time, facilities, materials or, resources, shall be the sole property of Company and its assigns, and Company shall be the sole owner of all Rights to said Inventions, said Rights being defined as and including patents, trademarks, service marks and copyrights, and other intellectual property rights pertaining to said Inventions or Confidential Information.</w:t>
      </w:r>
      <w:r>
        <w:rPr>
          <w:rFonts w:ascii="Arial" w:cs="Arial" w:eastAsia="Arial" w:hAnsi="Arial"/>
          <w:sz w:val="26"/>
          <w:szCs w:val="26"/>
          <w:color w:val="auto"/>
          <w:vertAlign w:val="superscript"/>
        </w:rPr>
        <w:t>1</w:t>
      </w:r>
      <w:r>
        <w:rPr>
          <w:rFonts w:ascii="Arial" w:cs="Arial" w:eastAsia="Arial" w:hAnsi="Arial"/>
          <w:sz w:val="21"/>
          <w:szCs w:val="21"/>
          <w:color w:val="auto"/>
        </w:rPr>
        <w:t xml:space="preserve"> You further acknowledge and</w:t>
      </w:r>
    </w:p>
    <w:p>
      <w:pPr>
        <w:spacing w:after="0" w:line="119" w:lineRule="exact"/>
        <w:rPr>
          <w:sz w:val="20"/>
          <w:szCs w:val="20"/>
          <w:color w:val="auto"/>
        </w:rPr>
      </w:pPr>
    </w:p>
    <w:p>
      <w:pPr>
        <w:jc w:val="both"/>
        <w:ind w:right="20" w:firstLine="8"/>
        <w:spacing w:after="0" w:line="317" w:lineRule="auto"/>
        <w:rPr>
          <w:sz w:val="20"/>
          <w:szCs w:val="20"/>
          <w:color w:val="auto"/>
        </w:rPr>
      </w:pPr>
      <w:r>
        <w:rPr>
          <w:rFonts w:ascii="Arial" w:cs="Arial" w:eastAsia="Arial" w:hAnsi="Arial"/>
          <w:sz w:val="13"/>
          <w:szCs w:val="13"/>
          <w:color w:val="auto"/>
        </w:rPr>
        <w:t xml:space="preserve">1 </w:t>
      </w:r>
      <w:r>
        <w:rPr>
          <w:rFonts w:ascii="Arial" w:cs="Arial" w:eastAsia="Arial" w:hAnsi="Arial"/>
          <w:sz w:val="17"/>
          <w:szCs w:val="17"/>
          <w:color w:val="auto"/>
        </w:rPr>
        <w:t>For employees in Delaware, Illinois, Kansas, Minnesota, North Carolina, Utah, Washington, and any other state where the Company employs</w:t>
      </w:r>
      <w:r>
        <w:rPr>
          <w:rFonts w:ascii="Arial" w:cs="Arial" w:eastAsia="Arial" w:hAnsi="Arial"/>
          <w:sz w:val="13"/>
          <w:szCs w:val="13"/>
          <w:color w:val="auto"/>
        </w:rPr>
        <w:t xml:space="preserve"> </w:t>
      </w:r>
      <w:r>
        <w:rPr>
          <w:rFonts w:ascii="Arial" w:cs="Arial" w:eastAsia="Arial" w:hAnsi="Arial"/>
          <w:sz w:val="17"/>
          <w:szCs w:val="17"/>
          <w:color w:val="auto"/>
        </w:rPr>
        <w:t>you where this notice is specifically required by law state law: You are notified that nothing in this Agreement requires any Employee (regardless of state) to assign any of your rights to an invention you developed entirely on your own time using no equipment, supplies, facility, or trade secret information of the Company, unless the invention results from any work you performed for the Company or relates, at the time of conception or reduction to practice, to the business or actual or demonstrably anticipated research or development of the Company.</w:t>
      </w:r>
    </w:p>
    <w:p>
      <w:pPr>
        <w:spacing w:after="0" w:line="248" w:lineRule="exact"/>
        <w:rPr>
          <w:sz w:val="20"/>
          <w:szCs w:val="20"/>
          <w:color w:val="auto"/>
        </w:rPr>
      </w:pPr>
    </w:p>
    <w:p>
      <w:pPr>
        <w:jc w:val="both"/>
        <w:ind w:firstLine="13"/>
        <w:spacing w:after="0" w:line="317" w:lineRule="auto"/>
        <w:rPr>
          <w:sz w:val="20"/>
          <w:szCs w:val="20"/>
          <w:color w:val="auto"/>
        </w:rPr>
      </w:pPr>
      <w:r>
        <w:rPr>
          <w:rFonts w:ascii="Arial" w:cs="Arial" w:eastAsia="Arial" w:hAnsi="Arial"/>
          <w:sz w:val="17"/>
          <w:szCs w:val="17"/>
          <w:color w:val="auto"/>
        </w:rPr>
        <w:t>For employees in California, in accordance with Section 2872 of the California Labor Code, you are hereby notified this assignment does not apply to an invention subject to California law that you developed entirely on your own time without using the Company’s equipment, supplies, facilities, or trade secret information except for those inventions that: (1) relate at the time of conception or reduction to practice of the invention to the Company’s business, or actual or demonstrably anticipated research or development the Company; or (2) result from any work performed by you for the Company; or (3) relate to any work performed by you relating to a contract under which the Company has an obligation to assign title to the United States with respect to inventions resulting from work performed thereunder.</w:t>
      </w:r>
    </w:p>
    <w:p>
      <w:pPr>
        <w:spacing w:after="0" w:line="254" w:lineRule="exact"/>
        <w:rPr>
          <w:sz w:val="20"/>
          <w:szCs w:val="20"/>
          <w:color w:val="auto"/>
        </w:rPr>
      </w:pPr>
    </w:p>
    <w:p>
      <w:pPr>
        <w:jc w:val="both"/>
        <w:ind w:left="640" w:right="80"/>
        <w:spacing w:after="0" w:line="309" w:lineRule="auto"/>
        <w:rPr>
          <w:sz w:val="20"/>
          <w:szCs w:val="20"/>
          <w:color w:val="auto"/>
        </w:rPr>
      </w:pPr>
      <w:r>
        <w:rPr>
          <w:rFonts w:ascii="Arial" w:cs="Arial" w:eastAsia="Arial" w:hAnsi="Arial"/>
          <w:sz w:val="21"/>
          <w:szCs w:val="21"/>
          <w:color w:val="auto"/>
        </w:rPr>
        <w:t>agree that all original works of authorship are "works made for hire," as that term is defined in the United States Copyright Act and belong to the Company as an Invention under this policy. In the event that any original works or Inventions (i) that relate to the Company's business or potential business, (ii) that result from tasks assigned to me by the Company, or (iii) that are conceived or made with the use of the Company's time, facilities, materials or, resources shall be deemed to not constitute works made for hire, or in the event that you should otherwise, by operation of law, be deemed to retain any rights to any Inventions, you agree to assign to the Company, without further consideration, your entire right, title and interest in and to each and every such Invention and all Rights to said Inventions developed, created or discovered by you, whether working alone or jointly with others.</w:t>
      </w:r>
    </w:p>
    <w:p>
      <w:pPr>
        <w:spacing w:after="0" w:line="239" w:lineRule="exact"/>
        <w:rPr>
          <w:sz w:val="20"/>
          <w:szCs w:val="20"/>
          <w:color w:val="auto"/>
        </w:rPr>
      </w:pPr>
    </w:p>
    <w:p>
      <w:pPr>
        <w:jc w:val="both"/>
        <w:ind w:left="640" w:right="100" w:hanging="312"/>
        <w:spacing w:after="0" w:line="311" w:lineRule="auto"/>
        <w:tabs>
          <w:tab w:leader="none" w:pos="635"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Assistance.</w:t>
      </w:r>
      <w:r>
        <w:rPr>
          <w:rFonts w:ascii="Arial" w:cs="Arial" w:eastAsia="Arial" w:hAnsi="Arial"/>
          <w:sz w:val="21"/>
          <w:szCs w:val="21"/>
          <w:color w:val="auto"/>
        </w:rPr>
        <w:t xml:space="preserve"> I agree to assist Company in every proper way (but at the Company's expense) to obtain and from time to time enforce the Rights identified above in any and all countries with respect to the Inventions, and I agree to execute all necessary documents for use in applying for, registering, obtaining, and enforcing the Rights and assignments as the Company may desire.</w:t>
      </w:r>
    </w:p>
    <w:p>
      <w:pPr>
        <w:spacing w:after="0" w:line="219" w:lineRule="exact"/>
        <w:rPr>
          <w:rFonts w:ascii="Arial" w:cs="Arial" w:eastAsia="Arial" w:hAnsi="Arial"/>
          <w:sz w:val="21"/>
          <w:szCs w:val="21"/>
          <w:color w:val="auto"/>
        </w:rPr>
      </w:pPr>
    </w:p>
    <w:p>
      <w:pPr>
        <w:jc w:val="both"/>
        <w:ind w:left="640" w:right="100" w:hanging="317"/>
        <w:spacing w:after="0" w:line="297" w:lineRule="auto"/>
        <w:tabs>
          <w:tab w:leader="none" w:pos="639"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Disclosure of Potential Inventions.</w:t>
      </w:r>
      <w:r>
        <w:rPr>
          <w:rFonts w:ascii="Arial" w:cs="Arial" w:eastAsia="Arial" w:hAnsi="Arial"/>
          <w:sz w:val="21"/>
          <w:szCs w:val="21"/>
          <w:color w:val="auto"/>
        </w:rPr>
        <w:t xml:space="preserve"> During the period of my employment and for one (1) year after termination of my employment with the Company (voluntary or otherwise), I will promptly disclose to the Company fully and in writing (to be held in confidence by Company unless deemed to be an Invention) all potential Inventions authored, conceived or reduced to practice</w:t>
      </w:r>
    </w:p>
    <w:p>
      <w:pPr>
        <w:sectPr>
          <w:pgSz w:w="11900" w:h="16838" w:orient="portrait"/>
          <w:cols w:equalWidth="0" w:num="1">
            <w:col w:w="10940"/>
          </w:cols>
          <w:pgMar w:left="440" w:top="1140" w:right="519" w:bottom="1440" w:gutter="0" w:footer="0" w:header="0"/>
        </w:sectPr>
      </w:pPr>
    </w:p>
    <w:bookmarkStart w:id="117" w:name="page118"/>
    <w:bookmarkEnd w:id="117"/>
    <w:p>
      <w:pPr>
        <w:ind w:left="760"/>
        <w:spacing w:after="0" w:line="302" w:lineRule="auto"/>
        <w:rPr>
          <w:sz w:val="20"/>
          <w:szCs w:val="20"/>
          <w:color w:val="auto"/>
        </w:rPr>
      </w:pPr>
      <w:r>
        <w:rPr>
          <w:rFonts w:ascii="Arial" w:cs="Arial" w:eastAsia="Arial" w:hAnsi="Arial"/>
          <w:sz w:val="21"/>
          <w:szCs w:val="21"/>
          <w:color w:val="auto"/>
        </w:rPr>
        <w:t>by me, either alone or jointly with others, and all patent applications filed by me or on my behalf, so that the Company may determine its rights to any such potential Inventions.</w:t>
      </w:r>
    </w:p>
    <w:p>
      <w:pPr>
        <w:spacing w:after="0" w:line="256" w:lineRule="exact"/>
        <w:rPr>
          <w:sz w:val="20"/>
          <w:szCs w:val="20"/>
          <w:color w:val="auto"/>
        </w:rPr>
      </w:pPr>
    </w:p>
    <w:p>
      <w:pPr>
        <w:jc w:val="both"/>
        <w:ind w:left="760" w:hanging="317"/>
        <w:spacing w:after="0" w:line="309" w:lineRule="auto"/>
        <w:tabs>
          <w:tab w:leader="none" w:pos="757"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Prior Inventions.</w:t>
      </w:r>
      <w:r>
        <w:rPr>
          <w:rFonts w:ascii="Arial" w:cs="Arial" w:eastAsia="Arial" w:hAnsi="Arial"/>
          <w:sz w:val="21"/>
          <w:szCs w:val="21"/>
          <w:color w:val="auto"/>
        </w:rPr>
        <w:t xml:space="preserve"> To the extent I have made or conceived or first reduced to practice (either alone or jointly with others) any inventions or improvements relevant to my employment with Company, but before I commenced employment with Company, I am listing below all such inventions or improvements that are to be excluded from the operation of this Agreement. I am representing that I have listed all previously patented as well as any unpatented but potentially patentable ideas and inventions conceived prior to my employment with Company which have not been assigned to a former employer, and I further represent and warrant that such list is complete.</w:t>
      </w:r>
    </w:p>
    <w:p>
      <w:pPr>
        <w:spacing w:after="0" w:line="200" w:lineRule="exact"/>
        <w:rPr>
          <w:sz w:val="20"/>
          <w:szCs w:val="20"/>
          <w:color w:val="auto"/>
        </w:rPr>
      </w:pPr>
    </w:p>
    <w:p>
      <w:pPr>
        <w:spacing w:after="0"/>
        <w:tabs>
          <w:tab w:leader="none" w:pos="640" w:val="left"/>
          <w:tab w:leader="none" w:pos="1300" w:val="left"/>
        </w:tabs>
        <w:rPr>
          <w:sz w:val="20"/>
          <w:szCs w:val="20"/>
          <w:color w:val="auto"/>
        </w:rPr>
      </w:pPr>
      <w:r>
        <w:rPr>
          <w:rFonts w:ascii="Arial" w:cs="Arial" w:eastAsia="Arial" w:hAnsi="Arial"/>
          <w:sz w:val="21"/>
          <w:szCs w:val="21"/>
          <w:color w:val="auto"/>
        </w:rPr>
        <w:t>LIST</w:t>
        <w:tab/>
        <w:t>ANY</w:t>
      </w:r>
      <w:r>
        <w:rPr>
          <w:sz w:val="20"/>
          <w:szCs w:val="20"/>
          <w:color w:val="auto"/>
        </w:rPr>
        <w:tab/>
      </w:r>
      <w:r>
        <w:rPr>
          <w:rFonts w:ascii="Arial" w:cs="Arial" w:eastAsia="Arial" w:hAnsi="Arial"/>
          <w:sz w:val="20"/>
          <w:szCs w:val="20"/>
          <w:color w:val="auto"/>
        </w:rPr>
        <w:t>EXCLUSIONS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62356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562356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5623560"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5623560"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5623560" cy="85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5623560"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562356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2356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1002665</wp:posOffset>
            </wp:positionV>
            <wp:extent cx="562356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2356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0" w:hanging="222"/>
        <w:spacing w:after="0"/>
        <w:tabs>
          <w:tab w:leader="none" w:pos="520"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GENERAL PROVISIONS</w:t>
      </w:r>
      <w:r>
        <w:rPr>
          <w:rFonts w:ascii="Arial" w:cs="Arial" w:eastAsia="Arial" w:hAnsi="Arial"/>
          <w:sz w:val="21"/>
          <w:szCs w:val="21"/>
          <w:color w:val="auto"/>
        </w:rPr>
        <w:t>.</w:t>
      </w:r>
    </w:p>
    <w:p>
      <w:pPr>
        <w:spacing w:after="0" w:line="258" w:lineRule="exact"/>
        <w:rPr>
          <w:rFonts w:ascii="Arial" w:cs="Arial" w:eastAsia="Arial" w:hAnsi="Arial"/>
          <w:sz w:val="21"/>
          <w:szCs w:val="21"/>
          <w:color w:val="auto"/>
        </w:rPr>
      </w:pPr>
    </w:p>
    <w:p>
      <w:pPr>
        <w:ind w:left="760" w:right="20" w:hanging="317"/>
        <w:spacing w:after="0" w:line="302" w:lineRule="auto"/>
        <w:tabs>
          <w:tab w:leader="none" w:pos="758" w:val="left"/>
        </w:tabs>
        <w:numPr>
          <w:ilvl w:val="1"/>
          <w:numId w:val="113"/>
        </w:numPr>
        <w:rPr>
          <w:rFonts w:ascii="Arial" w:cs="Arial" w:eastAsia="Arial" w:hAnsi="Arial"/>
          <w:sz w:val="21"/>
          <w:szCs w:val="21"/>
          <w:color w:val="auto"/>
        </w:rPr>
      </w:pPr>
      <w:r>
        <w:rPr>
          <w:rFonts w:ascii="Arial" w:cs="Arial" w:eastAsia="Arial" w:hAnsi="Arial"/>
          <w:sz w:val="21"/>
          <w:szCs w:val="21"/>
          <w:color w:val="auto"/>
        </w:rPr>
        <w:t>This Agreement will be binding upon my heirs, assigns, executors, administrators or other legal representatives and will be for the benefit of the Company and its successors and assigns.</w:t>
      </w:r>
    </w:p>
    <w:p>
      <w:pPr>
        <w:sectPr>
          <w:pgSz w:w="11900" w:h="16838" w:orient="portrait"/>
          <w:cols w:equalWidth="0" w:num="1">
            <w:col w:w="10960"/>
          </w:cols>
          <w:pgMar w:left="320" w:top="1032" w:right="619" w:bottom="1440" w:gutter="0" w:footer="0" w:header="0"/>
        </w:sectPr>
      </w:pPr>
    </w:p>
    <w:bookmarkStart w:id="118" w:name="page119"/>
    <w:bookmarkEnd w:id="118"/>
    <w:p>
      <w:pPr>
        <w:ind w:left="325" w:right="20" w:hanging="317"/>
        <w:spacing w:after="0" w:line="302" w:lineRule="auto"/>
        <w:tabs>
          <w:tab w:leader="none" w:pos="32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Except as otherwise may be modified herein, disputes under this Agreement shall be resolved pursuant to the Employee Grievance Process or Mutual Dispute Arbitration Policy/Mutual Agreement to Arbitrate.</w:t>
      </w:r>
    </w:p>
    <w:p>
      <w:pPr>
        <w:spacing w:after="0" w:line="242" w:lineRule="exact"/>
        <w:rPr>
          <w:rFonts w:ascii="Arial" w:cs="Arial" w:eastAsia="Arial" w:hAnsi="Arial"/>
          <w:sz w:val="21"/>
          <w:szCs w:val="21"/>
          <w:color w:val="auto"/>
        </w:rPr>
      </w:pPr>
    </w:p>
    <w:p>
      <w:pPr>
        <w:jc w:val="both"/>
        <w:ind w:left="325" w:right="20" w:hanging="317"/>
        <w:spacing w:after="0" w:line="297" w:lineRule="auto"/>
        <w:tabs>
          <w:tab w:leader="none" w:pos="32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This agreement does not prohibit employees from testifying in an administrative, legislative, or judicial proceeding and giving truthful testimony when the employee has been required or requested to attend the proceeding pursuant to a court order, subpoena, or written request from an administrative agency or the legislature.</w:t>
      </w:r>
    </w:p>
    <w:p>
      <w:pPr>
        <w:spacing w:after="0" w:line="235" w:lineRule="exact"/>
        <w:rPr>
          <w:rFonts w:ascii="Arial" w:cs="Arial" w:eastAsia="Arial" w:hAnsi="Arial"/>
          <w:sz w:val="21"/>
          <w:szCs w:val="21"/>
          <w:color w:val="auto"/>
        </w:rPr>
      </w:pPr>
    </w:p>
    <w:p>
      <w:pPr>
        <w:jc w:val="both"/>
        <w:ind w:left="325" w:right="20" w:hanging="317"/>
        <w:spacing w:after="0" w:line="299" w:lineRule="auto"/>
        <w:tabs>
          <w:tab w:leader="none" w:pos="32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This agreement also does not prohibit employees from exercising any federal or state statutory “whistleblowing” rights to report certain conduct to government agencies or from complying with all requirements of the Gramm-Leach–Bliley Act.</w:t>
      </w:r>
    </w:p>
    <w:p>
      <w:pPr>
        <w:spacing w:after="0" w:line="231" w:lineRule="exact"/>
        <w:rPr>
          <w:rFonts w:ascii="Arial" w:cs="Arial" w:eastAsia="Arial" w:hAnsi="Arial"/>
          <w:sz w:val="21"/>
          <w:szCs w:val="21"/>
          <w:color w:val="auto"/>
        </w:rPr>
      </w:pPr>
    </w:p>
    <w:p>
      <w:pPr>
        <w:jc w:val="both"/>
        <w:ind w:left="325" w:right="20" w:hanging="317"/>
        <w:spacing w:after="0" w:line="297" w:lineRule="auto"/>
        <w:tabs>
          <w:tab w:leader="none" w:pos="32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This agreement does not prohibit employees from using open source software when working on assigned company projects. Employees may do so, but only in accordance with Company policy. Employee must obtain written permission from their immediate supervisor before making an open source contribution. Employees must clearly and carefully document all contributions. Employees must not sign any contribution or other related agreement until receiving written permission from their immediate supervisor to do so.</w:t>
      </w:r>
    </w:p>
    <w:p>
      <w:pPr>
        <w:spacing w:after="0" w:line="247" w:lineRule="exact"/>
        <w:rPr>
          <w:rFonts w:ascii="Arial" w:cs="Arial" w:eastAsia="Arial" w:hAnsi="Arial"/>
          <w:sz w:val="21"/>
          <w:szCs w:val="21"/>
          <w:color w:val="auto"/>
        </w:rPr>
      </w:pPr>
    </w:p>
    <w:p>
      <w:pPr>
        <w:jc w:val="both"/>
        <w:ind w:left="325" w:right="20" w:hanging="325"/>
        <w:spacing w:after="0" w:line="297" w:lineRule="auto"/>
        <w:tabs>
          <w:tab w:leader="none" w:pos="321" w:val="left"/>
        </w:tabs>
        <w:numPr>
          <w:ilvl w:val="0"/>
          <w:numId w:val="114"/>
        </w:numPr>
        <w:rPr>
          <w:rFonts w:ascii="Arial" w:cs="Arial" w:eastAsia="Arial" w:hAnsi="Arial"/>
          <w:sz w:val="21"/>
          <w:szCs w:val="21"/>
          <w:color w:val="auto"/>
        </w:rPr>
      </w:pPr>
      <w:r>
        <w:rPr>
          <w:rFonts w:ascii="Arial" w:cs="Arial" w:eastAsia="Arial" w:hAnsi="Arial"/>
          <w:sz w:val="21"/>
          <w:szCs w:val="21"/>
          <w:color w:val="auto"/>
        </w:rPr>
        <w:t>No waiver by the Company of any breach of this Agreement shall be a waiver of any preceding or succeeding breach. No waiver by the Company of any right or obligation under this Agreement shall be construed as a waiver of any other right or obligation. The Company shall not be required to give prior notice to enforce strict adherence to all terms of this Agreement.</w:t>
      </w:r>
    </w:p>
    <w:p>
      <w:pPr>
        <w:spacing w:after="0" w:line="235" w:lineRule="exact"/>
        <w:rPr>
          <w:rFonts w:ascii="Arial" w:cs="Arial" w:eastAsia="Arial" w:hAnsi="Arial"/>
          <w:sz w:val="21"/>
          <w:szCs w:val="21"/>
          <w:color w:val="auto"/>
        </w:rPr>
      </w:pPr>
    </w:p>
    <w:p>
      <w:pPr>
        <w:jc w:val="both"/>
        <w:ind w:left="325" w:right="20" w:hanging="318"/>
        <w:spacing w:after="0" w:line="297" w:lineRule="auto"/>
        <w:tabs>
          <w:tab w:leader="none" w:pos="31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In the event that any legal action becomes necessary to enforce or interpret the terms of this Agreement, the prevailing party shall be entitled, in addition to its court costs, to such reasonable attorney fees, expert witness fees and legal expenses as shall be fixed by a court of competent jurisdiction. This Agreement shall be governed by the laws of the State in which the employee works.</w:t>
      </w:r>
    </w:p>
    <w:p>
      <w:pPr>
        <w:spacing w:after="0" w:line="262" w:lineRule="exact"/>
        <w:rPr>
          <w:rFonts w:ascii="Arial" w:cs="Arial" w:eastAsia="Arial" w:hAnsi="Arial"/>
          <w:sz w:val="21"/>
          <w:szCs w:val="21"/>
          <w:color w:val="auto"/>
        </w:rPr>
      </w:pPr>
    </w:p>
    <w:p>
      <w:pPr>
        <w:ind w:left="325" w:right="20" w:hanging="312"/>
        <w:spacing w:after="0" w:line="316" w:lineRule="auto"/>
        <w:tabs>
          <w:tab w:leader="none" w:pos="316" w:val="left"/>
        </w:tabs>
        <w:numPr>
          <w:ilvl w:val="0"/>
          <w:numId w:val="114"/>
        </w:numPr>
        <w:rPr>
          <w:rFonts w:ascii="Arial" w:cs="Arial" w:eastAsia="Arial" w:hAnsi="Arial"/>
          <w:sz w:val="21"/>
          <w:szCs w:val="21"/>
          <w:color w:val="auto"/>
        </w:rPr>
      </w:pPr>
      <w:r>
        <w:rPr>
          <w:rFonts w:ascii="Arial" w:cs="Arial" w:eastAsia="Arial" w:hAnsi="Arial"/>
          <w:sz w:val="21"/>
          <w:szCs w:val="21"/>
          <w:color w:val="auto"/>
        </w:rPr>
        <w:t>Wherever necessary to carry out the intent of the parties, the provisions of this Agreement shall survive the termination of my employment with the Company and shall continue in full force and effect.</w:t>
      </w:r>
    </w:p>
    <w:p>
      <w:pPr>
        <w:spacing w:after="0" w:line="214" w:lineRule="exact"/>
        <w:rPr>
          <w:rFonts w:ascii="Arial" w:cs="Arial" w:eastAsia="Arial" w:hAnsi="Arial"/>
          <w:sz w:val="21"/>
          <w:szCs w:val="21"/>
          <w:color w:val="auto"/>
        </w:rPr>
      </w:pPr>
    </w:p>
    <w:p>
      <w:pPr>
        <w:jc w:val="both"/>
        <w:ind w:left="325" w:hanging="312"/>
        <w:spacing w:after="0" w:line="295" w:lineRule="auto"/>
        <w:tabs>
          <w:tab w:leader="none" w:pos="315" w:val="left"/>
        </w:tabs>
        <w:numPr>
          <w:ilvl w:val="0"/>
          <w:numId w:val="114"/>
        </w:numPr>
        <w:rPr>
          <w:rFonts w:ascii="Arial" w:cs="Arial" w:eastAsia="Arial" w:hAnsi="Arial"/>
          <w:sz w:val="21"/>
          <w:szCs w:val="21"/>
          <w:color w:val="auto"/>
        </w:rPr>
      </w:pPr>
      <w:r>
        <w:rPr>
          <w:rFonts w:ascii="Arial" w:cs="Arial" w:eastAsia="Arial" w:hAnsi="Arial"/>
          <w:sz w:val="21"/>
          <w:szCs w:val="21"/>
          <w:color w:val="auto"/>
        </w:rPr>
        <w:t>In case any one or more of the provisions contained in this Agreement shall, for any reason, be held to be invalid, illegal or unenforceable in any respect, such invalidity, illegality or unenforceability shall be construed by limiting and reducing such provision, so as to be enforceable to the fullest extent compatible with the intent of the parties and the then current applicable law, and if not possible, then this Agreement shall be construed as if such invalid,</w:t>
      </w:r>
    </w:p>
    <w:p>
      <w:pPr>
        <w:ind w:left="325" w:right="20" w:firstLine="6"/>
        <w:spacing w:after="0" w:line="302" w:lineRule="auto"/>
        <w:rPr>
          <w:rFonts w:ascii="Arial" w:cs="Arial" w:eastAsia="Arial" w:hAnsi="Arial"/>
          <w:sz w:val="21"/>
          <w:szCs w:val="21"/>
          <w:color w:val="auto"/>
        </w:rPr>
      </w:pPr>
      <w:r>
        <w:rPr>
          <w:rFonts w:ascii="Arial" w:cs="Arial" w:eastAsia="Arial" w:hAnsi="Arial"/>
          <w:sz w:val="21"/>
          <w:szCs w:val="21"/>
          <w:color w:val="auto"/>
        </w:rPr>
        <w:t>illegal or unenforceable provision had never been contained herein and it shall not affect the other provisions of this Agreement, which shall remain in full force and effect.</w:t>
      </w:r>
    </w:p>
    <w:p>
      <w:pPr>
        <w:sectPr>
          <w:pgSz w:w="11900" w:h="16838" w:orient="portrait"/>
          <w:cols w:equalWidth="0" w:num="1">
            <w:col w:w="10545"/>
          </w:cols>
          <w:pgMar w:left="755" w:top="978" w:right="599" w:bottom="1440" w:gutter="0" w:footer="0" w:header="0"/>
        </w:sectPr>
      </w:pPr>
    </w:p>
    <w:bookmarkStart w:id="119" w:name="page120"/>
    <w:bookmarkEnd w:id="119"/>
    <w:p>
      <w:pPr>
        <w:jc w:val="both"/>
        <w:ind w:left="760" w:hanging="329"/>
        <w:spacing w:after="0" w:line="314" w:lineRule="auto"/>
        <w:tabs>
          <w:tab w:leader="none" w:pos="758"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 acknowledge that this Agreement is in consideration of my employment or continued employment with the Company, whether executed before, at, or following my initial employment therewith. I further acknowledge that this Agreement does not create any obligation for my continued employment by the Company, or in any way alter my status as an “at will” employee, which means that my employment relationship may be terminated by either me or the Company at any time, for any reason, with or without cause and with or without prior notice.</w:t>
      </w:r>
    </w:p>
    <w:p>
      <w:pPr>
        <w:spacing w:after="0" w:line="237" w:lineRule="exact"/>
        <w:rPr>
          <w:rFonts w:ascii="Arial" w:cs="Arial" w:eastAsia="Arial" w:hAnsi="Arial"/>
          <w:sz w:val="20"/>
          <w:szCs w:val="20"/>
          <w:color w:val="auto"/>
        </w:rPr>
      </w:pPr>
    </w:p>
    <w:p>
      <w:pPr>
        <w:ind w:left="760" w:hanging="329"/>
        <w:spacing w:after="0" w:line="295" w:lineRule="auto"/>
        <w:tabs>
          <w:tab w:leader="none" w:pos="758"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This Agreement, including the attached Exhibits as referenced above, contains the entire understanding between myself and the Company with respect to the subject matter hereof,</w:t>
      </w:r>
    </w:p>
    <w:p>
      <w:pPr>
        <w:jc w:val="both"/>
        <w:ind w:left="760" w:hanging="4"/>
        <w:spacing w:after="0" w:line="299" w:lineRule="auto"/>
        <w:rPr>
          <w:rFonts w:ascii="Arial" w:cs="Arial" w:eastAsia="Arial" w:hAnsi="Arial"/>
          <w:sz w:val="21"/>
          <w:szCs w:val="21"/>
          <w:color w:val="auto"/>
        </w:rPr>
      </w:pPr>
      <w:r>
        <w:rPr>
          <w:rFonts w:ascii="Arial" w:cs="Arial" w:eastAsia="Arial" w:hAnsi="Arial"/>
          <w:sz w:val="21"/>
          <w:szCs w:val="21"/>
          <w:color w:val="auto"/>
        </w:rPr>
        <w:t>and there are no representations, warranties, promises or undertakings other than those contained in the provisions above. No modification of or amendment to this Agreement, nor any waiver of any rights or obligations under this Agreement, will be effective unless in writing and signed by both me and the Company.</w:t>
      </w:r>
    </w:p>
    <w:p>
      <w:pPr>
        <w:spacing w:after="0" w:line="200" w:lineRule="exact"/>
        <w:rPr>
          <w:sz w:val="20"/>
          <w:szCs w:val="20"/>
          <w:color w:val="auto"/>
        </w:rPr>
      </w:pPr>
    </w:p>
    <w:p>
      <w:pPr>
        <w:spacing w:after="0" w:line="274" w:lineRule="exact"/>
        <w:rPr>
          <w:sz w:val="20"/>
          <w:szCs w:val="20"/>
          <w:color w:val="auto"/>
        </w:rPr>
      </w:pPr>
    </w:p>
    <w:p>
      <w:pPr>
        <w:jc w:val="both"/>
        <w:ind w:left="120" w:firstLine="1016"/>
        <w:spacing w:after="0" w:line="295" w:lineRule="auto"/>
        <w:rPr>
          <w:sz w:val="20"/>
          <w:szCs w:val="20"/>
          <w:color w:val="auto"/>
        </w:rPr>
      </w:pPr>
      <w:r>
        <w:rPr>
          <w:rFonts w:ascii="Arial" w:cs="Arial" w:eastAsia="Arial" w:hAnsi="Arial"/>
          <w:sz w:val="21"/>
          <w:szCs w:val="21"/>
          <w:color w:val="auto"/>
        </w:rPr>
        <w:t>I represent and warrant that: (a) I have read this Agreement and understand all the terms and conditions hereof, (b) I have entered into this Agreement of my own free will and volition, (c) I have been advised by the Company that this Agreement is a legally binding contract and that I should seek my own independent attorney to review it, (d) I have been afforded ample opportunity to consult with my own attorney regarding this Agreement, and</w:t>
      </w:r>
    </w:p>
    <w:p>
      <w:pPr>
        <w:spacing w:after="0" w:line="1" w:lineRule="exact"/>
        <w:rPr>
          <w:sz w:val="20"/>
          <w:szCs w:val="20"/>
          <w:color w:val="auto"/>
        </w:rPr>
      </w:pPr>
    </w:p>
    <w:p>
      <w:pPr>
        <w:ind w:left="120" w:right="20" w:hanging="2"/>
        <w:spacing w:after="0" w:line="302" w:lineRule="auto"/>
        <w:tabs>
          <w:tab w:leader="none" w:pos="493"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terms of this Agreement are fair, reasonable and are being agreed to voluntarily in exchange for my employment or continued employment by the Company</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21"/>
          <w:szCs w:val="21"/>
          <w:color w:val="auto"/>
        </w:rPr>
        <w:t>This Agreement is executed by me at ______________, in the state of ________________, as of this __ day of</w:t>
      </w:r>
    </w:p>
    <w:p>
      <w:pPr>
        <w:ind w:left="360"/>
        <w:spacing w:after="0"/>
        <w:rPr>
          <w:sz w:val="20"/>
          <w:szCs w:val="20"/>
          <w:color w:val="auto"/>
        </w:rPr>
      </w:pPr>
      <w:r>
        <w:rPr>
          <w:rFonts w:ascii="Arial" w:cs="Arial" w:eastAsia="Arial" w:hAnsi="Arial"/>
          <w:sz w:val="21"/>
          <w:szCs w:val="21"/>
          <w:color w:val="auto"/>
        </w:rPr>
        <w:t>___, 202_.</w:t>
      </w:r>
    </w:p>
    <w:p>
      <w:pPr>
        <w:sectPr>
          <w:pgSz w:w="11900" w:h="16838" w:orient="portrait"/>
          <w:cols w:equalWidth="0" w:num="1">
            <w:col w:w="10980"/>
          </w:cols>
          <w:pgMar w:left="320" w:top="978" w:right="59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EMPLOYEE: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WITNESS:</w:t>
      </w:r>
    </w:p>
    <w:p>
      <w:pPr>
        <w:spacing w:after="0" w:line="195" w:lineRule="exact"/>
        <w:rPr>
          <w:sz w:val="20"/>
          <w:szCs w:val="20"/>
          <w:color w:val="auto"/>
        </w:rPr>
      </w:pPr>
    </w:p>
    <w:p>
      <w:pPr>
        <w:sectPr>
          <w:pgSz w:w="11900" w:h="16838" w:orient="portrait"/>
          <w:cols w:equalWidth="0" w:num="2">
            <w:col w:w="2300" w:space="720"/>
            <w:col w:w="7960"/>
          </w:cols>
          <w:pgMar w:left="320" w:top="978" w:right="599" w:bottom="1440" w:gutter="0" w:footer="0" w:header="0"/>
          <w:type w:val="continuous"/>
        </w:sectPr>
      </w:pPr>
    </w:p>
    <w:p>
      <w:pPr>
        <w:spacing w:after="0"/>
        <w:rPr>
          <w:sz w:val="20"/>
          <w:szCs w:val="20"/>
          <w:color w:val="auto"/>
        </w:rPr>
      </w:pPr>
      <w:r>
        <w:rPr>
          <w:rFonts w:ascii="Arial" w:cs="Arial" w:eastAsia="Arial" w:hAnsi="Arial"/>
          <w:sz w:val="20"/>
          <w:szCs w:val="20"/>
          <w:color w:val="auto"/>
        </w:rPr>
        <w:t>__________________________</w:t>
      </w:r>
    </w:p>
    <w:p>
      <w:pPr>
        <w:spacing w:after="0"/>
        <w:tabs>
          <w:tab w:leader="none" w:pos="2620" w:val="left"/>
        </w:tabs>
        <w:rPr>
          <w:sz w:val="20"/>
          <w:szCs w:val="20"/>
          <w:color w:val="auto"/>
        </w:rPr>
      </w:pPr>
      <w:r>
        <w:rPr>
          <w:rFonts w:ascii="Arial" w:cs="Arial" w:eastAsia="Arial" w:hAnsi="Arial"/>
          <w:sz w:val="20"/>
          <w:szCs w:val="20"/>
          <w:b w:val="1"/>
          <w:bCs w:val="1"/>
          <w:color w:val="auto"/>
        </w:rPr>
        <w:t>Print Name</w:t>
      </w:r>
      <w:r>
        <w:rPr>
          <w:sz w:val="20"/>
          <w:szCs w:val="20"/>
          <w:color w:val="auto"/>
        </w:rPr>
        <w:tab/>
      </w:r>
      <w:r>
        <w:rPr>
          <w:rFonts w:ascii="Arial" w:cs="Arial" w:eastAsia="Arial" w:hAnsi="Arial"/>
          <w:sz w:val="20"/>
          <w:szCs w:val="20"/>
          <w:b w:val="1"/>
          <w:bCs w:val="1"/>
          <w:color w:val="auto"/>
        </w:rPr>
        <w:t>Print Name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pacing w:after="0" w:line="400" w:lineRule="exact"/>
        <w:rPr>
          <w:sz w:val="20"/>
          <w:szCs w:val="20"/>
          <w:color w:val="auto"/>
        </w:rPr>
      </w:pPr>
    </w:p>
    <w:p>
      <w:pPr>
        <w:sectPr>
          <w:pgSz w:w="11900" w:h="16838" w:orient="portrait"/>
          <w:cols w:equalWidth="0" w:num="2">
            <w:col w:w="3700" w:space="100"/>
            <w:col w:w="7180"/>
          </w:cols>
          <w:pgMar w:left="320" w:top="978" w:right="599" w:bottom="1440" w:gutter="0" w:footer="0" w:header="0"/>
          <w:type w:val="continuous"/>
        </w:sectPr>
      </w:pPr>
    </w:p>
    <w:p>
      <w:pPr>
        <w:spacing w:after="0" w:line="245"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 xml:space="preserve">_________________________ </w:t>
      </w:r>
      <w:r>
        <w:rPr>
          <w:rFonts w:ascii="Arial" w:cs="Arial" w:eastAsia="Arial" w:hAnsi="Arial"/>
          <w:sz w:val="20"/>
          <w:szCs w:val="20"/>
          <w:b w:val="1"/>
          <w:bCs w:val="1"/>
          <w:color w:val="auto"/>
        </w:rPr>
        <w:t>Signature Signature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w:t>
      </w:r>
    </w:p>
    <w:p>
      <w:pPr>
        <w:sectPr>
          <w:pgSz w:w="11900" w:h="16838" w:orient="portrait"/>
          <w:cols w:equalWidth="0" w:num="2">
            <w:col w:w="3420" w:space="280"/>
            <w:col w:w="7280"/>
          </w:cols>
          <w:pgMar w:left="320" w:top="978" w:right="599" w:bottom="1440" w:gutter="0" w:footer="0" w:header="0"/>
          <w:type w:val="continuous"/>
        </w:sectPr>
      </w:pPr>
    </w:p>
    <w:bookmarkStart w:id="120" w:name="page121"/>
    <w:bookmarkEnd w:id="120"/>
    <w:p>
      <w:pPr>
        <w:jc w:val="center"/>
        <w:ind w:right="220"/>
        <w:spacing w:after="0"/>
        <w:rPr>
          <w:sz w:val="20"/>
          <w:szCs w:val="20"/>
          <w:color w:val="auto"/>
        </w:rPr>
      </w:pPr>
      <w:r>
        <w:rPr>
          <w:rFonts w:ascii="Arial" w:cs="Arial" w:eastAsia="Arial" w:hAnsi="Arial"/>
          <w:sz w:val="21"/>
          <w:szCs w:val="21"/>
          <w:b w:val="1"/>
          <w:bCs w:val="1"/>
          <w:u w:val="single" w:color="auto"/>
          <w:color w:val="auto"/>
        </w:rPr>
        <w:t>EXHIBIT A TERMINATION CERTIFICATE</w:t>
      </w:r>
    </w:p>
    <w:p>
      <w:pPr>
        <w:spacing w:after="0" w:line="365" w:lineRule="exact"/>
        <w:rPr>
          <w:sz w:val="20"/>
          <w:szCs w:val="20"/>
          <w:color w:val="auto"/>
        </w:rPr>
      </w:pPr>
    </w:p>
    <w:p>
      <w:pPr>
        <w:ind w:right="300"/>
        <w:spacing w:after="0" w:line="309" w:lineRule="auto"/>
        <w:rPr>
          <w:sz w:val="20"/>
          <w:szCs w:val="20"/>
          <w:color w:val="auto"/>
        </w:rPr>
      </w:pPr>
      <w:r>
        <w:rPr>
          <w:rFonts w:ascii="Arial" w:cs="Arial" w:eastAsia="Arial" w:hAnsi="Arial"/>
          <w:sz w:val="20"/>
          <w:szCs w:val="20"/>
          <w:color w:val="auto"/>
        </w:rPr>
        <w:t>This is to confirm that I have reviewed the Employee Nondisclosure, Confidentiality, and Nonsolicitation Agreement (“Agreement”) signed by me on _________, 20__ and that I understand the terms of that Agreement and the</w:t>
      </w:r>
    </w:p>
    <w:p>
      <w:pPr>
        <w:spacing w:after="0" w:line="2" w:lineRule="exact"/>
        <w:rPr>
          <w:sz w:val="20"/>
          <w:szCs w:val="20"/>
          <w:color w:val="auto"/>
        </w:rPr>
      </w:pPr>
    </w:p>
    <w:p>
      <w:pPr>
        <w:ind w:right="260"/>
        <w:spacing w:after="0" w:line="330" w:lineRule="auto"/>
        <w:rPr>
          <w:sz w:val="20"/>
          <w:szCs w:val="20"/>
          <w:color w:val="auto"/>
        </w:rPr>
      </w:pPr>
      <w:r>
        <w:rPr>
          <w:rFonts w:ascii="Arial" w:cs="Arial" w:eastAsia="Arial" w:hAnsi="Arial"/>
          <w:sz w:val="20"/>
          <w:szCs w:val="20"/>
          <w:color w:val="auto"/>
        </w:rPr>
        <w:t>continuing obligations I have under that Agreement. During the course of my employment with the Company, I have had access to information regarded by the Company as Confidential information as defined by the Agreement.</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21"/>
          <w:szCs w:val="21"/>
          <w:color w:val="auto"/>
        </w:rPr>
        <w:t>I certify that I do not have in my possession or control, nor have I failed to return, any Confidential Information of the Company, including any specifications, drawings, blueprints, reproductions, prototypes, sketches, notes, reports, proposals or copies thereof, or other documents or materials, tools, equipment, devices or other property belonging to the Company, including any documents, records, notebooks and similar repositories of Confidential Information, or any copies thereof, whether prepared by me or others, and whether stored in paper, disk, electronic, magnetic or other form.</w:t>
      </w:r>
    </w:p>
    <w:p>
      <w:pPr>
        <w:spacing w:after="0" w:line="265" w:lineRule="exact"/>
        <w:rPr>
          <w:sz w:val="20"/>
          <w:szCs w:val="20"/>
          <w:color w:val="auto"/>
        </w:rPr>
      </w:pPr>
    </w:p>
    <w:p>
      <w:pPr>
        <w:jc w:val="both"/>
        <w:spacing w:after="0" w:line="312" w:lineRule="auto"/>
        <w:rPr>
          <w:sz w:val="20"/>
          <w:szCs w:val="20"/>
          <w:color w:val="auto"/>
        </w:rPr>
      </w:pPr>
      <w:r>
        <w:rPr>
          <w:rFonts w:ascii="Arial" w:cs="Arial" w:eastAsia="Arial" w:hAnsi="Arial"/>
          <w:sz w:val="21"/>
          <w:szCs w:val="21"/>
          <w:color w:val="auto"/>
        </w:rPr>
        <w:t xml:space="preserve">I recognize that the unauthorized taking of any of the Company's tangible trade secrets is a crime under Section 499(c) of the California Penal Code, and that any unauthorized taking of the Company's trade secrets also may result in civil liability under California Civil Code Section 3426, </w:t>
      </w:r>
      <w:r>
        <w:rPr>
          <w:rFonts w:ascii="Arial" w:cs="Arial" w:eastAsia="Arial" w:hAnsi="Arial"/>
          <w:sz w:val="21"/>
          <w:szCs w:val="21"/>
          <w:u w:val="single" w:color="auto"/>
          <w:color w:val="auto"/>
        </w:rPr>
        <w:t>et seq</w:t>
      </w:r>
      <w:r>
        <w:rPr>
          <w:rFonts w:ascii="Arial" w:cs="Arial" w:eastAsia="Arial" w:hAnsi="Arial"/>
          <w:sz w:val="21"/>
          <w:szCs w:val="21"/>
          <w:color w:val="auto"/>
        </w:rPr>
        <w:t>.</w:t>
      </w:r>
    </w:p>
    <w:p>
      <w:pPr>
        <w:spacing w:after="0" w:line="314" w:lineRule="exact"/>
        <w:rPr>
          <w:sz w:val="20"/>
          <w:szCs w:val="20"/>
          <w:color w:val="auto"/>
        </w:rPr>
      </w:pPr>
    </w:p>
    <w:p>
      <w:pPr>
        <w:jc w:val="both"/>
        <w:spacing w:after="0" w:line="297" w:lineRule="auto"/>
        <w:rPr>
          <w:sz w:val="20"/>
          <w:szCs w:val="20"/>
          <w:color w:val="auto"/>
        </w:rPr>
      </w:pPr>
      <w:r>
        <w:rPr>
          <w:rFonts w:ascii="Arial" w:cs="Arial" w:eastAsia="Arial" w:hAnsi="Arial"/>
          <w:sz w:val="21"/>
          <w:szCs w:val="21"/>
          <w:color w:val="auto"/>
        </w:rPr>
        <w:t>I further certify that I have complied with and will continue to comply with all of the terms of the Agreement signed by me with the Company, including the reporting of any inventions conceived or reduced to practice by me and covered by the Agreement. I further agree that in compliance with the Agreement, I will preserve in strictest confidence and keep confidential all proprietary, technical and business information pertaining to the Company, and will not disclose or use any Confidential Information for myself or for the benefit of any other person or entity.</w:t>
      </w:r>
    </w:p>
    <w:p>
      <w:pPr>
        <w:spacing w:after="0" w:line="342" w:lineRule="exact"/>
        <w:rPr>
          <w:sz w:val="20"/>
          <w:szCs w:val="20"/>
          <w:color w:val="auto"/>
        </w:rPr>
      </w:pPr>
    </w:p>
    <w:p>
      <w:pPr>
        <w:jc w:val="both"/>
        <w:spacing w:after="0" w:line="302" w:lineRule="auto"/>
        <w:rPr>
          <w:sz w:val="20"/>
          <w:szCs w:val="20"/>
          <w:color w:val="auto"/>
        </w:rPr>
      </w:pPr>
      <w:r>
        <w:rPr>
          <w:rFonts w:ascii="Arial" w:cs="Arial" w:eastAsia="Arial" w:hAnsi="Arial"/>
          <w:sz w:val="21"/>
          <w:szCs w:val="21"/>
          <w:color w:val="auto"/>
        </w:rPr>
        <w:t>Upon termination of my employment with the Company, I will be employed by (name of new employer) in the (division/department) and will be working in connection with the projects (generally describe the projects):</w:t>
      </w:r>
    </w:p>
    <w:p>
      <w:pPr>
        <w:spacing w:after="0" w:line="200" w:lineRule="exact"/>
        <w:rPr>
          <w:sz w:val="20"/>
          <w:szCs w:val="20"/>
          <w:color w:val="auto"/>
        </w:rPr>
      </w:pPr>
    </w:p>
    <w:p>
      <w:pPr>
        <w:spacing w:after="0" w:line="272" w:lineRule="exact"/>
        <w:rPr>
          <w:sz w:val="20"/>
          <w:szCs w:val="20"/>
          <w:color w:val="auto"/>
        </w:rPr>
      </w:pPr>
    </w:p>
    <w:p>
      <w:pPr>
        <w:jc w:val="both"/>
        <w:spacing w:after="0" w:line="297" w:lineRule="auto"/>
        <w:rPr>
          <w:sz w:val="20"/>
          <w:szCs w:val="20"/>
          <w:color w:val="auto"/>
        </w:rPr>
      </w:pPr>
      <w:r>
        <w:rPr>
          <w:rFonts w:ascii="Arial" w:cs="Arial" w:eastAsia="Arial" w:hAnsi="Arial"/>
          <w:sz w:val="21"/>
          <w:szCs w:val="21"/>
          <w:color w:val="auto"/>
        </w:rPr>
        <w:t>If requested by the Company, I agree to notify my new employer as to the general nature or subject matter of the confidential and proprietary information to which I had access while employed by the Company, and as to my obligations with respect to such information (without actually disclosing such Confidential Information). I also understand that the Company may notify my new employer of the existence of the Agreement and this Certificate.</w:t>
      </w:r>
    </w:p>
    <w:p>
      <w:pPr>
        <w:sectPr>
          <w:pgSz w:w="11900" w:h="16838" w:orient="portrait"/>
          <w:cols w:equalWidth="0" w:num="1">
            <w:col w:w="10800"/>
          </w:cols>
          <w:pgMar w:left="660" w:top="1168" w:right="439" w:bottom="1440" w:gutter="0" w:footer="0" w:header="0"/>
        </w:sectPr>
      </w:pPr>
    </w:p>
    <w:bookmarkStart w:id="121" w:name="page122"/>
    <w:bookmarkEnd w:id="121"/>
    <w:p>
      <w:pPr>
        <w:spacing w:after="0" w:line="297" w:lineRule="auto"/>
        <w:rPr>
          <w:sz w:val="20"/>
          <w:szCs w:val="20"/>
          <w:color w:val="auto"/>
        </w:rPr>
      </w:pPr>
      <w:r>
        <w:rPr>
          <w:rFonts w:ascii="Arial" w:cs="Arial" w:eastAsia="Arial" w:hAnsi="Arial"/>
          <w:sz w:val="21"/>
          <w:szCs w:val="21"/>
          <w:color w:val="auto"/>
        </w:rPr>
        <w:t>I understand and acknowledge that should I fail to comply with my obligations under the Agreement after my employment ends, the Company shall have, in addition to the right to damages, the right to obtain an injunction against me, including without limitation an injunction prohibiting me from disclosing Confidential Information to my new employer or to any third party.</w:t>
      </w:r>
    </w:p>
    <w:p>
      <w:pPr>
        <w:sectPr>
          <w:pgSz w:w="11900" w:h="16838" w:orient="portrait"/>
          <w:cols w:equalWidth="0" w:num="1">
            <w:col w:w="10340"/>
          </w:cols>
          <w:pgMar w:left="660" w:top="1235" w:right="899" w:bottom="1440" w:gutter="0" w:footer="0" w:header="0"/>
        </w:sectPr>
      </w:pPr>
    </w:p>
    <w:bookmarkStart w:id="122" w:name="page123"/>
    <w:bookmarkEnd w:id="122"/>
    <w:p>
      <w:pPr>
        <w:ind w:left="240"/>
        <w:spacing w:after="0"/>
        <w:rPr>
          <w:sz w:val="20"/>
          <w:szCs w:val="20"/>
          <w:color w:val="auto"/>
        </w:rPr>
      </w:pPr>
      <w:r>
        <w:rPr>
          <w:rFonts w:ascii="Arial" w:cs="Arial" w:eastAsia="Arial" w:hAnsi="Arial"/>
          <w:sz w:val="20"/>
          <w:szCs w:val="20"/>
          <w:color w:val="auto"/>
        </w:rPr>
        <w:t>This Agreement is executed by me at _____________________, in the State of ____________, as of this ___ day of</w:t>
      </w:r>
    </w:p>
    <w:p>
      <w:pPr>
        <w:ind w:left="240"/>
        <w:spacing w:after="0"/>
        <w:rPr>
          <w:sz w:val="20"/>
          <w:szCs w:val="20"/>
          <w:color w:val="auto"/>
        </w:rPr>
      </w:pPr>
      <w:r>
        <w:rPr>
          <w:rFonts w:ascii="Arial" w:cs="Arial" w:eastAsia="Arial" w:hAnsi="Arial"/>
          <w:sz w:val="21"/>
          <w:szCs w:val="21"/>
          <w:color w:val="auto"/>
        </w:rPr>
        <w:t>____________, 20__.</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460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1460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10940"/>
          </w:cols>
          <w:pgMar w:left="540" w:top="1167" w:right="4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 Vivek Garipalli, certify that:</w:t>
      </w:r>
    </w:p>
    <w:p>
      <w:pPr>
        <w:spacing w:after="0" w:line="225" w:lineRule="exact"/>
        <w:rPr>
          <w:sz w:val="20"/>
          <w:szCs w:val="20"/>
          <w:color w:val="auto"/>
        </w:rPr>
      </w:pPr>
    </w:p>
    <w:p>
      <w:pPr>
        <w:ind w:left="520" w:hanging="432"/>
        <w:spacing w:after="0"/>
        <w:tabs>
          <w:tab w:leader="none" w:pos="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2022, of Clover Health Investments, Corp.;</w:t>
      </w:r>
    </w:p>
    <w:p>
      <w:pPr>
        <w:spacing w:after="0" w:line="225" w:lineRule="exact"/>
        <w:rPr>
          <w:rFonts w:ascii="Arial" w:cs="Arial" w:eastAsia="Arial" w:hAnsi="Arial"/>
          <w:sz w:val="18"/>
          <w:szCs w:val="18"/>
          <w:color w:val="auto"/>
        </w:rPr>
      </w:pPr>
    </w:p>
    <w:p>
      <w:pPr>
        <w:jc w:val="both"/>
        <w:ind w:left="520" w:right="340" w:hanging="432"/>
        <w:spacing w:after="0" w:line="263" w:lineRule="auto"/>
        <w:tabs>
          <w:tab w:leader="none" w:pos="5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300" w:hanging="432"/>
        <w:spacing w:after="0" w:line="308" w:lineRule="auto"/>
        <w:tabs>
          <w:tab w:leader="none" w:pos="51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320" w:hanging="432"/>
        <w:spacing w:after="0" w:line="263" w:lineRule="auto"/>
        <w:tabs>
          <w:tab w:leader="none" w:pos="5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60" w:hanging="451"/>
        <w:spacing w:after="0" w:line="263" w:lineRule="auto"/>
        <w:tabs>
          <w:tab w:leader="none" w:pos="96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460" w:hanging="451"/>
        <w:spacing w:after="0" w:line="263" w:lineRule="auto"/>
        <w:tabs>
          <w:tab w:leader="none" w:pos="97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620" w:hanging="451"/>
        <w:spacing w:after="0" w:line="342" w:lineRule="auto"/>
        <w:tabs>
          <w:tab w:leader="none" w:pos="96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180" w:hanging="451"/>
        <w:spacing w:after="0" w:line="263" w:lineRule="auto"/>
        <w:tabs>
          <w:tab w:leader="none" w:pos="97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40" w:hanging="432"/>
        <w:spacing w:after="0" w:line="308" w:lineRule="auto"/>
        <w:tabs>
          <w:tab w:leader="none" w:pos="51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60" w:hanging="451"/>
        <w:spacing w:after="0" w:line="277" w:lineRule="auto"/>
        <w:tabs>
          <w:tab w:leader="none" w:pos="96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451"/>
        <w:spacing w:after="0" w:line="277" w:lineRule="auto"/>
        <w:tabs>
          <w:tab w:leader="none" w:pos="97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4520" w:val="left"/>
          <w:tab w:leader="none" w:pos="6980" w:val="left"/>
        </w:tabs>
        <w:rPr>
          <w:sz w:val="20"/>
          <w:szCs w:val="20"/>
          <w:color w:val="auto"/>
        </w:rPr>
      </w:pPr>
      <w:r>
        <w:rPr>
          <w:rFonts w:ascii="Arial" w:cs="Arial" w:eastAsia="Arial" w:hAnsi="Arial"/>
          <w:sz w:val="18"/>
          <w:szCs w:val="18"/>
          <w:color w:val="auto"/>
        </w:rPr>
        <w:t>: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320"/>
          </w:cols>
          <w:pgMar w:left="240" w:top="769"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 Scott J. Leffler, certify that:</w:t>
      </w:r>
    </w:p>
    <w:p>
      <w:pPr>
        <w:spacing w:after="0" w:line="225" w:lineRule="exact"/>
        <w:rPr>
          <w:sz w:val="20"/>
          <w:szCs w:val="20"/>
          <w:color w:val="auto"/>
        </w:rPr>
      </w:pPr>
    </w:p>
    <w:p>
      <w:pPr>
        <w:ind w:left="520" w:hanging="432"/>
        <w:spacing w:after="0"/>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2022, of Clover Health Investments, Corp.;</w:t>
      </w:r>
    </w:p>
    <w:p>
      <w:pPr>
        <w:spacing w:after="0" w:line="225" w:lineRule="exact"/>
        <w:rPr>
          <w:rFonts w:ascii="Arial" w:cs="Arial" w:eastAsia="Arial" w:hAnsi="Arial"/>
          <w:sz w:val="18"/>
          <w:szCs w:val="18"/>
          <w:color w:val="auto"/>
        </w:rPr>
      </w:pPr>
    </w:p>
    <w:p>
      <w:pPr>
        <w:jc w:val="both"/>
        <w:ind w:left="520" w:right="340" w:hanging="432"/>
        <w:spacing w:after="0" w:line="263" w:lineRule="auto"/>
        <w:tabs>
          <w:tab w:leader="none" w:pos="5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300" w:hanging="432"/>
        <w:spacing w:after="0" w:line="308" w:lineRule="auto"/>
        <w:tabs>
          <w:tab w:leader="none" w:pos="51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320" w:hanging="432"/>
        <w:spacing w:after="0" w:line="263" w:lineRule="auto"/>
        <w:tabs>
          <w:tab w:leader="none" w:pos="5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60" w:hanging="451"/>
        <w:spacing w:after="0" w:line="263" w:lineRule="auto"/>
        <w:tabs>
          <w:tab w:leader="none" w:pos="96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460" w:hanging="451"/>
        <w:spacing w:after="0" w:line="263" w:lineRule="auto"/>
        <w:tabs>
          <w:tab w:leader="none" w:pos="97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620" w:hanging="451"/>
        <w:spacing w:after="0" w:line="342" w:lineRule="auto"/>
        <w:tabs>
          <w:tab w:leader="none" w:pos="96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180" w:hanging="451"/>
        <w:spacing w:after="0" w:line="263" w:lineRule="auto"/>
        <w:tabs>
          <w:tab w:leader="none" w:pos="97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40" w:hanging="432"/>
        <w:spacing w:after="0" w:line="308" w:lineRule="auto"/>
        <w:tabs>
          <w:tab w:leader="none" w:pos="51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60" w:hanging="451"/>
        <w:spacing w:after="0" w:line="277" w:lineRule="auto"/>
        <w:tabs>
          <w:tab w:leader="none" w:pos="96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451"/>
        <w:spacing w:after="0" w:line="277" w:lineRule="auto"/>
        <w:tabs>
          <w:tab w:leader="none" w:pos="97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4520" w:val="left"/>
          <w:tab w:leader="none" w:pos="7000" w:val="left"/>
        </w:tabs>
        <w:rPr>
          <w:sz w:val="20"/>
          <w:szCs w:val="20"/>
          <w:color w:val="auto"/>
        </w:rPr>
      </w:pPr>
      <w:r>
        <w:rPr>
          <w:rFonts w:ascii="Arial" w:cs="Arial" w:eastAsia="Arial" w:hAnsi="Arial"/>
          <w:sz w:val="18"/>
          <w:szCs w:val="18"/>
          <w:color w:val="auto"/>
        </w:rPr>
        <w:t>: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Scott J. Leffler</w:t>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Chief Financial Officer (Principal Financial Officer and Principal</w:t>
      </w:r>
    </w:p>
    <w:p>
      <w:pPr>
        <w:ind w:left="7120"/>
        <w:spacing w:after="0"/>
        <w:rPr>
          <w:sz w:val="20"/>
          <w:szCs w:val="20"/>
          <w:color w:val="auto"/>
        </w:rPr>
      </w:pPr>
      <w:r>
        <w:rPr>
          <w:rFonts w:ascii="Arial" w:cs="Arial" w:eastAsia="Arial" w:hAnsi="Arial"/>
          <w:sz w:val="18"/>
          <w:szCs w:val="18"/>
          <w:b w:val="1"/>
          <w:bCs w:val="1"/>
          <w:color w:val="auto"/>
        </w:rPr>
        <w:t>Accounting Officer)</w:t>
      </w:r>
    </w:p>
    <w:p>
      <w:pPr>
        <w:sectPr>
          <w:pgSz w:w="11900" w:h="16838" w:orient="portrait"/>
          <w:cols w:equalWidth="0" w:num="1">
            <w:col w:w="11320"/>
          </w:cols>
          <w:pgMar w:left="240" w:top="769"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80" w:right="100" w:firstLine="441"/>
        <w:spacing w:after="0" w:line="263" w:lineRule="auto"/>
        <w:rPr>
          <w:sz w:val="20"/>
          <w:szCs w:val="20"/>
          <w:color w:val="auto"/>
        </w:rPr>
      </w:pPr>
      <w:r>
        <w:rPr>
          <w:rFonts w:ascii="Arial" w:cs="Arial" w:eastAsia="Arial" w:hAnsi="Arial"/>
          <w:sz w:val="18"/>
          <w:szCs w:val="18"/>
          <w:color w:val="auto"/>
        </w:rPr>
        <w:t>In connection with the Quarterly Report on Form 10-Q of Clover Health Investments, Corp. (the “Company”) for the period ended June 30,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60" w:hanging="431"/>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680" w:hanging="451"/>
        <w:spacing w:after="0" w:line="277" w:lineRule="auto"/>
        <w:tabs>
          <w:tab w:leader="none" w:pos="97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4520" w:val="left"/>
          <w:tab w:leader="none" w:pos="6980" w:val="left"/>
        </w:tabs>
        <w:rPr>
          <w:sz w:val="20"/>
          <w:szCs w:val="20"/>
          <w:color w:val="auto"/>
        </w:rPr>
      </w:pPr>
      <w:r>
        <w:rPr>
          <w:rFonts w:ascii="Arial" w:cs="Arial" w:eastAsia="Arial" w:hAnsi="Arial"/>
          <w:sz w:val="18"/>
          <w:szCs w:val="18"/>
          <w:color w:val="auto"/>
        </w:rPr>
        <w:t>d: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320"/>
          </w:cols>
          <w:pgMar w:left="240" w:top="769"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80" w:right="100" w:firstLine="441"/>
        <w:spacing w:after="0" w:line="263" w:lineRule="auto"/>
        <w:rPr>
          <w:sz w:val="20"/>
          <w:szCs w:val="20"/>
          <w:color w:val="auto"/>
        </w:rPr>
      </w:pPr>
      <w:r>
        <w:rPr>
          <w:rFonts w:ascii="Arial" w:cs="Arial" w:eastAsia="Arial" w:hAnsi="Arial"/>
          <w:sz w:val="18"/>
          <w:szCs w:val="18"/>
          <w:color w:val="auto"/>
        </w:rPr>
        <w:t>In connection with the Quarterly Report on Form 10-Q of Clover Health Investments, Corp. (the “Company”) for the period ended June 30,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960" w:hanging="431"/>
        <w:spacing w:after="0"/>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680" w:hanging="451"/>
        <w:spacing w:after="0" w:line="277" w:lineRule="auto"/>
        <w:tabs>
          <w:tab w:leader="none" w:pos="97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4520" w:val="left"/>
          <w:tab w:leader="none" w:pos="7000" w:val="left"/>
        </w:tabs>
        <w:rPr>
          <w:sz w:val="20"/>
          <w:szCs w:val="20"/>
          <w:color w:val="auto"/>
        </w:rPr>
      </w:pPr>
      <w:r>
        <w:rPr>
          <w:rFonts w:ascii="Arial" w:cs="Arial" w:eastAsia="Arial" w:hAnsi="Arial"/>
          <w:sz w:val="18"/>
          <w:szCs w:val="18"/>
          <w:color w:val="auto"/>
        </w:rPr>
        <w:t>d: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14605</wp:posOffset>
            </wp:positionV>
            <wp:extent cx="31032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2"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Scott J. Leffler</w:t>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Chief Financial Officer (Principal Financial Officer and Principal</w:t>
      </w:r>
    </w:p>
    <w:p>
      <w:pPr>
        <w:ind w:left="7120"/>
        <w:spacing w:after="0"/>
        <w:rPr>
          <w:sz w:val="20"/>
          <w:szCs w:val="20"/>
          <w:color w:val="auto"/>
        </w:rPr>
      </w:pPr>
      <w:r>
        <w:rPr>
          <w:rFonts w:ascii="Arial" w:cs="Arial" w:eastAsia="Arial" w:hAnsi="Arial"/>
          <w:sz w:val="18"/>
          <w:szCs w:val="18"/>
          <w:b w:val="1"/>
          <w:bCs w:val="1"/>
          <w:color w:val="auto"/>
        </w:rPr>
        <w:t>Accounting Officer)</w:t>
      </w:r>
    </w:p>
    <w:sectPr>
      <w:pgSz w:w="11900" w:h="16838" w:orient="portrait"/>
      <w:cols w:equalWidth="0" w:num="1">
        <w:col w:w="11320"/>
      </w:cols>
      <w:pgMar w:left="24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o"/>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1)"/>
      <w:numFmt w:val="decimal"/>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1)"/>
      <w:numFmt w:val="decimal"/>
      <w:start w:val="1"/>
    </w:lvl>
  </w:abstractNum>
  <w:abstractNum w:abstractNumId="6">
    <w:nsid w:val="579BE4F1"/>
    <w:multiLevelType w:val="hybridMultilevel"/>
    <w:lvl w:ilvl="0">
      <w:lvlJc w:val="left"/>
      <w:lvlText w:val="(%1)"/>
      <w:numFmt w:val="decimal"/>
      <w:start w:val="1"/>
    </w:lvl>
  </w:abstractNum>
  <w:abstractNum w:abstractNumId="7">
    <w:nsid w:val="310C50B3"/>
    <w:multiLevelType w:val="hybridMultilevel"/>
    <w:lvl w:ilvl="0">
      <w:lvlJc w:val="left"/>
      <w:lvlText w:val="(%1)"/>
      <w:numFmt w:val="decimal"/>
      <w:start w:val="1"/>
    </w:lvl>
  </w:abstractNum>
  <w:abstractNum w:abstractNumId="8">
    <w:nsid w:val="5FF87E05"/>
    <w:multiLevelType w:val="hybridMultilevel"/>
    <w:lvl w:ilvl="0">
      <w:lvlJc w:val="left"/>
      <w:lvlText w:val="\emdash "/>
      <w:numFmt w:val="bullet"/>
      <w:start w:val="1"/>
    </w:lvl>
  </w:abstractNum>
  <w:abstractNum w:abstractNumId="9">
    <w:nsid w:val="2F305DEF"/>
    <w:multiLevelType w:val="hybridMultilevel"/>
    <w:lvl w:ilvl="0">
      <w:lvlJc w:val="left"/>
      <w:lvlText w:val="\emdash "/>
      <w:numFmt w:val="bullet"/>
      <w:start w:val="1"/>
    </w:lvl>
  </w:abstractNum>
  <w:abstractNum w:abstractNumId="10">
    <w:nsid w:val="25A70BF7"/>
    <w:multiLevelType w:val="hybridMultilevel"/>
    <w:lvl w:ilvl="0">
      <w:lvlJc w:val="left"/>
      <w:lvlText w:val="(%1)"/>
      <w:numFmt w:val="decimal"/>
      <w:start w:val="1"/>
    </w:lvl>
  </w:abstractNum>
  <w:abstractNum w:abstractNumId="11">
    <w:nsid w:val="1DBABF00"/>
    <w:multiLevelType w:val="hybridMultilevel"/>
    <w:lvl w:ilvl="0">
      <w:lvlJc w:val="left"/>
      <w:lvlText w:val="(%1)"/>
      <w:numFmt w:val="decimal"/>
      <w:start w:val="1"/>
    </w:lvl>
  </w:abstractNum>
  <w:abstractNum w:abstractNumId="12">
    <w:nsid w:val="4AD084E9"/>
    <w:multiLevelType w:val="hybridMultilevel"/>
    <w:lvl w:ilvl="0">
      <w:lvlJc w:val="left"/>
      <w:lvlText w:val="(%1)"/>
      <w:numFmt w:val="decimal"/>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1."/>
      <w:numFmt w:val="decimal"/>
      <w:start w:val="1"/>
    </w:lvl>
    <w:lvl w:ilvl="1">
      <w:lvlJc w:val="left"/>
      <w:lvlText w:val="%2."/>
      <w:numFmt w:val="lowerLetter"/>
      <w:start w:val="1"/>
    </w:lvl>
  </w:abstractNum>
  <w:abstractNum w:abstractNumId="16">
    <w:nsid w:val="100F8FCA"/>
    <w:multiLevelType w:val="hybridMultilevel"/>
    <w:lvl w:ilvl="0">
      <w:lvlJc w:val="left"/>
      <w:lvlText w:val="%1."/>
      <w:numFmt w:val="decimal"/>
      <w:start w:val="2"/>
    </w:lvl>
    <w:lvl w:ilvl="1">
      <w:lvlJc w:val="left"/>
      <w:lvlText w:val="%2."/>
      <w:numFmt w:val="lowerLetter"/>
      <w:start w:val="4"/>
    </w:lvl>
  </w:abstractNum>
  <w:abstractNum w:abstractNumId="17">
    <w:nsid w:val="6590700B"/>
    <w:multiLevelType w:val="hybridMultilevel"/>
    <w:lvl w:ilvl="0">
      <w:lvlJc w:val="left"/>
      <w:lvlText w:val="%1."/>
      <w:numFmt w:val="lowerLetter"/>
      <w:start w:val="6"/>
    </w:lvl>
  </w:abstractNum>
  <w:abstractNum w:abstractNumId="18">
    <w:nsid w:val="15014ACB"/>
    <w:multiLevelType w:val="hybridMultilevel"/>
    <w:lvl w:ilvl="0">
      <w:lvlJc w:val="left"/>
      <w:lvlText w:val="%1."/>
      <w:numFmt w:val="decimal"/>
      <w:start w:val="3"/>
    </w:lvl>
    <w:lvl w:ilvl="1">
      <w:lvlJc w:val="left"/>
      <w:lvlText w:val="%2"/>
      <w:numFmt w:val="lowerLetter"/>
      <w:start w:val="1"/>
    </w:lvl>
  </w:abstractNum>
  <w:abstractNum w:abstractNumId="19">
    <w:nsid w:val="5F5E7FD0"/>
    <w:multiLevelType w:val="hybridMultilevel"/>
    <w:lvl w:ilvl="0">
      <w:lvlJc w:val="left"/>
      <w:lvlText w:val="%1."/>
      <w:numFmt w:val="lowerRoman"/>
      <w:start w:val="1"/>
    </w:lvl>
    <w:lvl w:ilvl="1">
      <w:lvlJc w:val="left"/>
      <w:lvlText w:val="(%2)"/>
      <w:numFmt w:val="lowerLetter"/>
      <w:start w:val="25"/>
    </w:lvl>
  </w:abstractNum>
  <w:abstractNum w:abstractNumId="20">
    <w:nsid w:val="98A3148"/>
    <w:multiLevelType w:val="hybridMultilevel"/>
    <w:lvl w:ilvl="0">
      <w:lvlJc w:val="left"/>
      <w:lvlText w:val="%1."/>
      <w:numFmt w:val="lowerRoman"/>
      <w:start w:val="1"/>
    </w:lvl>
    <w:lvl w:ilvl="1">
      <w:lvlJc w:val="left"/>
      <w:lvlText w:val="%2."/>
      <w:numFmt w:val="lowerRoman"/>
      <w:start w:val="1"/>
    </w:lvl>
  </w:abstractNum>
  <w:abstractNum w:abstractNumId="21">
    <w:nsid w:val="799D0247"/>
    <w:multiLevelType w:val="hybridMultilevel"/>
    <w:lvl w:ilvl="0">
      <w:lvlJc w:val="left"/>
      <w:lvlText w:val="%1"/>
      <w:numFmt w:val="decimal"/>
      <w:start w:val="1"/>
    </w:lvl>
    <w:lvl w:ilvl="1">
      <w:lvlJc w:val="left"/>
      <w:lvlText w:val="%2."/>
      <w:numFmt w:val="lowerLetter"/>
      <w:start w:val="10"/>
    </w:lvl>
  </w:abstractNum>
  <w:abstractNum w:abstractNumId="22">
    <w:nsid w:val="6B94764"/>
    <w:multiLevelType w:val="hybridMultilevel"/>
    <w:lvl w:ilvl="0">
      <w:lvlJc w:val="left"/>
      <w:lvlText w:val="%1."/>
      <w:numFmt w:val="decimal"/>
      <w:start w:val="7"/>
    </w:lvl>
    <w:lvl w:ilvl="1">
      <w:lvlJc w:val="left"/>
      <w:lvlText w:val="%2."/>
      <w:numFmt w:val="lowerLetter"/>
      <w:start w:val="14"/>
    </w:lvl>
  </w:abstractNum>
  <w:abstractNum w:abstractNumId="23">
    <w:nsid w:val="42C296BD"/>
    <w:multiLevelType w:val="hybridMultilevel"/>
    <w:lvl w:ilvl="0">
      <w:lvlJc w:val="left"/>
      <w:lvlText w:val="%1."/>
      <w:numFmt w:val="lowerLetter"/>
      <w:start w:val="15"/>
    </w:lvl>
    <w:lvl w:ilvl="1">
      <w:lvlJc w:val="left"/>
      <w:lvlText w:val="%2."/>
      <w:numFmt w:val="lowerRoman"/>
      <w:start w:val="5"/>
    </w:lvl>
  </w:abstractNum>
  <w:abstractNum w:abstractNumId="24">
    <w:nsid w:val="168E121F"/>
    <w:multiLevelType w:val="hybridMultilevel"/>
    <w:lvl w:ilvl="0">
      <w:lvlJc w:val="left"/>
      <w:lvlText w:val="%1."/>
      <w:numFmt w:val="lowerRoman"/>
      <w:start w:val="7"/>
    </w:lvl>
  </w:abstractNum>
  <w:abstractNum w:abstractNumId="25">
    <w:nsid w:val="1EBA5D2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6">
    <w:nsid w:val="661E3F1E"/>
    <w:multiLevelType w:val="hybridMultilevel"/>
    <w:lvl w:ilvl="0">
      <w:lvlJc w:val="left"/>
      <w:lvlText w:val="%1."/>
      <w:numFmt w:val="lowerLetter"/>
      <w:start w:val="1"/>
    </w:lvl>
  </w:abstractNum>
  <w:abstractNum w:abstractNumId="27">
    <w:nsid w:val="5DC79EA8"/>
    <w:multiLevelType w:val="hybridMultilevel"/>
    <w:lvl w:ilvl="0">
      <w:lvlJc w:val="left"/>
      <w:lvlText w:val="%1."/>
      <w:numFmt w:val="lowerLetter"/>
      <w:start w:val="5"/>
    </w:lvl>
    <w:lvl w:ilvl="1">
      <w:lvlJc w:val="left"/>
      <w:lvlText w:val="%2."/>
      <w:numFmt w:val="lowerRoman"/>
      <w:start w:val="7"/>
    </w:lvl>
  </w:abstractNum>
  <w:abstractNum w:abstractNumId="28">
    <w:nsid w:val="540A471C"/>
    <w:multiLevelType w:val="hybridMultilevel"/>
    <w:lvl w:ilvl="0">
      <w:lvlJc w:val="left"/>
      <w:lvlText w:val="%1."/>
      <w:numFmt w:val="lowerLetter"/>
      <w:start w:val="2"/>
    </w:lvl>
  </w:abstractNum>
  <w:abstractNum w:abstractNumId="29">
    <w:nsid w:val="7BD3EE7B"/>
    <w:multiLevelType w:val="hybridMultilevel"/>
    <w:lvl w:ilvl="0">
      <w:lvlJc w:val="left"/>
      <w:lvlText w:val="%1"/>
      <w:numFmt w:val="decimal"/>
      <w:start w:val="1"/>
    </w:lvl>
    <w:lvl w:ilvl="1">
      <w:lvlJc w:val="left"/>
      <w:lvlText w:val="%2."/>
      <w:numFmt w:val="lowerLetter"/>
      <w:start w:val="4"/>
    </w:lvl>
  </w:abstractNum>
  <w:abstractNum w:abstractNumId="30">
    <w:nsid w:val="51D9C564"/>
    <w:multiLevelType w:val="hybridMultilevel"/>
    <w:lvl w:ilvl="0">
      <w:lvlJc w:val="left"/>
      <w:lvlText w:val="%1."/>
      <w:numFmt w:val="decimal"/>
      <w:start w:val="9"/>
    </w:lvl>
    <w:lvl w:ilvl="1">
      <w:lvlJc w:val="left"/>
      <w:lvlText w:val="%2."/>
      <w:numFmt w:val="lowerLetter"/>
      <w:start w:val="6"/>
    </w:lvl>
  </w:abstractNum>
  <w:abstractNum w:abstractNumId="31">
    <w:nsid w:val="613EFDC5"/>
    <w:multiLevelType w:val="hybridMultilevel"/>
    <w:lvl w:ilvl="0">
      <w:lvlJc w:val="left"/>
      <w:lvlText w:val="%1"/>
      <w:numFmt w:val="decimal"/>
      <w:start w:val="1"/>
    </w:lvl>
    <w:lvl w:ilvl="1">
      <w:lvlJc w:val="left"/>
      <w:lvlText w:val="%2."/>
      <w:numFmt w:val="lowerLetter"/>
      <w:start w:val="7"/>
    </w:lvl>
  </w:abstractNum>
  <w:abstractNum w:abstractNumId="32">
    <w:nsid w:val="BF72B14"/>
    <w:multiLevelType w:val="hybridMultilevel"/>
    <w:lvl w:ilvl="0">
      <w:lvlJc w:val="left"/>
      <w:lvlText w:val="%1."/>
      <w:numFmt w:val="decimal"/>
      <w:start w:val="10"/>
    </w:lvl>
    <w:lvl w:ilvl="1">
      <w:lvlJc w:val="left"/>
      <w:lvlText w:val="%2"/>
      <w:numFmt w:val="lowerLetter"/>
      <w:start w:val="1"/>
    </w:lvl>
  </w:abstractNum>
  <w:abstractNum w:abstractNumId="33">
    <w:nsid w:val="11447B73"/>
    <w:multiLevelType w:val="hybridMultilevel"/>
    <w:lvl w:ilvl="0">
      <w:lvlJc w:val="left"/>
      <w:lvlText w:val="%1."/>
      <w:numFmt w:val="decimal"/>
      <w:start w:val="11"/>
    </w:lvl>
    <w:lvl w:ilvl="1">
      <w:lvlJc w:val="left"/>
      <w:lvlText w:val="%2."/>
      <w:numFmt w:val="lowerLetter"/>
      <w:start w:val="2"/>
    </w:lvl>
  </w:abstractNum>
  <w:abstractNum w:abstractNumId="34">
    <w:nsid w:val="42963E5A"/>
    <w:multiLevelType w:val="hybridMultilevel"/>
    <w:lvl w:ilvl="0">
      <w:lvlJc w:val="left"/>
      <w:lvlText w:val="%1"/>
      <w:numFmt w:val="decimal"/>
      <w:start w:val="1"/>
    </w:lvl>
    <w:lvl w:ilvl="1">
      <w:lvlJc w:val="left"/>
      <w:lvlText w:val="%2."/>
      <w:numFmt w:val="lowerLetter"/>
      <w:start w:val="9"/>
    </w:lvl>
  </w:abstractNum>
  <w:abstractNum w:abstractNumId="35">
    <w:nsid w:val="A0382C5"/>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36">
    <w:nsid w:val="8F2B15E"/>
    <w:multiLevelType w:val="hybridMultilevel"/>
    <w:lvl w:ilvl="0">
      <w:lvlJc w:val="left"/>
      <w:lvlText w:val="%1."/>
      <w:numFmt w:val="decimal"/>
      <w:start w:val="13"/>
    </w:lvl>
    <w:lvl w:ilvl="1">
      <w:lvlJc w:val="left"/>
      <w:lvlText w:val="%2."/>
      <w:numFmt w:val="lowerLetter"/>
      <w:start w:val="6"/>
    </w:lvl>
    <w:lvl w:ilvl="2">
      <w:lvlJc w:val="left"/>
      <w:lvlText w:val="%3."/>
      <w:numFmt w:val="lowerRoman"/>
      <w:start w:val="1"/>
    </w:lvl>
  </w:abstractNum>
  <w:abstractNum w:abstractNumId="37">
    <w:nsid w:val="1A32234B"/>
    <w:multiLevelType w:val="hybridMultilevel"/>
    <w:lvl w:ilvl="0">
      <w:lvlJc w:val="left"/>
      <w:lvlText w:val="%1."/>
      <w:numFmt w:val="lowerLetter"/>
      <w:start w:val="11"/>
    </w:lvl>
  </w:abstractNum>
  <w:abstractNum w:abstractNumId="38">
    <w:nsid w:val="3B0FD379"/>
    <w:multiLevelType w:val="hybridMultilevel"/>
    <w:lvl w:ilvl="0">
      <w:lvlJc w:val="left"/>
      <w:lvlText w:val="%1."/>
      <w:numFmt w:val="lowerLetter"/>
      <w:start w:val="17"/>
    </w:lvl>
  </w:abstractNum>
  <w:abstractNum w:abstractNumId="39">
    <w:nsid w:val="68EB2F63"/>
    <w:multiLevelType w:val="hybridMultilevel"/>
    <w:lvl w:ilvl="0">
      <w:lvlJc w:val="left"/>
      <w:lvlText w:val="%1."/>
      <w:numFmt w:val="decimal"/>
      <w:start w:val="1"/>
    </w:lvl>
    <w:lvl w:ilvl="1">
      <w:lvlJc w:val="left"/>
      <w:lvlText w:val="%2."/>
      <w:numFmt w:val="decimal"/>
      <w:start w:val="1"/>
    </w:lvl>
  </w:abstractNum>
  <w:abstractNum w:abstractNumId="40">
    <w:nsid w:val="4962813B"/>
    <w:multiLevelType w:val="hybridMultilevel"/>
    <w:lvl w:ilvl="0">
      <w:lvlJc w:val="left"/>
      <w:lvlText w:val="%1."/>
      <w:numFmt w:val="decimal"/>
      <w:start w:val="2"/>
    </w:lvl>
  </w:abstractNum>
  <w:abstractNum w:abstractNumId="41">
    <w:nsid w:val="60B6DF70"/>
    <w:multiLevelType w:val="hybridMultilevel"/>
    <w:lvl w:ilvl="0">
      <w:lvlJc w:val="left"/>
      <w:lvlText w:val="%1."/>
      <w:numFmt w:val="decimal"/>
      <w:start w:val="3"/>
    </w:lvl>
    <w:lvl w:ilvl="1">
      <w:lvlJc w:val="left"/>
      <w:lvlText w:val="%2."/>
      <w:numFmt w:val="lowerLetter"/>
      <w:start w:val="1"/>
    </w:lvl>
  </w:abstractNum>
  <w:abstractNum w:abstractNumId="42">
    <w:nsid w:val="6A5EE64"/>
    <w:multiLevelType w:val="hybridMultilevel"/>
    <w:lvl w:ilvl="0">
      <w:lvlJc w:val="left"/>
      <w:lvlText w:val="%1."/>
      <w:numFmt w:val="lowerLetter"/>
      <w:start w:val="1"/>
    </w:lvl>
  </w:abstractNum>
  <w:abstractNum w:abstractNumId="43">
    <w:nsid w:val="14330624"/>
    <w:multiLevelType w:val="hybridMultilevel"/>
    <w:lvl w:ilvl="0">
      <w:lvlJc w:val="left"/>
      <w:lvlText w:val="%1"/>
      <w:numFmt w:val="decimal"/>
      <w:start w:val="1"/>
    </w:lvl>
    <w:lvl w:ilvl="1">
      <w:lvlJc w:val="left"/>
      <w:lvlText w:val="%2."/>
      <w:numFmt w:val="decimal"/>
      <w:start w:val="3"/>
    </w:lvl>
  </w:abstractNum>
  <w:abstractNum w:abstractNumId="44">
    <w:nsid w:val="7FFFCA11"/>
    <w:multiLevelType w:val="hybridMultilevel"/>
    <w:lvl w:ilvl="0">
      <w:lvlJc w:val="left"/>
      <w:lvlText w:val="%1."/>
      <w:numFmt w:val="decimal"/>
      <w:start w:val="4"/>
    </w:lvl>
    <w:lvl w:ilvl="1">
      <w:lvlJc w:val="left"/>
      <w:lvlText w:val="%2"/>
      <w:numFmt w:val="decimal"/>
      <w:start w:val="1"/>
    </w:lvl>
  </w:abstractNum>
  <w:abstractNum w:abstractNumId="45">
    <w:nsid w:val="1A27709E"/>
    <w:multiLevelType w:val="hybridMultilevel"/>
    <w:lvl w:ilvl="0">
      <w:lvlJc w:val="left"/>
      <w:lvlText w:val="%1"/>
      <w:numFmt w:val="decimal"/>
      <w:start w:val="1"/>
    </w:lvl>
    <w:lvl w:ilvl="1">
      <w:lvlJc w:val="left"/>
      <w:lvlText w:val="%2."/>
      <w:numFmt w:val="decimal"/>
      <w:start w:val="1"/>
    </w:lvl>
  </w:abstractNum>
  <w:abstractNum w:abstractNumId="46">
    <w:nsid w:val="71EA1109"/>
    <w:multiLevelType w:val="hybridMultilevel"/>
    <w:lvl w:ilvl="0">
      <w:lvlJc w:val="left"/>
      <w:lvlText w:val="%1."/>
      <w:numFmt w:val="decimal"/>
      <w:start w:val="5"/>
    </w:lvl>
    <w:lvl w:ilvl="1">
      <w:lvlJc w:val="left"/>
      <w:lvlText w:val="%2"/>
      <w:numFmt w:val="decimal"/>
      <w:start w:val="1"/>
    </w:lvl>
  </w:abstractNum>
  <w:abstractNum w:abstractNumId="47">
    <w:nsid w:val="100F59DC"/>
    <w:multiLevelType w:val="hybridMultilevel"/>
    <w:lvl w:ilvl="0">
      <w:lvlJc w:val="left"/>
      <w:lvlText w:val="%1."/>
      <w:numFmt w:val="decimal"/>
      <w:start w:val="6"/>
    </w:lvl>
  </w:abstractNum>
  <w:abstractNum w:abstractNumId="48">
    <w:nsid w:val="7FB7E0AA"/>
    <w:multiLevelType w:val="hybridMultilevel"/>
    <w:lvl w:ilvl="0">
      <w:lvlJc w:val="left"/>
      <w:lvlText w:val="%1."/>
      <w:numFmt w:val="decimal"/>
      <w:start w:val="7"/>
    </w:lvl>
  </w:abstractNum>
  <w:abstractNum w:abstractNumId="49">
    <w:nsid w:val="6EB5BD4"/>
    <w:multiLevelType w:val="hybridMultilevel"/>
    <w:lvl w:ilvl="0">
      <w:lvlJc w:val="left"/>
      <w:lvlText w:val="%1."/>
      <w:numFmt w:val="decimal"/>
      <w:start w:val="10"/>
    </w:lvl>
  </w:abstractNum>
  <w:abstractNum w:abstractNumId="50">
    <w:nsid w:val="6F6DD9AC"/>
    <w:multiLevelType w:val="hybridMultilevel"/>
    <w:lvl w:ilvl="0">
      <w:lvlJc w:val="left"/>
      <w:lvlText w:val="%1"/>
      <w:numFmt w:val="decimal"/>
      <w:start w:val="1"/>
    </w:lvl>
    <w:lvl w:ilvl="1">
      <w:lvlJc w:val="left"/>
      <w:lvlText w:val="%2."/>
      <w:numFmt w:val="decimal"/>
      <w:start w:val="13"/>
    </w:lvl>
  </w:abstractNum>
  <w:abstractNum w:abstractNumId="51">
    <w:nsid w:val="94211F2"/>
    <w:multiLevelType w:val="hybridMultilevel"/>
    <w:lvl w:ilvl="0">
      <w:lvlJc w:val="left"/>
      <w:lvlText w:val="%1."/>
      <w:numFmt w:val="decimal"/>
      <w:start w:val="14"/>
    </w:lvl>
    <w:lvl w:ilvl="1">
      <w:lvlJc w:val="left"/>
      <w:lvlText w:val="%2"/>
      <w:numFmt w:val="decimal"/>
      <w:start w:val="1"/>
    </w:lvl>
  </w:abstractNum>
  <w:abstractNum w:abstractNumId="52">
    <w:nsid w:val="885E1B"/>
    <w:multiLevelType w:val="hybridMultilevel"/>
    <w:lvl w:ilvl="0">
      <w:lvlJc w:val="left"/>
      <w:lvlText w:val="%1."/>
      <w:numFmt w:val="decimal"/>
      <w:start w:val="1"/>
    </w:lvl>
    <w:lvl w:ilvl="1">
      <w:lvlJc w:val="left"/>
      <w:lvlText w:val="%2"/>
      <w:numFmt w:val="decimal"/>
      <w:start w:val="1"/>
    </w:lvl>
  </w:abstractNum>
  <w:abstractNum w:abstractNumId="53">
    <w:nsid w:val="76272110"/>
    <w:multiLevelType w:val="hybridMultilevel"/>
    <w:lvl w:ilvl="0">
      <w:lvlJc w:val="left"/>
      <w:lvlText w:val="%1."/>
      <w:numFmt w:val="decimal"/>
      <w:start w:val="1"/>
    </w:lvl>
    <w:lvl w:ilvl="1">
      <w:lvlJc w:val="left"/>
      <w:lvlText w:val="%2."/>
      <w:numFmt w:val="decimal"/>
      <w:start w:val="2"/>
    </w:lvl>
  </w:abstractNum>
  <w:abstractNum w:abstractNumId="54">
    <w:nsid w:val="4C04A8AF"/>
    <w:multiLevelType w:val="hybridMultilevel"/>
    <w:lvl w:ilvl="0">
      <w:lvlJc w:val="left"/>
      <w:lvlText w:val="%1"/>
      <w:numFmt w:val="decimal"/>
      <w:start w:val="1"/>
    </w:lvl>
    <w:lvl w:ilvl="1">
      <w:lvlJc w:val="left"/>
      <w:lvlText w:val="%2."/>
      <w:numFmt w:val="decimal"/>
      <w:start w:val="4"/>
    </w:lvl>
  </w:abstractNum>
  <w:abstractNum w:abstractNumId="55">
    <w:nsid w:val="1716703B"/>
    <w:multiLevelType w:val="hybridMultilevel"/>
    <w:lvl w:ilvl="0">
      <w:lvlJc w:val="left"/>
      <w:lvlText w:val="%1."/>
      <w:numFmt w:val="decimal"/>
      <w:start w:val="2"/>
    </w:lvl>
    <w:lvl w:ilvl="1">
      <w:lvlJc w:val="left"/>
      <w:lvlText w:val="%2."/>
      <w:numFmt w:val="decimal"/>
      <w:start w:val="1"/>
    </w:lvl>
  </w:abstractNum>
  <w:abstractNum w:abstractNumId="56">
    <w:nsid w:val="14E17E33"/>
    <w:multiLevelType w:val="hybridMultilevel"/>
    <w:lvl w:ilvl="0">
      <w:lvlJc w:val="left"/>
      <w:lvlText w:val="%1."/>
      <w:numFmt w:val="decimal"/>
      <w:start w:val="2"/>
    </w:lvl>
  </w:abstractNum>
  <w:abstractNum w:abstractNumId="57">
    <w:nsid w:val="3222E7CD"/>
    <w:multiLevelType w:val="hybridMultilevel"/>
    <w:lvl w:ilvl="0">
      <w:lvlJc w:val="left"/>
      <w:lvlText w:val="%1"/>
      <w:numFmt w:val="decimal"/>
      <w:start w:val="1"/>
    </w:lvl>
    <w:lvl w:ilvl="1">
      <w:lvlJc w:val="left"/>
      <w:lvlText w:val="%2."/>
      <w:numFmt w:val="decimal"/>
      <w:start w:val="3"/>
    </w:lvl>
  </w:abstractNum>
  <w:abstractNum w:abstractNumId="58">
    <w:nsid w:val="74DE0EE3"/>
    <w:multiLevelType w:val="hybridMultilevel"/>
    <w:lvl w:ilvl="0">
      <w:lvlJc w:val="left"/>
      <w:lvlText w:val="%1."/>
      <w:numFmt w:val="decimal"/>
      <w:start w:val="3"/>
    </w:lvl>
    <w:lvl w:ilvl="1">
      <w:lvlJc w:val="left"/>
      <w:lvlText w:val="%2."/>
      <w:numFmt w:val="decimal"/>
      <w:start w:val="1"/>
    </w:lvl>
  </w:abstractNum>
  <w:abstractNum w:abstractNumId="59">
    <w:nsid w:val="68EBC550"/>
    <w:multiLevelType w:val="hybridMultilevel"/>
    <w:lvl w:ilvl="0">
      <w:lvlJc w:val="left"/>
      <w:lvlText w:val="%1."/>
      <w:numFmt w:val="decimal"/>
      <w:start w:val="2"/>
    </w:lvl>
  </w:abstractNum>
  <w:abstractNum w:abstractNumId="60">
    <w:nsid w:val="2DF6D648"/>
    <w:multiLevelType w:val="hybridMultilevel"/>
    <w:lvl w:ilvl="0">
      <w:lvlJc w:val="left"/>
      <w:lvlText w:val="%1."/>
      <w:numFmt w:val="decimal"/>
      <w:start w:val="4"/>
    </w:lvl>
  </w:abstractNum>
  <w:abstractNum w:abstractNumId="61">
    <w:nsid w:val="46B7D447"/>
    <w:multiLevelType w:val="hybridMultilevel"/>
    <w:lvl w:ilvl="0">
      <w:lvlJc w:val="left"/>
      <w:lvlText w:val="%1."/>
      <w:numFmt w:val="decimal"/>
      <w:start w:val="4"/>
    </w:lvl>
    <w:lvl w:ilvl="1">
      <w:lvlJc w:val="left"/>
      <w:lvlText w:val="%2."/>
      <w:numFmt w:val="decimal"/>
      <w:start w:val="1"/>
    </w:lvl>
  </w:abstractNum>
  <w:abstractNum w:abstractNumId="62">
    <w:nsid w:val="4A2AC315"/>
    <w:multiLevelType w:val="hybridMultilevel"/>
    <w:lvl w:ilvl="0">
      <w:lvlJc w:val="left"/>
      <w:lvlText w:val="%1."/>
      <w:numFmt w:val="decimal"/>
      <w:start w:val="2"/>
    </w:lvl>
  </w:abstractNum>
  <w:abstractNum w:abstractNumId="63">
    <w:nsid w:val="39EE015C"/>
    <w:multiLevelType w:val="hybridMultilevel"/>
    <w:lvl w:ilvl="0">
      <w:lvlJc w:val="left"/>
      <w:lvlText w:val="%1."/>
      <w:numFmt w:val="decimal"/>
      <w:start w:val="10"/>
    </w:lvl>
  </w:abstractNum>
  <w:abstractNum w:abstractNumId="64">
    <w:nsid w:val="57FC4FBB"/>
    <w:multiLevelType w:val="hybridMultilevel"/>
    <w:lvl w:ilvl="0">
      <w:lvlJc w:val="left"/>
      <w:lvlText w:val="(%1)"/>
      <w:numFmt w:val="lowerLetter"/>
      <w:start w:val="5"/>
    </w:lvl>
  </w:abstractNum>
  <w:abstractNum w:abstractNumId="65">
    <w:nsid w:val="CC1016F"/>
    <w:multiLevelType w:val="hybridMultilevel"/>
    <w:lvl w:ilvl="0">
      <w:lvlJc w:val="left"/>
      <w:lvlText w:val="%1."/>
      <w:numFmt w:val="decimal"/>
      <w:start w:val="1"/>
    </w:lvl>
    <w:lvl w:ilvl="1">
      <w:lvlJc w:val="left"/>
      <w:lvlText w:val="%2."/>
      <w:numFmt w:val="lowerLetter"/>
      <w:start w:val="1"/>
    </w:lvl>
  </w:abstractNum>
  <w:abstractNum w:abstractNumId="66">
    <w:nsid w:val="43F18422"/>
    <w:multiLevelType w:val="hybridMultilevel"/>
    <w:lvl w:ilvl="0">
      <w:lvlJc w:val="left"/>
      <w:lvlText w:val="%1."/>
      <w:numFmt w:val="decimal"/>
      <w:start w:val="2"/>
    </w:lvl>
    <w:lvl w:ilvl="1">
      <w:lvlJc w:val="left"/>
      <w:lvlText w:val="%2."/>
      <w:numFmt w:val="lowerLetter"/>
      <w:start w:val="4"/>
    </w:lvl>
  </w:abstractNum>
  <w:abstractNum w:abstractNumId="67">
    <w:nsid w:val="60EF0119"/>
    <w:multiLevelType w:val="hybridMultilevel"/>
    <w:lvl w:ilvl="0">
      <w:lvlJc w:val="left"/>
      <w:lvlText w:val="%1"/>
      <w:numFmt w:val="decimal"/>
      <w:start w:val="1"/>
    </w:lvl>
    <w:lvl w:ilvl="1">
      <w:lvlJc w:val="left"/>
      <w:lvlText w:val="%2."/>
      <w:numFmt w:val="lowerLetter"/>
      <w:start w:val="6"/>
    </w:lvl>
  </w:abstractNum>
  <w:abstractNum w:abstractNumId="68">
    <w:nsid w:val="26F324BA"/>
    <w:multiLevelType w:val="hybridMultilevel"/>
    <w:lvl w:ilvl="0">
      <w:lvlJc w:val="left"/>
      <w:lvlText w:val="%1."/>
      <w:numFmt w:val="decimal"/>
      <w:start w:val="3"/>
    </w:lvl>
    <w:lvl w:ilvl="1">
      <w:lvlJc w:val="left"/>
      <w:lvlText w:val="%2"/>
      <w:numFmt w:val="lowerLetter"/>
      <w:start w:val="1"/>
    </w:lvl>
  </w:abstractNum>
  <w:abstractNum w:abstractNumId="69">
    <w:nsid w:val="7F01579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0">
    <w:nsid w:val="49DA307D"/>
    <w:multiLevelType w:val="hybridMultilevel"/>
    <w:lvl w:ilvl="0">
      <w:lvlJc w:val="left"/>
      <w:lvlText w:val="%1"/>
      <w:numFmt w:val="lowerRoman"/>
      <w:start w:val="1"/>
    </w:lvl>
    <w:lvl w:ilvl="1">
      <w:lvlJc w:val="left"/>
      <w:lvlText w:val="%2."/>
      <w:numFmt w:val="lowerRoman"/>
      <w:start w:val="3"/>
    </w:lvl>
  </w:abstractNum>
  <w:abstractNum w:abstractNumId="71">
    <w:nsid w:val="7055A5F5"/>
    <w:multiLevelType w:val="hybridMultilevel"/>
    <w:lvl w:ilvl="0">
      <w:lvlJc w:val="left"/>
      <w:lvlText w:val="%1."/>
      <w:numFmt w:val="lowerRoman"/>
      <w:start w:val="1"/>
    </w:lvl>
    <w:lvl w:ilvl="1">
      <w:lvlJc w:val="left"/>
      <w:lvlText w:val="%2."/>
      <w:numFmt w:val="lowerRoman"/>
      <w:start w:val="1"/>
    </w:lvl>
  </w:abstractNum>
  <w:abstractNum w:abstractNumId="72">
    <w:nsid w:val="5FB8370B"/>
    <w:multiLevelType w:val="hybridMultilevel"/>
    <w:lvl w:ilvl="0">
      <w:lvlJc w:val="left"/>
      <w:lvlText w:val="%1"/>
      <w:numFmt w:val="lowerLetter"/>
      <w:start w:val="1"/>
    </w:lvl>
    <w:lvl w:ilvl="1">
      <w:lvlJc w:val="left"/>
      <w:lvlText w:val="%2."/>
      <w:numFmt w:val="lowerRoman"/>
      <w:start w:val="4"/>
    </w:lvl>
  </w:abstractNum>
  <w:abstractNum w:abstractNumId="73">
    <w:nsid w:val="50801EE1"/>
    <w:multiLevelType w:val="hybridMultilevel"/>
    <w:lvl w:ilvl="0">
      <w:lvlJc w:val="left"/>
      <w:lvlText w:val="%1."/>
      <w:numFmt w:val="lowerLetter"/>
      <w:start w:val="10"/>
    </w:lvl>
    <w:lvl w:ilvl="1">
      <w:lvlJc w:val="left"/>
      <w:lvlText w:val="%2"/>
      <w:numFmt w:val="lowerRoman"/>
      <w:start w:val="1"/>
    </w:lvl>
  </w:abstractNum>
  <w:abstractNum w:abstractNumId="74">
    <w:nsid w:val="488AC1A"/>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lvl w:ilvl="3">
      <w:lvlJc w:val="left"/>
      <w:lvlText w:val="%4"/>
      <w:numFmt w:val="lowerLetter"/>
      <w:start w:val="1"/>
    </w:lvl>
  </w:abstractNum>
  <w:abstractNum w:abstractNumId="75">
    <w:nsid w:val="5FB8011C"/>
    <w:multiLevelType w:val="hybridMultilevel"/>
    <w:lvl w:ilvl="0">
      <w:lvlJc w:val="left"/>
      <w:lvlText w:val="%1."/>
      <w:numFmt w:val="decimal"/>
      <w:start w:val="7"/>
    </w:lvl>
    <w:lvl w:ilvl="1">
      <w:lvlJc w:val="left"/>
      <w:lvlText w:val="%2."/>
      <w:numFmt w:val="lowerLetter"/>
      <w:start w:val="14"/>
    </w:lvl>
    <w:lvl w:ilvl="2">
      <w:lvlJc w:val="left"/>
      <w:lvlText w:val="(%3)"/>
      <w:numFmt w:val="lowerRoman"/>
      <w:start w:val="1"/>
    </w:lvl>
    <w:lvl w:ilvl="3">
      <w:lvlJc w:val="left"/>
      <w:lvlText w:val="%4"/>
      <w:numFmt w:val="lowerLetter"/>
      <w:start w:val="1"/>
    </w:lvl>
  </w:abstractNum>
  <w:abstractNum w:abstractNumId="76">
    <w:nsid w:val="6AA78F7F"/>
    <w:multiLevelType w:val="hybridMultilevel"/>
    <w:lvl w:ilvl="0">
      <w:lvlJc w:val="left"/>
      <w:lvlText w:val="%1."/>
      <w:numFmt w:val="lowerRoman"/>
      <w:start w:val="6"/>
    </w:lvl>
  </w:abstractNum>
  <w:abstractNum w:abstractNumId="77">
    <w:nsid w:val="7672BD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4"/>
    </w:lvl>
  </w:abstractNum>
  <w:abstractNum w:abstractNumId="78">
    <w:nsid w:val="6FC75AF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79">
    <w:nsid w:val="6A5F7029"/>
    <w:multiLevelType w:val="hybridMultilevel"/>
    <w:lvl w:ilvl="0">
      <w:lvlJc w:val="left"/>
      <w:lvlText w:val="%1."/>
      <w:numFmt w:val="lowerRoman"/>
      <w:start w:val="2"/>
    </w:lvl>
  </w:abstractNum>
  <w:abstractNum w:abstractNumId="80">
    <w:nsid w:val="7D5E18F8"/>
    <w:multiLevelType w:val="hybridMultilevel"/>
    <w:lvl w:ilvl="0">
      <w:lvlJc w:val="left"/>
      <w:lvlText w:val="%1."/>
      <w:numFmt w:val="lowerLetter"/>
      <w:start w:val="1"/>
    </w:lvl>
    <w:lvl w:ilvl="1">
      <w:lvlJc w:val="left"/>
      <w:lvlText w:val="%2."/>
      <w:numFmt w:val="lowerRoman"/>
      <w:start w:val="7"/>
    </w:lvl>
  </w:abstractNum>
  <w:abstractNum w:abstractNumId="81">
    <w:nsid w:val="5F3534A4"/>
    <w:multiLevelType w:val="hybridMultilevel"/>
    <w:lvl w:ilvl="0">
      <w:lvlJc w:val="left"/>
      <w:lvlText w:val="%1"/>
      <w:numFmt w:val="decimal"/>
      <w:start w:val="1"/>
    </w:lvl>
    <w:lvl w:ilvl="1">
      <w:lvlJc w:val="left"/>
      <w:lvlText w:val="%2."/>
      <w:numFmt w:val="lowerLetter"/>
      <w:start w:val="2"/>
    </w:lvl>
  </w:abstractNum>
  <w:abstractNum w:abstractNumId="82">
    <w:nsid w:val="73A1821B"/>
    <w:multiLevelType w:val="hybridMultilevel"/>
    <w:lvl w:ilvl="0">
      <w:lvlJc w:val="left"/>
      <w:lvlText w:val="%1."/>
      <w:numFmt w:val="decimal"/>
      <w:start w:val="9"/>
    </w:lvl>
    <w:lvl w:ilvl="1">
      <w:lvlJc w:val="left"/>
      <w:lvlText w:val="%2."/>
      <w:numFmt w:val="lowerLetter"/>
      <w:start w:val="6"/>
    </w:lvl>
  </w:abstractNum>
  <w:abstractNum w:abstractNumId="83">
    <w:nsid w:val="7DE67713"/>
    <w:multiLevelType w:val="hybridMultilevel"/>
    <w:lvl w:ilvl="0">
      <w:lvlJc w:val="left"/>
      <w:lvlText w:val="%1"/>
      <w:numFmt w:val="decimal"/>
      <w:start w:val="1"/>
    </w:lvl>
    <w:lvl w:ilvl="1">
      <w:lvlJc w:val="left"/>
      <w:lvlText w:val="%2."/>
      <w:numFmt w:val="lowerLetter"/>
      <w:start w:val="7"/>
    </w:lvl>
  </w:abstractNum>
  <w:abstractNum w:abstractNumId="84">
    <w:nsid w:val="555C55B5"/>
    <w:multiLevelType w:val="hybridMultilevel"/>
    <w:lvl w:ilvl="0">
      <w:lvlJc w:val="left"/>
      <w:lvlText w:val="%1."/>
      <w:numFmt w:val="decimal"/>
      <w:start w:val="10"/>
    </w:lvl>
    <w:lvl w:ilvl="1">
      <w:lvlJc w:val="left"/>
      <w:lvlText w:val="%2"/>
      <w:numFmt w:val="lowerLetter"/>
      <w:start w:val="1"/>
    </w:lvl>
  </w:abstractNum>
  <w:abstractNum w:abstractNumId="85">
    <w:nsid w:val="3FA62ACA"/>
    <w:multiLevelType w:val="hybridMultilevel"/>
    <w:lvl w:ilvl="0">
      <w:lvlJc w:val="left"/>
      <w:lvlText w:val="%1."/>
      <w:numFmt w:val="decimal"/>
      <w:start w:val="11"/>
    </w:lvl>
    <w:lvl w:ilvl="1">
      <w:lvlJc w:val="left"/>
      <w:lvlText w:val="%2."/>
      <w:numFmt w:val="lowerLetter"/>
      <w:start w:val="2"/>
    </w:lvl>
  </w:abstractNum>
  <w:abstractNum w:abstractNumId="86">
    <w:nsid w:val="14FCE74E"/>
    <w:multiLevelType w:val="hybridMultilevel"/>
    <w:lvl w:ilvl="0">
      <w:lvlJc w:val="left"/>
      <w:lvlText w:val="%1."/>
      <w:numFmt w:val="decimal"/>
      <w:start w:val="12"/>
    </w:lvl>
    <w:lvl w:ilvl="1">
      <w:lvlJc w:val="left"/>
      <w:lvlText w:val="%2."/>
      <w:numFmt w:val="lowerLetter"/>
      <w:start w:val="9"/>
    </w:lvl>
    <w:lvl w:ilvl="2">
      <w:lvlJc w:val="left"/>
      <w:lvlText w:val="%3"/>
      <w:numFmt w:val="lowerRoman"/>
      <w:start w:val="1"/>
    </w:lvl>
  </w:abstractNum>
  <w:abstractNum w:abstractNumId="87">
    <w:nsid w:val="6A3DD3E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8">
    <w:nsid w:val="71C91298"/>
    <w:multiLevelType w:val="hybridMultilevel"/>
    <w:lvl w:ilvl="0">
      <w:lvlJc w:val="left"/>
      <w:lvlText w:val="%1."/>
      <w:numFmt w:val="lowerLetter"/>
      <w:start w:val="11"/>
    </w:lvl>
  </w:abstractNum>
  <w:abstractNum w:abstractNumId="89">
    <w:nsid w:val="9DAF632"/>
    <w:multiLevelType w:val="hybridMultilevel"/>
    <w:lvl w:ilvl="0">
      <w:lvlJc w:val="left"/>
      <w:lvlText w:val="%1."/>
      <w:numFmt w:val="lowerLetter"/>
      <w:start w:val="15"/>
    </w:lvl>
  </w:abstractNum>
  <w:abstractNum w:abstractNumId="90">
    <w:nsid w:val="53299938"/>
    <w:multiLevelType w:val="hybridMultilevel"/>
    <w:lvl w:ilvl="0">
      <w:lvlJc w:val="left"/>
      <w:lvlText w:val="%1."/>
      <w:numFmt w:val="decimal"/>
      <w:start w:val="1"/>
    </w:lvl>
    <w:lvl w:ilvl="1">
      <w:lvlJc w:val="left"/>
      <w:lvlText w:val="%2."/>
      <w:numFmt w:val="decimal"/>
      <w:start w:val="1"/>
    </w:lvl>
  </w:abstractNum>
  <w:abstractNum w:abstractNumId="91">
    <w:nsid w:val="1FBFE8E0"/>
    <w:multiLevelType w:val="hybridMultilevel"/>
    <w:lvl w:ilvl="0">
      <w:lvlJc w:val="left"/>
      <w:lvlText w:val="%1."/>
      <w:numFmt w:val="decimal"/>
      <w:start w:val="2"/>
    </w:lvl>
  </w:abstractNum>
  <w:abstractNum w:abstractNumId="92">
    <w:nsid w:val="5092CA79"/>
    <w:multiLevelType w:val="hybridMultilevel"/>
    <w:lvl w:ilvl="0">
      <w:lvlJc w:val="left"/>
      <w:lvlText w:val="%1."/>
      <w:numFmt w:val="decimal"/>
      <w:start w:val="3"/>
    </w:lvl>
    <w:lvl w:ilvl="1">
      <w:lvlJc w:val="left"/>
      <w:lvlText w:val="%2."/>
      <w:numFmt w:val="lowerLetter"/>
      <w:start w:val="1"/>
    </w:lvl>
  </w:abstractNum>
  <w:abstractNum w:abstractNumId="93">
    <w:nsid w:val="1D545C4D"/>
    <w:multiLevelType w:val="hybridMultilevel"/>
    <w:lvl w:ilvl="0">
      <w:lvlJc w:val="left"/>
      <w:lvlText w:val="%1."/>
      <w:numFmt w:val="lowerLetter"/>
      <w:start w:val="1"/>
    </w:lvl>
  </w:abstractNum>
  <w:abstractNum w:abstractNumId="94">
    <w:nsid w:val="59ADEA3D"/>
    <w:multiLevelType w:val="hybridMultilevel"/>
    <w:lvl w:ilvl="0">
      <w:lvlJc w:val="left"/>
      <w:lvlText w:val="%1"/>
      <w:numFmt w:val="decimal"/>
      <w:start w:val="1"/>
    </w:lvl>
    <w:lvl w:ilvl="1">
      <w:lvlJc w:val="left"/>
      <w:lvlText w:val="%2."/>
      <w:numFmt w:val="decimal"/>
      <w:start w:val="3"/>
    </w:lvl>
  </w:abstractNum>
  <w:abstractNum w:abstractNumId="95">
    <w:nsid w:val="288F1A34"/>
    <w:multiLevelType w:val="hybridMultilevel"/>
    <w:lvl w:ilvl="0">
      <w:lvlJc w:val="left"/>
      <w:lvlText w:val="%1."/>
      <w:numFmt w:val="decimal"/>
      <w:start w:val="4"/>
    </w:lvl>
    <w:lvl w:ilvl="1">
      <w:lvlJc w:val="left"/>
      <w:lvlText w:val="%2"/>
      <w:numFmt w:val="decimal"/>
      <w:start w:val="1"/>
    </w:lvl>
  </w:abstractNum>
  <w:abstractNum w:abstractNumId="96">
    <w:nsid w:val="2A155DBC"/>
    <w:multiLevelType w:val="hybridMultilevel"/>
    <w:lvl w:ilvl="0">
      <w:lvlJc w:val="left"/>
      <w:lvlText w:val="%1"/>
      <w:numFmt w:val="decimal"/>
      <w:start w:val="1"/>
    </w:lvl>
    <w:lvl w:ilvl="1">
      <w:lvlJc w:val="left"/>
      <w:lvlText w:val="%2."/>
      <w:numFmt w:val="decimal"/>
      <w:start w:val="1"/>
    </w:lvl>
  </w:abstractNum>
  <w:abstractNum w:abstractNumId="97">
    <w:nsid w:val="1D9F6E5F"/>
    <w:multiLevelType w:val="hybridMultilevel"/>
    <w:lvl w:ilvl="0">
      <w:lvlJc w:val="left"/>
      <w:lvlText w:val="%1."/>
      <w:numFmt w:val="decimal"/>
      <w:start w:val="5"/>
    </w:lvl>
    <w:lvl w:ilvl="1">
      <w:lvlJc w:val="left"/>
      <w:lvlText w:val="%2"/>
      <w:numFmt w:val="decimal"/>
      <w:start w:val="1"/>
    </w:lvl>
  </w:abstractNum>
  <w:abstractNum w:abstractNumId="98">
    <w:nsid w:val="97E1B4E"/>
    <w:multiLevelType w:val="hybridMultilevel"/>
    <w:lvl w:ilvl="0">
      <w:lvlJc w:val="left"/>
      <w:lvlText w:val="%1."/>
      <w:numFmt w:val="decimal"/>
      <w:start w:val="6"/>
    </w:lvl>
  </w:abstractNum>
  <w:abstractNum w:abstractNumId="99">
    <w:nsid w:val="51088277"/>
    <w:multiLevelType w:val="hybridMultilevel"/>
    <w:lvl w:ilvl="0">
      <w:lvlJc w:val="left"/>
      <w:lvlText w:val="%1."/>
      <w:numFmt w:val="decimal"/>
      <w:start w:val="7"/>
    </w:lvl>
  </w:abstractNum>
  <w:abstractNum w:abstractNumId="100">
    <w:nsid w:val="1CA0C5FA"/>
    <w:multiLevelType w:val="hybridMultilevel"/>
    <w:lvl w:ilvl="0">
      <w:lvlJc w:val="left"/>
      <w:lvlText w:val="%1."/>
      <w:numFmt w:val="decimal"/>
      <w:start w:val="10"/>
    </w:lvl>
  </w:abstractNum>
  <w:abstractNum w:abstractNumId="101">
    <w:nsid w:val="53584BCB"/>
    <w:multiLevelType w:val="hybridMultilevel"/>
    <w:lvl w:ilvl="0">
      <w:lvlJc w:val="left"/>
      <w:lvlText w:val="%1"/>
      <w:numFmt w:val="decimal"/>
      <w:start w:val="1"/>
    </w:lvl>
    <w:lvl w:ilvl="1">
      <w:lvlJc w:val="left"/>
      <w:lvlText w:val="%2."/>
      <w:numFmt w:val="decimal"/>
      <w:start w:val="13"/>
    </w:lvl>
  </w:abstractNum>
  <w:abstractNum w:abstractNumId="102">
    <w:nsid w:val="415E286C"/>
    <w:multiLevelType w:val="hybridMultilevel"/>
    <w:lvl w:ilvl="0">
      <w:lvlJc w:val="left"/>
      <w:lvlText w:val="%1."/>
      <w:numFmt w:val="decimal"/>
      <w:start w:val="14"/>
    </w:lvl>
    <w:lvl w:ilvl="1">
      <w:lvlJc w:val="left"/>
      <w:lvlText w:val="%2"/>
      <w:numFmt w:val="decimal"/>
      <w:start w:val="1"/>
    </w:lvl>
  </w:abstractNum>
  <w:abstractNum w:abstractNumId="103">
    <w:nsid w:val="7C58FD05"/>
    <w:multiLevelType w:val="hybridMultilevel"/>
    <w:lvl w:ilvl="0">
      <w:lvlJc w:val="left"/>
      <w:lvlText w:val="%1."/>
      <w:numFmt w:val="decimal"/>
      <w:start w:val="1"/>
    </w:lvl>
    <w:lvl w:ilvl="1">
      <w:lvlJc w:val="left"/>
      <w:lvlText w:val="%2"/>
      <w:numFmt w:val="decimal"/>
      <w:start w:val="1"/>
    </w:lvl>
  </w:abstractNum>
  <w:abstractNum w:abstractNumId="104">
    <w:nsid w:val="23D86AAC"/>
    <w:multiLevelType w:val="hybridMultilevel"/>
    <w:lvl w:ilvl="0">
      <w:lvlJc w:val="left"/>
      <w:lvlText w:val="%1."/>
      <w:numFmt w:val="decimal"/>
      <w:start w:val="1"/>
    </w:lvl>
    <w:lvl w:ilvl="1">
      <w:lvlJc w:val="left"/>
      <w:lvlText w:val="%2."/>
      <w:numFmt w:val="decimal"/>
      <w:start w:val="2"/>
    </w:lvl>
  </w:abstractNum>
  <w:abstractNum w:abstractNumId="105">
    <w:nsid w:val="45E6D486"/>
    <w:multiLevelType w:val="hybridMultilevel"/>
    <w:lvl w:ilvl="0">
      <w:lvlJc w:val="left"/>
      <w:lvlText w:val="%1"/>
      <w:numFmt w:val="decimal"/>
      <w:start w:val="1"/>
    </w:lvl>
    <w:lvl w:ilvl="1">
      <w:lvlJc w:val="left"/>
      <w:lvlText w:val="%2."/>
      <w:numFmt w:val="decimal"/>
      <w:start w:val="4"/>
    </w:lvl>
  </w:abstractNum>
  <w:abstractNum w:abstractNumId="106">
    <w:nsid w:val="5C10FE21"/>
    <w:multiLevelType w:val="hybridMultilevel"/>
    <w:lvl w:ilvl="0">
      <w:lvlJc w:val="left"/>
      <w:lvlText w:val="%1."/>
      <w:numFmt w:val="decimal"/>
      <w:start w:val="2"/>
    </w:lvl>
    <w:lvl w:ilvl="1">
      <w:lvlJc w:val="left"/>
      <w:lvlText w:val="%2."/>
      <w:numFmt w:val="decimal"/>
      <w:start w:val="1"/>
    </w:lvl>
  </w:abstractNum>
  <w:abstractNum w:abstractNumId="107">
    <w:nsid w:val="E7FFA2B"/>
    <w:multiLevelType w:val="hybridMultilevel"/>
    <w:lvl w:ilvl="0">
      <w:lvlJc w:val="left"/>
      <w:lvlText w:val="%1."/>
      <w:numFmt w:val="decimal"/>
      <w:start w:val="2"/>
    </w:lvl>
  </w:abstractNum>
  <w:abstractNum w:abstractNumId="108">
    <w:nsid w:val="3C5991AA"/>
    <w:multiLevelType w:val="hybridMultilevel"/>
    <w:lvl w:ilvl="0">
      <w:lvlJc w:val="left"/>
      <w:lvlText w:val="%1"/>
      <w:numFmt w:val="decimal"/>
      <w:start w:val="1"/>
    </w:lvl>
    <w:lvl w:ilvl="1">
      <w:lvlJc w:val="left"/>
      <w:lvlText w:val="%2."/>
      <w:numFmt w:val="decimal"/>
      <w:start w:val="3"/>
    </w:lvl>
  </w:abstractNum>
  <w:abstractNum w:abstractNumId="109">
    <w:nsid w:val="4BD8591A"/>
    <w:multiLevelType w:val="hybridMultilevel"/>
    <w:lvl w:ilvl="0">
      <w:lvlJc w:val="left"/>
      <w:lvlText w:val="%1."/>
      <w:numFmt w:val="decimal"/>
      <w:start w:val="3"/>
    </w:lvl>
    <w:lvl w:ilvl="1">
      <w:lvlJc w:val="left"/>
      <w:lvlText w:val="%2."/>
      <w:numFmt w:val="decimal"/>
      <w:start w:val="1"/>
    </w:lvl>
  </w:abstractNum>
  <w:abstractNum w:abstractNumId="110">
    <w:nsid w:val="78DF6A55"/>
    <w:multiLevelType w:val="hybridMultilevel"/>
    <w:lvl w:ilvl="0">
      <w:lvlJc w:val="left"/>
      <w:lvlText w:val="%1."/>
      <w:numFmt w:val="decimal"/>
      <w:start w:val="2"/>
    </w:lvl>
  </w:abstractNum>
  <w:abstractNum w:abstractNumId="111">
    <w:nsid w:val="39B7AAA2"/>
    <w:multiLevelType w:val="hybridMultilevel"/>
    <w:lvl w:ilvl="0">
      <w:lvlJc w:val="left"/>
      <w:lvlText w:val="%1."/>
      <w:numFmt w:val="decimal"/>
      <w:start w:val="4"/>
    </w:lvl>
  </w:abstractNum>
  <w:abstractNum w:abstractNumId="112">
    <w:nsid w:val="2B0D8DBE"/>
    <w:multiLevelType w:val="hybridMultilevel"/>
    <w:lvl w:ilvl="0">
      <w:lvlJc w:val="left"/>
      <w:lvlText w:val="%1."/>
      <w:numFmt w:val="decimal"/>
      <w:start w:val="4"/>
    </w:lvl>
    <w:lvl w:ilvl="1">
      <w:lvlJc w:val="left"/>
      <w:lvlText w:val="%2."/>
      <w:numFmt w:val="decimal"/>
      <w:start w:val="1"/>
    </w:lvl>
  </w:abstractNum>
  <w:abstractNum w:abstractNumId="113">
    <w:nsid w:val="6C80EC70"/>
    <w:multiLevelType w:val="hybridMultilevel"/>
    <w:lvl w:ilvl="0">
      <w:lvlJc w:val="left"/>
      <w:lvlText w:val="%1."/>
      <w:numFmt w:val="decimal"/>
      <w:start w:val="2"/>
    </w:lvl>
  </w:abstractNum>
  <w:abstractNum w:abstractNumId="114">
    <w:nsid w:val="379E21B5"/>
    <w:multiLevelType w:val="hybridMultilevel"/>
    <w:lvl w:ilvl="0">
      <w:lvlJc w:val="left"/>
      <w:lvlText w:val="%1."/>
      <w:numFmt w:val="decimal"/>
      <w:start w:val="10"/>
    </w:lvl>
  </w:abstractNum>
  <w:abstractNum w:abstractNumId="115">
    <w:nsid w:val="69E373"/>
    <w:multiLevelType w:val="hybridMultilevel"/>
    <w:lvl w:ilvl="0">
      <w:lvlJc w:val="left"/>
      <w:lvlText w:val="(%1)"/>
      <w:numFmt w:val="lowerLetter"/>
      <w:start w:val="5"/>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2022-08-09T02:52:43Z</dcterms:created>
  <dcterms:modified xsi:type="dcterms:W3CDTF">2022-08-09T02:52:43Z</dcterms:modified>
</cp:coreProperties>
</file>