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399.xml.htm"/>
      <w:bookmarkStart w:id="1" w:name="kswkform4_17924413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THORNTON JOSEPH CLAY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10"/>
        <w:gridCol w:w="1275"/>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4,591</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w:t>
            </w:r>
            <w:r>
              <w:rPr>
                <w:rFonts w:ascii="Times;serif" w:hAnsi="Times;serif"/>
                <w:color w:val="008000"/>
                <w:position w:val="7"/>
                <w:sz w:val="16"/>
                <w:sz w:val="20"/>
                <w:shd w:fill="FFFFFF" w:val="clear"/>
              </w:rPr>
              <w:t>(2)</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1,244,935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(the "RSUs") on October 15, 2026. The RSUs were originally granted to the Reporting Person on October 15, 2024. The remaining RSUs vest quarterly in equal installments of 6.25%, with the final vesting date occurring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$4.68,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/s/Karen Soares as attorney-in-fact for Joseph Clay Thornton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8794"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4191</Characters>
  <CharactersWithSpaces>4903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