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6"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52"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5" w:lineRule="exact"/>
        <w:rPr>
          <w:sz w:val="24"/>
          <w:szCs w:val="24"/>
          <w:color w:val="auto"/>
        </w:rPr>
      </w:pPr>
    </w:p>
    <w:p>
      <w:pPr>
        <w:ind w:left="440" w:hanging="193"/>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4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001-39252</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Clover Health Investments, Corp.</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34"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6320" w:type="dxa"/>
            <w:vAlign w:val="bottom"/>
          </w:tcPr>
          <w:p>
            <w:pPr>
              <w:jc w:val="center"/>
              <w:ind w:right="3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98-1515192</w:t>
            </w:r>
          </w:p>
        </w:tc>
      </w:tr>
      <w:tr>
        <w:trPr>
          <w:trHeight w:val="225"/>
        </w:trPr>
        <w:tc>
          <w:tcPr>
            <w:tcW w:w="6320" w:type="dxa"/>
            <w:vAlign w:val="bottom"/>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20" w:type="dxa"/>
            <w:vAlign w:val="bottom"/>
          </w:tcPr>
          <w:p>
            <w:pPr>
              <w:jc w:val="center"/>
              <w:ind w:right="33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3"/>
        </w:trPr>
        <w:tc>
          <w:tcPr>
            <w:tcW w:w="6320" w:type="dxa"/>
            <w:vAlign w:val="bottom"/>
          </w:tcPr>
          <w:p>
            <w:pPr>
              <w:jc w:val="center"/>
              <w:ind w:right="3350"/>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Not Applicable</w:t>
            </w:r>
            <w:r>
              <w:rPr>
                <w:rFonts w:ascii="Times New Roman" w:cs="Times New Roman" w:eastAsia="Times New Roman" w:hAnsi="Times New Roman"/>
                <w:sz w:val="23"/>
                <w:szCs w:val="23"/>
                <w:b w:val="1"/>
                <w:bCs w:val="1"/>
                <w:color w:val="auto"/>
                <w:w w:val="97"/>
                <w:vertAlign w:val="superscript"/>
              </w:rPr>
              <w:t>(1)</w:t>
            </w:r>
          </w:p>
        </w:tc>
      </w:tr>
      <w:tr>
        <w:trPr>
          <w:trHeight w:val="234"/>
        </w:trPr>
        <w:tc>
          <w:tcPr>
            <w:tcW w:w="6320" w:type="dxa"/>
            <w:vAlign w:val="bottom"/>
          </w:tcPr>
          <w:p>
            <w:pPr>
              <w:jc w:val="center"/>
              <w:ind w:right="3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87"/>
        </w:trPr>
        <w:tc>
          <w:tcPr>
            <w:tcW w:w="632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5"/>
              </w:rPr>
              <w:t>Not Applicable</w:t>
            </w:r>
            <w:r>
              <w:rPr>
                <w:rFonts w:ascii="Times New Roman" w:cs="Times New Roman" w:eastAsia="Times New Roman" w:hAnsi="Times New Roman"/>
                <w:sz w:val="23"/>
                <w:szCs w:val="23"/>
                <w:b w:val="1"/>
                <w:bCs w:val="1"/>
                <w:color w:val="auto"/>
                <w:w w:val="95"/>
                <w:vertAlign w:val="superscript"/>
              </w:rPr>
              <w:t>(1)</w:t>
            </w:r>
          </w:p>
        </w:tc>
        <w:tc>
          <w:tcPr>
            <w:tcW w:w="1400" w:type="dxa"/>
            <w:vAlign w:val="bottom"/>
          </w:tcPr>
          <w:p>
            <w:pPr>
              <w:spacing w:after="0"/>
              <w:rPr>
                <w:sz w:val="24"/>
                <w:szCs w:val="24"/>
                <w:color w:val="auto"/>
              </w:rPr>
            </w:pPr>
          </w:p>
        </w:tc>
      </w:tr>
      <w:tr>
        <w:trPr>
          <w:trHeight w:val="255"/>
        </w:trPr>
        <w:tc>
          <w:tcPr>
            <w:tcW w:w="632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00" w:type="dxa"/>
            <w:vAlign w:val="bottom"/>
          </w:tcPr>
          <w:p>
            <w:pPr>
              <w:spacing w:after="0"/>
              <w:rPr>
                <w:sz w:val="22"/>
                <w:szCs w:val="22"/>
                <w:color w:val="auto"/>
              </w:rPr>
            </w:pPr>
          </w:p>
        </w:tc>
      </w:tr>
      <w:tr>
        <w:trPr>
          <w:trHeight w:val="328"/>
        </w:trPr>
        <w:tc>
          <w:tcPr>
            <w:tcW w:w="6320" w:type="dxa"/>
            <w:vAlign w:val="bottom"/>
          </w:tcPr>
          <w:p>
            <w:pPr>
              <w:jc w:val="center"/>
              <w:ind w:left="2070"/>
              <w:spacing w:after="0"/>
              <w:rPr>
                <w:sz w:val="20"/>
                <w:szCs w:val="20"/>
                <w:color w:val="auto"/>
              </w:rPr>
            </w:pPr>
            <w:r>
              <w:rPr>
                <w:rFonts w:ascii="Arial" w:cs="Arial" w:eastAsia="Arial" w:hAnsi="Arial"/>
                <w:sz w:val="18"/>
                <w:szCs w:val="18"/>
                <w:color w:val="auto"/>
                <w:w w:val="99"/>
              </w:rPr>
              <w:t>________________________________________</w:t>
            </w:r>
          </w:p>
        </w:tc>
        <w:tc>
          <w:tcPr>
            <w:tcW w:w="1400" w:type="dxa"/>
            <w:vAlign w:val="bottom"/>
          </w:tcPr>
          <w:p>
            <w:pPr>
              <w:spacing w:after="0"/>
              <w:rPr>
                <w:sz w:val="24"/>
                <w:szCs w:val="24"/>
                <w:color w:val="auto"/>
              </w:rPr>
            </w:pP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00" w:type="dxa"/>
            <w:vAlign w:val="bottom"/>
          </w:tcPr>
          <w:p>
            <w:pPr>
              <w:spacing w:after="0"/>
              <w:rPr>
                <w:sz w:val="18"/>
                <w:szCs w:val="18"/>
                <w:color w:val="auto"/>
              </w:rPr>
            </w:pPr>
          </w:p>
        </w:tc>
      </w:tr>
      <w:tr>
        <w:trPr>
          <w:trHeight w:val="265"/>
        </w:trPr>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8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CLOV</w:t>
            </w:r>
          </w:p>
        </w:tc>
        <w:tc>
          <w:tcPr>
            <w:tcW w:w="8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62" w:lineRule="exact"/>
        <w:rPr>
          <w:sz w:val="24"/>
          <w:szCs w:val="24"/>
          <w:color w:val="auto"/>
        </w:rPr>
      </w:pPr>
    </w:p>
    <w:p>
      <w:pPr>
        <w:ind w:left="660" w:right="660"/>
        <w:spacing w:after="0" w:line="375"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20"/>
              <w:spacing w:after="0"/>
              <w:rPr>
                <w:sz w:val="20"/>
                <w:szCs w:val="20"/>
                <w:color w:val="auto"/>
              </w:rPr>
            </w:pPr>
            <w:r>
              <w:rPr>
                <w:rFonts w:ascii="Wingdings" w:cs="Wingdings" w:eastAsia="Wingdings" w:hAnsi="Wingdings"/>
                <w:sz w:val="18"/>
                <w:szCs w:val="18"/>
                <w:b w:val="1"/>
                <w:bCs w:val="1"/>
                <w:color w:val="auto"/>
              </w:rPr>
              <w:t>x</w:t>
            </w:r>
          </w:p>
        </w:tc>
        <w:tc>
          <w:tcPr>
            <w:tcW w:w="51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vMerge w:val="restart"/>
          </w:tcPr>
          <w:p>
            <w:pPr>
              <w:ind w:left="260"/>
              <w:spacing w:after="0"/>
              <w:rPr>
                <w:sz w:val="20"/>
                <w:szCs w:val="20"/>
                <w:color w:val="auto"/>
              </w:rPr>
            </w:pPr>
            <w:r>
              <w:rPr>
                <w:rFonts w:ascii="Wingdings" w:cs="Wingdings" w:eastAsia="Wingdings" w:hAnsi="Wingdings"/>
                <w:sz w:val="18"/>
                <w:szCs w:val="18"/>
                <w:b w:val="1"/>
                <w:bCs w:val="1"/>
                <w:color w:val="auto"/>
                <w:w w:val="86"/>
              </w:rPr>
              <w:t>o</w:t>
            </w:r>
          </w:p>
        </w:tc>
        <w:tc>
          <w:tcPr>
            <w:tcW w:w="0" w:type="dxa"/>
            <w:vAlign w:val="bottom"/>
          </w:tcPr>
          <w:p>
            <w:pPr>
              <w:spacing w:after="0"/>
              <w:rPr>
                <w:sz w:val="1"/>
                <w:szCs w:val="1"/>
                <w:color w:val="auto"/>
              </w:rPr>
            </w:pPr>
          </w:p>
        </w:tc>
      </w:tr>
      <w:tr>
        <w:trPr>
          <w:trHeight w:val="104"/>
        </w:trPr>
        <w:tc>
          <w:tcPr>
            <w:tcW w:w="2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20"/>
              <w:spacing w:after="0"/>
              <w:rPr>
                <w:sz w:val="20"/>
                <w:szCs w:val="20"/>
                <w:color w:val="auto"/>
              </w:rPr>
            </w:pPr>
            <w:r>
              <w:rPr>
                <w:rFonts w:ascii="Wingdings" w:cs="Wingdings" w:eastAsia="Wingdings" w:hAnsi="Wingdings"/>
                <w:sz w:val="18"/>
                <w:szCs w:val="18"/>
                <w:b w:val="1"/>
                <w:bCs w:val="1"/>
                <w:color w:val="auto"/>
              </w:rPr>
              <w:t>o</w:t>
            </w:r>
          </w:p>
        </w:tc>
        <w:tc>
          <w:tcPr>
            <w:tcW w:w="51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rPr>
                <w:sz w:val="20"/>
                <w:szCs w:val="20"/>
                <w:color w:val="auto"/>
              </w:rPr>
            </w:pPr>
            <w:r>
              <w:rPr>
                <w:rFonts w:ascii="Wingdings" w:cs="Wingdings" w:eastAsia="Wingdings" w:hAnsi="Wingdings"/>
                <w:sz w:val="18"/>
                <w:szCs w:val="18"/>
                <w:b w:val="1"/>
                <w:bCs w:val="1"/>
                <w:color w:val="auto"/>
                <w:w w:val="86"/>
              </w:rPr>
              <w:t>o</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20" w:type="dxa"/>
            <w:vAlign w:val="bottom"/>
          </w:tcPr>
          <w:p>
            <w:pPr>
              <w:ind w:left="220"/>
              <w:spacing w:after="0"/>
              <w:rPr>
                <w:sz w:val="20"/>
                <w:szCs w:val="20"/>
                <w:color w:val="auto"/>
              </w:rPr>
            </w:pPr>
            <w:r>
              <w:rPr>
                <w:rFonts w:ascii="Wingdings" w:cs="Wingdings" w:eastAsia="Wingdings" w:hAnsi="Wingdings"/>
                <w:sz w:val="18"/>
                <w:szCs w:val="18"/>
                <w:b w:val="1"/>
                <w:bCs w:val="1"/>
                <w:color w:val="auto"/>
              </w:rPr>
              <w:t>o</w:t>
            </w:r>
          </w:p>
        </w:tc>
        <w:tc>
          <w:tcPr>
            <w:tcW w:w="5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1172" w:right="339" w:bottom="0" w:gutter="0" w:footer="0" w:header="0"/>
        </w:sectPr>
      </w:pPr>
    </w:p>
    <w:bookmarkStart w:id="1" w:name="page2"/>
    <w:bookmarkEnd w:id="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At June 30, 2025, the aggregate market value of common stock held by non-affiliates was approximately $1,131,971,907, based on a closing price of $2.79.</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February 20, 2026, the registrant had 428,951,430 shares of Class A Common Stock, $0.0001 par value per share, and 95,715,856 shares of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use in connection with its 2026 annual meeting of stockholders will be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within 120 days after the close of registrant's fiscal year and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0" w:lineRule="exact"/>
        <w:rPr>
          <w:sz w:val="20"/>
          <w:szCs w:val="20"/>
          <w:color w:val="auto"/>
        </w:rPr>
      </w:pPr>
    </w:p>
    <w:p>
      <w:pPr>
        <w:jc w:val="both"/>
        <w:ind w:firstLine="8"/>
        <w:spacing w:after="0" w:line="246" w:lineRule="auto"/>
        <w:tabs>
          <w:tab w:leader="none" w:pos="151"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120" w:type="dxa"/>
            <w:vAlign w:val="bottom"/>
            <w:gridSpan w:val="15"/>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1"/>
          </w:tcPr>
          <w:p>
            <w:pPr>
              <w:jc w:val="center"/>
              <w:ind w:right="43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20" w:type="dxa"/>
            <w:vAlign w:val="bottom"/>
            <w:gridSpan w:val="2"/>
            <w:vMerge w:val="restart"/>
          </w:tcPr>
          <w:p>
            <w:pPr>
              <w:spacing w:after="0" w:line="20" w:lineRule="exact"/>
              <w:rPr>
                <w:sz w:val="1"/>
                <w:szCs w:val="1"/>
                <w:color w:val="auto"/>
              </w:rPr>
            </w:pPr>
          </w:p>
        </w:tc>
        <w:tc>
          <w:tcPr>
            <w:tcW w:w="4620" w:type="dxa"/>
            <w:vAlign w:val="bottom"/>
            <w:gridSpan w:val="18"/>
            <w:vMerge w:val="restart"/>
          </w:tcPr>
          <w:p>
            <w:pPr>
              <w:ind w:left="280"/>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bottom w:val="single" w:sz="8" w:color="0000FF"/>
            </w:tcBorders>
            <w:gridSpan w:val="3"/>
            <w:vMerge w:val="restart"/>
          </w:tcPr>
          <w:p>
            <w:pPr>
              <w:spacing w:after="0" w:line="20" w:lineRule="exact"/>
              <w:rPr>
                <w:sz w:val="1"/>
                <w:szCs w:val="1"/>
                <w:color w:val="auto"/>
              </w:rPr>
            </w:pPr>
          </w:p>
        </w:tc>
        <w:tc>
          <w:tcPr>
            <w:tcW w:w="4360" w:type="dxa"/>
            <w:vAlign w:val="bottom"/>
            <w:gridSpan w:val="8"/>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40" w:type="dxa"/>
            <w:vAlign w:val="bottom"/>
            <w:tcBorders>
              <w:bottom w:val="single" w:sz="8" w:color="0000FF"/>
            </w:tcBorders>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620" w:type="dxa"/>
            <w:vAlign w:val="bottom"/>
            <w:gridSpan w:val="18"/>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360" w:type="dxa"/>
            <w:vAlign w:val="bottom"/>
            <w:gridSpan w:val="8"/>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21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20" w:type="dxa"/>
            <w:vAlign w:val="bottom"/>
            <w:gridSpan w:val="17"/>
          </w:tcPr>
          <w:p>
            <w:pPr>
              <w:spacing w:after="0"/>
              <w:rPr>
                <w:sz w:val="21"/>
                <w:szCs w:val="21"/>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Item 1C.</w:t>
            </w:r>
          </w:p>
        </w:tc>
        <w:tc>
          <w:tcPr>
            <w:tcW w:w="120" w:type="dxa"/>
            <w:vAlign w:val="bottom"/>
            <w:tcBorders>
              <w:bottom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6"/>
          </w:tcPr>
          <w:p>
            <w:pPr>
              <w:spacing w:after="0"/>
              <w:rPr>
                <w:sz w:val="21"/>
                <w:szCs w:val="21"/>
                <w:color w:val="auto"/>
              </w:rPr>
            </w:pPr>
          </w:p>
        </w:tc>
        <w:tc>
          <w:tcPr>
            <w:tcW w:w="7220" w:type="dxa"/>
            <w:vAlign w:val="bottom"/>
            <w:gridSpan w:val="17"/>
          </w:tcPr>
          <w:p>
            <w:pPr>
              <w:spacing w:after="0"/>
              <w:rPr>
                <w:sz w:val="21"/>
                <w:szCs w:val="21"/>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2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40" w:type="dxa"/>
            <w:vAlign w:val="bottom"/>
            <w:gridSpan w:val="25"/>
          </w:tcPr>
          <w:p>
            <w:pPr>
              <w:spacing w:after="0"/>
              <w:rPr>
                <w:sz w:val="21"/>
                <w:szCs w:val="21"/>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21"/>
          </w:tcPr>
          <w:p>
            <w:pPr>
              <w:spacing w:after="0"/>
              <w:rPr>
                <w:sz w:val="21"/>
                <w:szCs w:val="21"/>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28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00" w:type="dxa"/>
            <w:vAlign w:val="bottom"/>
            <w:gridSpan w:val="19"/>
          </w:tcPr>
          <w:p>
            <w:pPr>
              <w:spacing w:after="0"/>
              <w:rPr>
                <w:sz w:val="21"/>
                <w:szCs w:val="21"/>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320" w:type="dxa"/>
            <w:vAlign w:val="bottom"/>
            <w:gridSpan w:val="7"/>
            <w:vMerge w:val="restart"/>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5"/>
            <w:vMerge w:val="continue"/>
          </w:tcPr>
          <w:p>
            <w:pPr>
              <w:spacing w:after="0"/>
              <w:rPr>
                <w:sz w:val="24"/>
                <w:szCs w:val="24"/>
                <w:color w:val="auto"/>
              </w:rPr>
            </w:pPr>
          </w:p>
        </w:tc>
        <w:tc>
          <w:tcPr>
            <w:tcW w:w="4320" w:type="dxa"/>
            <w:vAlign w:val="bottom"/>
            <w:gridSpan w:val="7"/>
            <w:vMerge w:val="continue"/>
          </w:tcPr>
          <w:p>
            <w:pPr>
              <w:spacing w:after="0"/>
              <w:rPr>
                <w:sz w:val="24"/>
                <w:szCs w:val="24"/>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60" w:type="dxa"/>
            <w:vAlign w:val="bottom"/>
            <w:tcBorders>
              <w:top w:val="single" w:sz="8" w:color="0000FF"/>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80" w:type="dxa"/>
            <w:vAlign w:val="bottom"/>
            <w:tcBorders>
              <w:top w:val="single" w:sz="8" w:color="0000FF"/>
            </w:tcBorders>
            <w:gridSpan w:val="25"/>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28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58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67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4920" w:type="dxa"/>
            <w:vAlign w:val="bottom"/>
            <w:gridSpan w:val="10"/>
          </w:tcPr>
          <w:p>
            <w:pPr>
              <w:spacing w:after="0"/>
              <w:rPr>
                <w:sz w:val="19"/>
                <w:szCs w:val="19"/>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0000FF"/>
                <w:w w:val="99"/>
              </w:rPr>
              <w:t>68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2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00" w:type="dxa"/>
            <w:vAlign w:val="bottom"/>
            <w:gridSpan w:val="19"/>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Item 9B.</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3"/>
          </w:tcPr>
          <w:p>
            <w:pPr>
              <w:spacing w:after="0"/>
              <w:rPr>
                <w:sz w:val="18"/>
                <w:szCs w:val="18"/>
                <w:color w:val="auto"/>
              </w:rPr>
            </w:pPr>
          </w:p>
        </w:tc>
        <w:tc>
          <w:tcPr>
            <w:tcW w:w="7500" w:type="dxa"/>
            <w:vAlign w:val="bottom"/>
            <w:gridSpan w:val="19"/>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Item 9C.</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300" w:type="dxa"/>
            <w:vAlign w:val="bottom"/>
            <w:gridSpan w:val="6"/>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456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gridSpan w:val="7"/>
          </w:tcPr>
          <w:p>
            <w:pPr>
              <w:spacing w:after="0"/>
              <w:rPr>
                <w:sz w:val="24"/>
                <w:szCs w:val="24"/>
                <w:color w:val="auto"/>
              </w:rPr>
            </w:pPr>
          </w:p>
        </w:tc>
        <w:tc>
          <w:tcPr>
            <w:tcW w:w="4300" w:type="dxa"/>
            <w:vAlign w:val="bottom"/>
            <w:gridSpan w:val="6"/>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11.</w:t>
            </w:r>
          </w:p>
        </w:tc>
        <w:tc>
          <w:tcPr>
            <w:tcW w:w="22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180" w:type="dxa"/>
            <w:vAlign w:val="bottom"/>
            <w:gridSpan w:val="14"/>
          </w:tcPr>
          <w:p>
            <w:pPr>
              <w:spacing w:after="0"/>
              <w:rPr>
                <w:sz w:val="20"/>
                <w:szCs w:val="20"/>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560" w:type="dxa"/>
            <w:vAlign w:val="bottom"/>
            <w:gridSpan w:val="29"/>
          </w:tcPr>
          <w:p>
            <w:pPr>
              <w:ind w:left="2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280" w:type="dxa"/>
            <w:vAlign w:val="bottom"/>
          </w:tcPr>
          <w:p>
            <w:pPr>
              <w:spacing w:after="0"/>
              <w:rPr>
                <w:sz w:val="18"/>
                <w:szCs w:val="18"/>
                <w:color w:val="auto"/>
              </w:rPr>
            </w:pPr>
          </w:p>
        </w:tc>
        <w:tc>
          <w:tcPr>
            <w:tcW w:w="5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20" w:type="dxa"/>
            <w:vAlign w:val="bottom"/>
            <w:gridSpan w:val="5"/>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10"/>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560" w:type="dxa"/>
            <w:vAlign w:val="bottom"/>
            <w:gridSpan w:val="29"/>
          </w:tcPr>
          <w:p>
            <w:pPr>
              <w:ind w:left="28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gridSpan w:val="13"/>
            <w:vMerge w:val="restart"/>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13"/>
            <w:vMerge w:val="continue"/>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114</w:t>
            </w:r>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56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gridSpan w:val="7"/>
          </w:tcPr>
          <w:p>
            <w:pPr>
              <w:spacing w:after="0"/>
              <w:rPr>
                <w:sz w:val="19"/>
                <w:szCs w:val="19"/>
                <w:color w:val="auto"/>
              </w:rPr>
            </w:pPr>
          </w:p>
        </w:tc>
        <w:tc>
          <w:tcPr>
            <w:tcW w:w="4300" w:type="dxa"/>
            <w:vAlign w:val="bottom"/>
            <w:gridSpan w:val="6"/>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560" w:type="dxa"/>
            <w:vAlign w:val="bottom"/>
            <w:gridSpan w:val="29"/>
          </w:tcPr>
          <w:p>
            <w:pPr>
              <w:ind w:left="280"/>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115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jc w:val="cente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 Item 1A, “Risk Factors”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Forward-looking statements contained in this Annual Report on Form 10-K involve a number of judgments, risks and uncertainties, including, without limitation, risks related to:</w:t>
      </w:r>
    </w:p>
    <w:p>
      <w:pPr>
        <w:spacing w:after="0" w:line="14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results of operations, financial condition, and cash flows;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and management of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adoption and use of Clover Assistant ("CA"), including the expansion of Clover Assistant technology for external payors and providers under the brand name Counterpart Assistant;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service markets and manage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member base and provider network;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associated with the use of Clover Assistant, including our ability to utilize the platform to manage our medical expenses and medical loss ratios;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our Star Ratings or otherwise continue to improve the financial performance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features and functionality that meet market needs and achieve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necessary employees and staff our operations appropriately;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certain investments in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Class A common stock and our continued compliance with Nasdaq's listing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uncertainty;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fluctuating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uncertainty and instability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Annual Report on Form 10-K or to conform these statements to actual results or revised expectations.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estimates, projections, and other information concerning our industry, our business, and the markets for our products. We obtained the industry, market, and similar data set forth in this Annual Report on Form 10-K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our reports filed with the SEC, including the discussion under "Risk Factors" in this Annual Report on Form 10-K, our actual results or performance may be materially different from those expressed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our Chief Financial Officer, Peter Kuipers.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risks highlighted in the section of this report titled "Risk Factors," that represent challenges that we face in connection with our business. The occurrence of one or more of the events or circumstances described in the section titled "Risk Factors," alone or in combination with other events or circumstances, may have an adverse effect on our business, financial condition, results of operations, and prospects. These risks include, among others, the following, which we consider to be our most material risks:</w:t>
      </w:r>
    </w:p>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achieve or maintain profitability in the future.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on maintaining and continuing to improve CA, and the expansion of CA to external partners, as such, our past results may not be indicative of future performance.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performance depends in part on increasing the lifetime value of enrollments, which are realized over several years, and utilizing our clinical care capabilities to improve the quality of care for our members. Any failure to do so could negatively affect our financial condition and results of operations, including our ability to achieve or increase profitability.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adoption and use of Clover Assistant is lower than we expect, our growth may slow or stall, or if we experience a decline in the number of our Insurance members, which we may refer to as "lives under Clover management" or similar wording in this report, our results of operations may be adversely affected.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estimate, price for and manage medical expenses in an effective manner, the profitability of our business could decline, which could materially and adversely affect our results of operations, financial condition, and cash flows.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Centers for Medicare &amp; Medicaid Services' risk adjustment payment system makes our revenue and profitability difficult to predict and could result in material retroactive adjustments to our results of operations.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substantially all of our revenues from Medicare Advantage premiums and expect to continue to derive a substantial portion of our Total revenues in the future from Medicare Advantage premiums, and, as a result, changes or developments in Medicare generally, or the health insurance system and laws and regulations governing the health insurance markets in the United States, could materially adversely affect our business, results of operations, financial condition, and prospects.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and this capital might not be available on acceptable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succeed in maintaining or expanding the number of members under our Medicare Advantage plans, our business, financial condition, and results of operations could be harmed.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members remain concentrated in certain geographic areas and populations, which exposes us to unfavorable changes in local benefit costs, reimbursement rates, competition, and economic conditions.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affected if we are unable to grow our provider networks or contract with providers, medical facilities, and other entities on competitive terms.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our growth, which could have a material adverse effect on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research and development operations pose certain risks to our business that may be different from risks associated with our core domestic business operations.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our sites, networks, and 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 subject to investigations and litigation, which could be costly and time-consuming to defend and the outcomes of which cannot be predicted.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impair our ability to protect our internally-developed technology and our brands, and our business may be adversely affected.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maintain the right to use certain of our intellectual property could negatively affect our business.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and trading volume of our shares of Class A common stock have in the past experienced periods of extreme volatility and steep declines, and such volatility and price declines may occur in the future in ways that may be unrelated, or disproportionate, to our operating performance.</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in the public markets, or the perception that they might occur, could cause the market price of our Class A common stock to decline.</w:t>
      </w:r>
    </w:p>
    <w:p>
      <w:pPr>
        <w:spacing w:after="0" w:line="107"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certain stockholders, including our directors and executive officers and their respective affiliates, who held in the aggregate 71.2% of the voting power of our capital stock at December 31, 2025.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9"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corporate charter documents and under Delaware law may prevent or hinder attempts by our stockholders to change our management or to acquire a controlling interest in us. The trading price of our Class A common stock may be lower as a result.</w:t>
      </w:r>
    </w:p>
    <w:p>
      <w:pPr>
        <w:spacing w:after="0" w:line="200" w:lineRule="exact"/>
        <w:rPr>
          <w:sz w:val="20"/>
          <w:szCs w:val="20"/>
          <w:color w:val="auto"/>
        </w:rPr>
      </w:pPr>
    </w:p>
    <w:p>
      <w:pPr>
        <w:spacing w:after="0" w:line="3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technology to identify, manage, and treat chronic diseases earlier. This results in earlier diagnosis and treatment, earlier disease management and more affordable and accessible care. Our strategy is to improve the care of our Medicare Advantage ("MA") members, develop wide physician networks, and provide technology to help empower physicians. Our proprietary software platform, Clover Assistant (licensed externally as Counterpart Assistant), supports clinical real-time decision making at the point of care by equipping the clinical with data and insights. This helps us execute our strategy by enabling physicians to detect, identify, and manage chronic diseases better than they otherwise could. This technology is a cloud-based software platform that curates data from over 100 sources and provides physicians with access to data-driven insights and personalized care recommendations for the patients. Our differentiated approach can be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6172200" cy="2434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40" w:right="20"/>
        <w:spacing w:after="0" w:line="246"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Represents full year 2025 Benefits expense ratio (“BER”) for Clover Health, as well as most recent results of other public companies with “Traditional MA Plan” approaches that have reported results as of the time of this publication. BER is a non-GAAP financial measure. We calculate our BER by taking the total of Insurance net medical expenses incurred and quality improvements, and dividing that total by premiums earned on a net basis, in a given period. Please refer to the Company's Key Performance Measures included in Part II, Item 7 of this Form 10-K</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a reconciliation of BER to Insurance Net medical claims incurred, net, the most directly comparable GAAP measure.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Provider use of Clover Assistant enables data-driven clinical decision-making that benefits our members and drives rapid software iteration: the more that providers use Clover Assistant, the more it learns and furthers the precision of personalized data-driven recommendations. We combine our beneficiary data with provider-generated data and use this powerful closed feedback loop to continuously fine-tune our proprietary clinical rules and machine learning models, as well as to select and prioritize future software capabilities. We believe the use and continuous improvement of Clover Assistant has resulted in not only improved clinical decision-making but also enhanced MA plan performance. The platform facilitates identifying and engaging with our most at-risk members for our clinical programs. These programs are designed to provide additional targeted care support and to further drive better plan performance.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leverage Clover Assistant in our Preferred Provider Organization ("PPO") and Health Maintenance Organization ("HMO") plans. We aim to provide affordable, high-quality healthcare and we offer most of our members (referred to as "members") in our Medicare Advantage ("MA") plans among the lowest average out-of-pocket costs for primary care provider ("PCP") and specialist co-pays in their respective markets. We strongly believe in providing our members with provider choice and consider our PPO plans to be our flagship insurance product. An important feature of our MA product is its wide physician network. We often offer the same cost-sharing (co-pays and deductibles) for visits with primary care providers who are in-network and out-of-network. We manage care on our wide network by empowering providers with intuitive data-driven, personalized insights for their patients (our members) through the use of Clover Assistant. We believe this enables providers to make improved clinical decisions. We reach a broad array of consumers, including traditionally underserved markets. At January 1, 2026, we operated our MA plans in five states and 203 counties.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We complement our wide-network physicians and their patients with our longitudinal home-based primary care program for our highest acuity members, Clover Home Care, powered by Clover Assistant. This program covers the most medically complex patients, often with advanced co-morbidities. We believe Clover Assistant makes home care for high-risk individuals more scalable than fixed-site-based care. It permits technology deployment to enhance care and outcomes directly where patients live because our value proposition is centered around software. Clover Home Care seeks to preserve the PCP-to-patient relationship through collaboration, which aims to improve health outcomes and reduce medical expenses.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it a priority to work with Medicare eligible seniors in underserved markets. This includes MA members diagnosed with at least two chronic diseases, as well as members living in communities that fall within the top five deciles of what the government defines as areas of socioeconomic deprivation. We are heavily invested in helping provide care for those who are most in need.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launched Counterpart Health, Inc., a new Software-as-a-Service (“SaaS”) and Tech Enabled Services Solution to bring the power of Clover Assistant technology to external payors and providers serving the Medicare eligible population. This external offering aims to equip clinician users with the Company's already built, clinician-centric, and AI-powered care management platform. Strategically, Counterpart Health, Inc., a subsidiary of Clover Health, aims to extend the benefits of proven data-driven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 Unless the context otherwise provides, references to Clover Assistant in this report also refer to Counterpart Assistant, as applicable. We are continuing external commercialization efforts through Counterpart Health, to bring Clover's care model to more plans and providers nationwide. Counterpart Health is not yet significant to our overall business or results of operations. We remain focused on increasing total lives on Counterpart Health alongside Clover's growing Medicare Advantage Plan.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Clover Health was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 We are a remote first company. Accordingly, we do not maintain a headquarters. Stockholder communications required to be sent to our principal executive offices may be directed to the email address: secretary@cloverhealth.com, or to our agent for service of process at The Corporation Trust Company, 1209 Orange Street, Wilmington, Delaware 19801. Our telephone number is (201) 432-2133. Our website address is www.cloverhealth.com. The information contained on or accessible through our website is not part of this Annual Report on Form 10-K and is not incorporated by reference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have an opportunity to fundamentally change healthcare by providing easy access to care via technology-enabled providers across the country. By leveraging our Clover Assistant platform, we believe we can raise the level of care provided by every provider and scale in ways that traditional managed care plans and risk-bearing provider groups cannot. We principally scale our model of care by deploying physician-enablement software to providers. We do this primarily by entering into contracts with our providers in which they agree to use Clover Assistant in connection with their primary care office visits in exchange for a flat fee. Our platform, which enables differentiated patient care,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Medicare is the focal point of our opportunity. Approximately 70 million people were enrolled in Medicare in 2025. That number is expected to rise, equating to approximately $1.5 trillion in total expenditures by 2030. Within Medicare, the MA market made up approximately $545 billion of annual spend in 2025 and is expected to grow to approximately $916 billion by 2030. Original Medicare is expected to grow from $475 billion to $630 billion over the same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Technology Platform: Clover Assistant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given patient, we aim to equip physicians utilizing Clover Assistant with synthesized sets of collated and actionable data, to identify, manage and subsequently treat disease burdens earlier. The combination of these features enables physicians to deliver a better patient experience for our beneficiaries, as physicians are able to more effectively identify clinical opportunities to treat patients using data-driven, personalized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88900</wp:posOffset>
            </wp:positionV>
            <wp:extent cx="6172200" cy="2528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Clover Assistant is a purpose-built technology platform that empowers providers to deliver intuitive data-driven, personalized care to help physicians detect, identify, and manage diseases earlier. This physician-enablement platform is designed to synthesize comprehensive, longitudinal sets of data to generate provider-focused machine learning, artificial intelligence and rules-based insights, and to drive action by surfacing the most relevant, personalized information about each patient to his or her provider. Through this democratization of data access for providers, we seek to reduce the variability in clinical decision-making, drive improved adherence to evidence-based protocols, and help providers deliver better care. Our proprietary technology platform is at the center of the Company's technology-first approach to driving better care management. The image below represents an example of the Clover Assistant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6172200" cy="2743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spacing w:after="0" w:line="312" w:lineRule="auto"/>
        <w:rPr>
          <w:sz w:val="20"/>
          <w:szCs w:val="20"/>
          <w:color w:val="auto"/>
        </w:rPr>
      </w:pPr>
      <w:r>
        <w:rPr>
          <w:rFonts w:ascii="Times New Roman" w:cs="Times New Roman" w:eastAsia="Times New Roman" w:hAnsi="Times New Roman"/>
          <w:sz w:val="17"/>
          <w:szCs w:val="17"/>
          <w:color w:val="auto"/>
        </w:rPr>
        <w:t>Our vision is to empower every physician with Clover Assistant technology to identify, manage, and treat chronic diseases earlier. We've published multiple white papers on the impact of Clover Assistant in real-world clinical settings. The image below shows the findings from our previously published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117475</wp:posOffset>
            </wp:positionV>
            <wp:extent cx="6172200" cy="3154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20" w:right="40" w:hanging="3964"/>
        <w:spacing w:after="0" w:line="261" w:lineRule="auto"/>
        <w:tabs>
          <w:tab w:leader="none" w:pos="27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analysis focuses on performance by non-SNP PPO plans with over 2,000 lives as of September 1, 2025 on HEDIS measures applicable to non-SNPs that were used for CMS’s MY 2024 Star ratings, applying the measure ranges used by CMS.</w:t>
      </w:r>
    </w:p>
    <w:p>
      <w:pPr>
        <w:ind w:left="1000" w:right="40" w:hanging="946"/>
        <w:spacing w:after="0" w:line="261"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“Clover Assistant Use and Diagnosis and Progression of Chronic Kidney Disease” www.cloverhealth.com/clinicalcare/ckd; “Clover Assistant Use and Diagnosis, Treatment, and Progression of Diabetes” www.cloverhealth.com/clinicalcare/diabetes; “Driving Clinical Excellence in Chronic Disease: Counterpart Assistant’s Role in Heart Failure Care”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https://cdn.counterparthealth.com/whitepapers/2025_05_chf_whitepaper.pdf; “Counterpart Assistant Drives Clinical Excellence”, for detailed methodology and the HEDIS performance of the</w:t>
      </w:r>
    </w:p>
    <w:p>
      <w:pPr>
        <w:spacing w:after="0" w:line="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broader industry visit, please see here; “Driving Clinical Excellence in Chronic Disease: Counterpart Assistant’s Role in Chronic Obstructive Pulmonary Disease Care”</w:t>
      </w:r>
    </w:p>
    <w:p>
      <w:pPr>
        <w:spacing w:after="0" w:line="4" w:lineRule="exact"/>
        <w:rPr>
          <w:sz w:val="20"/>
          <w:szCs w:val="20"/>
          <w:color w:val="auto"/>
        </w:rPr>
      </w:pPr>
    </w:p>
    <w:p>
      <w:pPr>
        <w:jc w:val="center"/>
        <w:ind w:left="340" w:right="20"/>
        <w:spacing w:after="0" w:line="278" w:lineRule="auto"/>
        <w:rPr>
          <w:sz w:val="20"/>
          <w:szCs w:val="20"/>
          <w:color w:val="auto"/>
        </w:rPr>
      </w:pPr>
      <w:r>
        <w:rPr>
          <w:rFonts w:ascii="Times New Roman" w:cs="Times New Roman" w:eastAsia="Times New Roman" w:hAnsi="Times New Roman"/>
          <w:sz w:val="14"/>
          <w:szCs w:val="14"/>
          <w:color w:val="auto"/>
        </w:rPr>
        <w:t>https://cdn.counterparthealth.com/whitepapers/2025_08_copd_whitepaper.pdf; “Bridging the Divide: Counterpart Assistant Use by PCPs in Underserved Chronic Disease Populations Associated with Earlier Diagnosis and Less Frequent Hospitalization” https://cdn.counterparthealth.com/whitepapers/counterpart-sedn.pdf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features that differentiate our Clover Assistant platform from other healthcare technology include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intuitive data-driven, personalized and actionable insights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Clover Assistant aggregates and structures millions of data points per day, derived from a variety of data sets, such as claims data, medical charts, medication data, diagnostic data, and data generated from electronic health records ("EHR"), across dozens of typically siloed and inconsistently formatted data feeds. It connects this data with up-to-date, evidence-based protocols and patient-specific plan information to generate intuitive data-driven, personalized and actionable insights available to providers for use in their treatment and management of patient care.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Engages healthcare providers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launching our platform in July 2018, we have driven provider adoption of our Clover Assistant platform through its user-centric design, highly actionable and real-time clinical content, enhanced fee for service payment model and simple onboarding. Our platform provides actionable clinical content through an intuitive interface that easily integrates into the providers' workflow.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integration into provider workflows via EHRs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significant investments into extending our proprietary technology platform, enabling Clover Assistant functionality to be embedded quickly and seamlessly into major EHR systems, including Epic, Cerner, Athena and others. This further improves physician workflows and reduces duplicative actions by providers and administrators. We aim to make Clover Assistant available to physicians in ways that best suit them and their practices.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Delivers differentiated plan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Clover Assistant platform is designed to enable our mission-aligned business model to drive the empowerment of providers and improve care for beneficiaries while contributing to improved margins for our MA plans. As a result of our provider-focused, data-driven platform, providers who have been using Clover Assistant and are treating returning members, on average, have had lower medical care ratios ("MCRs") than providers who have not used Clover Assistant and are treating returning members.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Enables rapid software iteration via our closed feedback loop</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platform is highly dynamic and continues to improve as we capture more data. As an MA plan that builds our own internally-developed physician-enablement software, we believe we are differentiated in our ability to continuously build upon our broad sets of rich data, resulting in a rapid learn-iterate-deploy software improvement cycle. We capture real-time data via live provider use and feedback through Clover Assistant. This bi-directional data sharing creates a closed feedback loop, allowing us to continuously measure the results of our platform's recommendations in real-time and improve our platform.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Delivers differentiated clinical care capabilities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work hard to drive better care for our lives under Clover management. To accomplish this goal, we aim to establish with Clover Assistant a comprehensive understanding of each patient, their conditions and needs as well as how those factors change over time, so that we can provide support to their providers as they determine when appropriate interventions should be delivered. We monitor a range of data sources over time to create a comprehensive view of each patient's disease trajectory. Taking this holistic approach helps us to improve personalized chronic disease management and care coordination. Clover Health has published data demonstrating the technology’s impact on Medication Adherence, Congestive Heart Failure, Chronic Obstructive Pulmonary Disease, and in Underserved Populations as well as the earlier identification and management of Diabetes and Chronic Kidney Disease.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features of our clinical care capabilities provide significant value to providers and our beneficiaries: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Providers are provided with data-driven and actionable insights for each patient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given patient, a provider utilizing Clover Assistant may experience any of the following:</w:t>
      </w:r>
    </w:p>
    <w:p>
      <w:pPr>
        <w:spacing w:after="0" w:line="169"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Synthesized sets of collated, actionable data. </w:t>
      </w:r>
      <w:r>
        <w:rPr>
          <w:rFonts w:ascii="Times New Roman" w:cs="Times New Roman" w:eastAsia="Times New Roman" w:hAnsi="Times New Roman"/>
          <w:sz w:val="18"/>
          <w:szCs w:val="18"/>
          <w:color w:val="auto"/>
        </w:rPr>
        <w:t>Providers often do not have access to comprehensive information about their patients' interactions,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a recent hospital admission or specialist-prescribed medication, across the healthcare ecosystem. Clover Assistant is designed to eliminate this inefficiency by surfacing relevant and important data from sources across the healthcare ecosystem for providers to review in connection with their care of their patients.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Quality gap closure. </w:t>
      </w:r>
      <w:r>
        <w:rPr>
          <w:rFonts w:ascii="Times New Roman" w:cs="Times New Roman" w:eastAsia="Times New Roman" w:hAnsi="Times New Roman"/>
          <w:sz w:val="18"/>
          <w:szCs w:val="18"/>
          <w:color w:val="auto"/>
        </w:rPr>
        <w:t>Clover Assistant identifies opportunities for improvement in clinical quality gaps, including those prioritized by Centers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&amp; Medicaid Services' ("CMS") Star Ratings Program (plan performance measures that drive bonus payments for plan providers), such as prescription drug adherence, regular cancer screenings and the annual flu shot. By improving patient care management plans and addressing these quality gaps with evidence-based guidelines, we expect to reduce costs and improve care over the long term.</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Disease burden identification. </w:t>
      </w:r>
      <w:r>
        <w:rPr>
          <w:rFonts w:ascii="Times New Roman" w:cs="Times New Roman" w:eastAsia="Times New Roman" w:hAnsi="Times New Roman"/>
          <w:sz w:val="18"/>
          <w:szCs w:val="18"/>
          <w:color w:val="auto"/>
        </w:rPr>
        <w:t>Clover Assistant reveals potential gaps in a provider's understanding of a patient's disease burden. By surfacing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conditions that may be asymptomatic or otherwise unaddressed, providers can proactively treat conditions and drive better care for their patients.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combination of these features enables providers to deliver a better patient experience for our beneficiaries, as providers are able to more effectively identify clinical opportunities to treat patients using intuitive data-driven, personalized insights.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critical importance, when providing actionable advice, Clover Assistant shares with the providers the specific reasons why a recommendation is being made so that the provider can exercise his or her own judgment in deciding whether to accept or reject a care recommendation. This may include evidence such as specific lab results, records from prior encounters, and links to other clinical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closed feedback loop continuously improves our clinical recommendation engine and understanding of individual patient needs.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Our clinical programs run on Clover Assistant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supporting providers throughout our open network, we operate clinical programs, either through our own employed clinicians or through vendors, that are designed to provide improved supportive care for the most chronically-ill, frail, and costly patients. Below is a snapshot of several clinical programs we offer:</w:t>
      </w:r>
    </w:p>
    <w:p>
      <w:pPr>
        <w:spacing w:after="0" w:line="12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Clover In-Home Care</w:t>
      </w:r>
      <w:r>
        <w:rPr>
          <w:rFonts w:ascii="Times New Roman" w:cs="Times New Roman" w:eastAsia="Times New Roman" w:hAnsi="Times New Roman"/>
          <w:sz w:val="18"/>
          <w:szCs w:val="18"/>
          <w:color w:val="auto"/>
        </w:rPr>
        <w:t>. Home-based care management for our most complex and highest acuity patients.</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Supportive Care</w:t>
      </w:r>
      <w:r>
        <w:rPr>
          <w:rFonts w:ascii="Times New Roman" w:cs="Times New Roman" w:eastAsia="Times New Roman" w:hAnsi="Times New Roman"/>
          <w:sz w:val="18"/>
          <w:szCs w:val="18"/>
          <w:color w:val="auto"/>
        </w:rPr>
        <w:t>. Advanced care planning support and palliative care for patients with limited life expectancy.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Welcome Home Program</w:t>
      </w:r>
      <w:r>
        <w:rPr>
          <w:rFonts w:ascii="Times New Roman" w:cs="Times New Roman" w:eastAsia="Times New Roman" w:hAnsi="Times New Roman"/>
          <w:sz w:val="18"/>
          <w:szCs w:val="18"/>
          <w:color w:val="auto"/>
        </w:rPr>
        <w:t>. Care transition support for patients recently discharged from a hospital or post-acute care.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Behavioral Health Program</w:t>
      </w:r>
      <w:r>
        <w:rPr>
          <w:rFonts w:ascii="Times New Roman" w:cs="Times New Roman" w:eastAsia="Times New Roman" w:hAnsi="Times New Roman"/>
          <w:sz w:val="18"/>
          <w:szCs w:val="18"/>
          <w:color w:val="auto"/>
        </w:rPr>
        <w:t>. Comprehensive care coordination for patients with behavioral health and social services needs.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Clover Assistant supports coordination of our high risk-members' care through our clinical programs, from identification of members who would benefit from such programs, through engagement to clinical care. Powered by Clover Assistant, we provide longitudinal care via various care delivery programs for our most at-risk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Broadly speaking, our strategy can be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120015</wp:posOffset>
            </wp:positionV>
            <wp:extent cx="6172200" cy="3214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utilizing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specifically, our strategy centers on the following steps:</w:t>
      </w:r>
    </w:p>
    <w:p>
      <w:pPr>
        <w:spacing w:after="0" w:line="169" w:lineRule="exact"/>
        <w:rPr>
          <w:sz w:val="20"/>
          <w:szCs w:val="20"/>
          <w:color w:val="auto"/>
        </w:rPr>
      </w:pPr>
    </w:p>
    <w:p>
      <w:pPr>
        <w:ind w:left="660" w:right="2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one: </w:t>
      </w:r>
      <w:r>
        <w:rPr>
          <w:rFonts w:ascii="Times New Roman" w:cs="Times New Roman" w:eastAsia="Times New Roman" w:hAnsi="Times New Roman"/>
          <w:sz w:val="18"/>
          <w:szCs w:val="18"/>
          <w:color w:val="auto"/>
        </w:rPr>
        <w:t>Select markets to deploy our innovative model. We seek opportunities to create differentiated and enhanced plans for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virtually anywhere in the United States, including traditionally underserved markets.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two: </w:t>
      </w:r>
      <w:r>
        <w:rPr>
          <w:rFonts w:ascii="Times New Roman" w:cs="Times New Roman" w:eastAsia="Times New Roman" w:hAnsi="Times New Roman"/>
          <w:sz w:val="18"/>
          <w:szCs w:val="18"/>
          <w:color w:val="auto"/>
        </w:rPr>
        <w:t>Broadly disseminate Clover Assistant. We contract with a wide array of primary care decision-makers and deploy Clover Assistant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wherever possible to empower providers to deliver data-driven, personalized care. Our contracts also have a simple payment model, with one enhanced rate for primary care visits using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members to see providers outside our network, which can generate new leads for us to deploy Clover Assistant with an increasing pool of providers.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3" w:name="page14"/>
    <w:bookmarkEnd w:id="13"/>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three: </w:t>
      </w:r>
      <w:r>
        <w:rPr>
          <w:rFonts w:ascii="Times New Roman" w:cs="Times New Roman" w:eastAsia="Times New Roman" w:hAnsi="Times New Roman"/>
          <w:sz w:val="18"/>
          <w:szCs w:val="18"/>
          <w:color w:val="auto"/>
        </w:rPr>
        <w:t>Powered by Clover Assistant's strong unit economics, deploy best-in-class plans. The use of Clover Assistant is designed to drive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success of our plans, which allows us to return these strong economics back to our members in the form of enhanced benefits, lower out-of-pocket costs and freedom of choice. Our affordability is underpinned by our plans' low average total out-of-pocket costs for PCP and specialist co-pays. The substantial majority of our members enjoy freedom of choice, which manifests in our expansive and open network with the same cost-sharing for members who see primary care providers in- and out-of-network. Our open network design is particularly attractive compared to our competitors' usual narrow networks.</w:t>
      </w:r>
    </w:p>
    <w:p>
      <w:pPr>
        <w:spacing w:after="0" w:line="12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Step four: </w:t>
      </w:r>
      <w:r>
        <w:rPr>
          <w:rFonts w:ascii="Times New Roman" w:cs="Times New Roman" w:eastAsia="Times New Roman" w:hAnsi="Times New Roman"/>
          <w:sz w:val="18"/>
          <w:szCs w:val="18"/>
          <w:color w:val="auto"/>
        </w:rPr>
        <w:t>Through our subsidiary, Counterpart Health, we aim to extend the benefits of our data-driven technology platform to a wider audience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healthcare providers outside our MA plan, and enable enhanced patient outcomes and reduced healthcare costs on a nationwide scale.</w:t>
      </w:r>
    </w:p>
    <w:p>
      <w:pPr>
        <w:spacing w:after="0" w:line="1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Complementary offering to drive growth &amp; profitability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SaaS &amp; Tech-Enabled Services revenue streams with low startup costs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clinicians empowered with AI-power proven technology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mission-aligned business model, powered by Clover Assistant, enables us to deliver significant value to the entire healthcare ecosystem.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Clover is the plan for consumers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an approach focused on consumer healthcare choice, enhanced provider trust, and competitive pricing results in distinct value to our members and makes great healthcare available to everyone.</w:t>
      </w:r>
    </w:p>
    <w:p>
      <w:pPr>
        <w:spacing w:after="0" w:line="106" w:lineRule="exact"/>
        <w:rPr>
          <w:sz w:val="20"/>
          <w:szCs w:val="20"/>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Provider of choice. </w:t>
      </w:r>
      <w:r>
        <w:rPr>
          <w:rFonts w:ascii="Times New Roman" w:cs="Times New Roman" w:eastAsia="Times New Roman" w:hAnsi="Times New Roman"/>
          <w:sz w:val="18"/>
          <w:szCs w:val="18"/>
          <w:color w:val="auto"/>
        </w:rPr>
        <w:t>We value the health decisions our members make and believe that consumer-driven provider choice increases trust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satisfaction. Our differentiated, open network philosophy offers considerable consumer choice: discretion to choose any new Medicare provider willing to see them, or keep an existing provider. The substantial majority of our members are enrolled in our open network plans, meaning that our members need not worry about verifying whether their primary care provider is in or out of our network, as they pay the same amount in either case.</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Clover Assistant is the ultimate assistant. </w:t>
      </w:r>
      <w:r>
        <w:rPr>
          <w:rFonts w:ascii="Times New Roman" w:cs="Times New Roman" w:eastAsia="Times New Roman" w:hAnsi="Times New Roman"/>
          <w:sz w:val="18"/>
          <w:szCs w:val="18"/>
          <w:color w:val="auto"/>
        </w:rPr>
        <w:t>Clover Assistant, being focused on physician enablement, enhances the provider's ability to coordinate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for our beneficiaries. We believe our beneficiaries can have confidence that, when using Clover Assistant, their provider has ready access to their medical histories and personalized, data-driven clinical care recommendations.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 value plans. </w:t>
      </w:r>
      <w:r>
        <w:rPr>
          <w:rFonts w:ascii="Times New Roman" w:cs="Times New Roman" w:eastAsia="Times New Roman" w:hAnsi="Times New Roman"/>
          <w:sz w:val="18"/>
          <w:szCs w:val="18"/>
          <w:color w:val="auto"/>
        </w:rPr>
        <w:t>We strive to ensure that consumers who choose our health plans get more for less. Our plans offer competitive benefits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highly affordable. Most of our members are enrolled in plans that offer among the lowest average out-of-pocket costs for PCP co-pays in their markets while also providing wide network access and the same in- and out-of-network costs for primary care provider visits. By seeking to lower the financial burden on our members, we reduce disincentives that inhibit our members from seeking the care they need.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Clover delivers clinical and financial value for providers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Clover Assistant allows providers to focus on delivering high-quality care and rewards them for doing so.</w:t>
      </w:r>
    </w:p>
    <w:p>
      <w:pPr>
        <w:spacing w:after="0" w:line="16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Clover Assistant empowers providers. </w:t>
      </w:r>
      <w:r>
        <w:rPr>
          <w:rFonts w:ascii="Times New Roman" w:cs="Times New Roman" w:eastAsia="Times New Roman" w:hAnsi="Times New Roman"/>
          <w:sz w:val="18"/>
          <w:szCs w:val="18"/>
          <w:color w:val="auto"/>
        </w:rPr>
        <w:t>We are focused on empowering providers who use our platform.</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pay an enhanced rate for primary care. </w:t>
      </w:r>
      <w:r>
        <w:rPr>
          <w:rFonts w:ascii="Times New Roman" w:cs="Times New Roman" w:eastAsia="Times New Roman" w:hAnsi="Times New Roman"/>
          <w:sz w:val="18"/>
          <w:szCs w:val="18"/>
          <w:color w:val="auto"/>
        </w:rPr>
        <w:t>We believe primary care providers play a critical role in helping to keep our beneficiaries healthy,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compensate them by paying a rate that is typically higher than the Medicare fee-for-service rate for the enhanced clinical experience they provide beneficiaries through use of Clover Assistant.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partner with providers and allow them to focus on providing quality care. </w:t>
      </w:r>
      <w:r>
        <w:rPr>
          <w:rFonts w:ascii="Times New Roman" w:cs="Times New Roman" w:eastAsia="Times New Roman" w:hAnsi="Times New Roman"/>
          <w:sz w:val="18"/>
          <w:szCs w:val="18"/>
          <w:color w:val="auto"/>
        </w:rPr>
        <w:t>We partner with all types of providers, including solo practitioners,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 physician groups, hospital-employed physicians, and other providers. The combination of our growing beneficiary base and the Clover Assistant program enables a highly efficient economic model that allows providers to build successful practices serving Medicare patients. This model focuses on relieving providers of additional administrative burdens, empowering them to spend more time on care.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Clover offers high-quality healthcare for our Medicare members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120" w:lineRule="exact"/>
        <w:rPr>
          <w:sz w:val="20"/>
          <w:szCs w:val="20"/>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mean everyone. </w:t>
      </w:r>
      <w:r>
        <w:rPr>
          <w:rFonts w:ascii="Times New Roman" w:cs="Times New Roman" w:eastAsia="Times New Roman" w:hAnsi="Times New Roman"/>
          <w:sz w:val="18"/>
          <w:szCs w:val="18"/>
          <w:color w:val="auto"/>
        </w:rPr>
        <w:t>Every individual deserves the best care, and through Clover Assistant we are democratizing the clinical data and insights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need to deliver care. Because we drive this clinical improvement with technology, we believe we can scale in virtually any market, including traditionally underserved markets that are generally not viable for others.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mean everywhere. </w:t>
      </w:r>
      <w:r>
        <w:rPr>
          <w:rFonts w:ascii="Times New Roman" w:cs="Times New Roman" w:eastAsia="Times New Roman" w:hAnsi="Times New Roman"/>
          <w:sz w:val="18"/>
          <w:szCs w:val="18"/>
          <w:color w:val="auto"/>
        </w:rPr>
        <w:t>As patients are increasingly looking for access to care in a variety of settings, through Clover Assistant, we are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empower clinicians to provide care in offices and hospitals as well as non-traditional settings both via telemedicine and in the home. Our software allows us to help providers deliver care everywhere that our beneficiaries want to receive it.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Sustainable healthcare through reduced medical cost. </w:t>
      </w:r>
      <w:r>
        <w:rPr>
          <w:rFonts w:ascii="Times New Roman" w:cs="Times New Roman" w:eastAsia="Times New Roman" w:hAnsi="Times New Roman"/>
          <w:sz w:val="18"/>
          <w:szCs w:val="18"/>
          <w:color w:val="auto"/>
        </w:rPr>
        <w:t>We believe our focus on personalized evidence-based clinical recommendations leading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early disease identification, treatment, and management, and quality gap closure allow us to reduce medical costs over the long-term. Our innovative approach to preventive care empowers providers to spend more time understanding their patients and personalized, evidence-based guidelines and helps reduce the incidence of high-cost events that drive the largest share of healthcare expenditures.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Clover Assistant Architecture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Clover Assistant is a differentiated, scalable platform that is able to combine data synthesis and insight generation to provide unique and actionable insights to providers. The Clover Assistant platform synthesizes comprehensive, longitudinal sets of data, generates clinically-focused machine learning, artificial intelligence, and rules-based insights, and drives action by surfacing the most relevant, personalized information to providers designed to assist them in the early identification and management of disease. Our platform's excellence is centered on this three-pronged approach:</w:t>
      </w:r>
    </w:p>
    <w:p>
      <w:pPr>
        <w:spacing w:after="0" w:line="124"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Synthesis. </w:t>
      </w:r>
      <w:r>
        <w:rPr>
          <w:rFonts w:ascii="Times New Roman" w:cs="Times New Roman" w:eastAsia="Times New Roman" w:hAnsi="Times New Roman"/>
          <w:sz w:val="18"/>
          <w:szCs w:val="18"/>
          <w:color w:val="auto"/>
        </w:rPr>
        <w:t>Because it is developed by a health plan, Clover Assistant is uniquely positioned in its ability to directly access broad sets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13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Insight. </w:t>
      </w:r>
      <w:r>
        <w:rPr>
          <w:rFonts w:ascii="Times New Roman" w:cs="Times New Roman" w:eastAsia="Times New Roman" w:hAnsi="Times New Roman"/>
          <w:sz w:val="18"/>
          <w:szCs w:val="18"/>
          <w:color w:val="auto"/>
        </w:rPr>
        <w:t>Given the massive depth, breadth, and volume of data that we collect, it is critical to leverage technology to perform intelligent analytics.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Analyzing this amount of data in real-time is very complex for any provider, but we have advanced our technology to perform these analytics in real-time. Our insight engine applies a combination of advanced machine learning and clinically-driven business rules to curate actionable insights for providers.</w:t>
      </w:r>
    </w:p>
    <w:p>
      <w:pPr>
        <w:spacing w:after="0" w:line="12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 </w:t>
      </w:r>
      <w:r>
        <w:rPr>
          <w:rFonts w:ascii="Times New Roman" w:cs="Times New Roman" w:eastAsia="Times New Roman" w:hAnsi="Times New Roman"/>
          <w:sz w:val="18"/>
          <w:szCs w:val="18"/>
          <w:color w:val="auto"/>
        </w:rPr>
        <w:t>Clover Assistant provides real time, personalized, and actionable insights to help healthcare providers to make better decisions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treat, and manage diseases early.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three aspects of Clover Assistant (Synthesis, Insight, and Action) 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Across all three prongs of our platform, Clover Assistant is designed and operated to preserve the confidentiality, integrity and availability of users’ and patients’ information in accordance with applicable law and recognized industry standards. Clover has in place policies designed to ensure compliance with guidelines promulgated pursuant to the Health Insurance Portability and Accountability Act of 1996 ("HIPAA"). We have implemented a formal information security and privacy program that aligns to third-party frameworks and certifications (including HITRUST and SOC 2), and we maintain programmatic, auditable controls to support those certifications. Product-level security for Clover Assistant is governed by a dedicated product security function that works in coordination with corporate information security to design and operate controls appropriate for our clinical and customer-facing services. Our security program includes continuous monitoring, vulnerability management and remediation, periodic penetration and risk assessments, incident response and business continuity planning, and ongoing employee security awareness and testing.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Products Built on Clover Assistant Platform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Clover Assistant is designed to be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106" w:lineRule="exact"/>
        <w:rPr>
          <w:sz w:val="20"/>
          <w:szCs w:val="20"/>
          <w:color w:val="auto"/>
        </w:rPr>
      </w:pPr>
    </w:p>
    <w:p>
      <w:pPr>
        <w:jc w:val="both"/>
        <w:ind w:left="66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Office/virtual visits. </w:t>
      </w:r>
      <w:r>
        <w:rPr>
          <w:rFonts w:ascii="Times New Roman" w:cs="Times New Roman" w:eastAsia="Times New Roman" w:hAnsi="Times New Roman"/>
          <w:sz w:val="18"/>
          <w:szCs w:val="18"/>
          <w:color w:val="auto"/>
        </w:rPr>
        <w:t>Clover Assistant empowers providers by recommending personalized, evidence-based medications, providing reminders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timely discussion topics and treatment, enabling requests for patient data and orders for tests or screening kits and identifies potential undiagnosed conditions based on clinical evidence. Our software makes these features available for in-person visits or through telemedicine solutions.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 staff. </w:t>
      </w:r>
      <w:r>
        <w:rPr>
          <w:rFonts w:ascii="Times New Roman" w:cs="Times New Roman" w:eastAsia="Times New Roman" w:hAnsi="Times New Roman"/>
          <w:sz w:val="18"/>
          <w:szCs w:val="18"/>
          <w:color w:val="auto"/>
        </w:rPr>
        <w:t>Through its Care Connect feature and embedded analytics, Clover Assistant empowers office staff by identifying patients due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 flagging beneficiaries recently discharged from the hospital, and noting potentially beneficial screenings and follow-ups.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In-home visits. </w:t>
      </w:r>
      <w:r>
        <w:rPr>
          <w:rFonts w:ascii="Times New Roman" w:cs="Times New Roman" w:eastAsia="Times New Roman" w:hAnsi="Times New Roman"/>
          <w:sz w:val="18"/>
          <w:szCs w:val="18"/>
          <w:color w:val="auto"/>
        </w:rPr>
        <w:t>Clover Assistant empowers physicians and other providers who operate outside of clinical settings, offices, or hospitals.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for example, our in-home primary care program enabling lengthy interactions for our lives under Clover management with the most advanced illnesses or complex conditions. It also supports in-home programs targeting patients who have been recently discharged from hospitals or who do not receive regular care from a PCP.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MA plans through a broad range of activities and through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on our website and on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focus our time, attention, and investment on continued innovation in the Clover Assistant platform. We expect to continue investing in expanding our platform and enhancing the features and functionality of Clover Assistant. We analyze the growing number of interactions our providers have with Clover Assistant to recognize their needs quickly and guide future innovation. Our research and development team is responsible for the design, development, testing, and delivery of solutions for our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physician enablement space is highly competitive, and there are many players competing within the technology space as well as within segments of Medicare such as MA and Original Medicare. We compete in certain segments within the healthcare market, including MA plans as well as other healthcare technology platforms. Competition in our market involves rapidly changing technologies, evolving regulatory requirements and industry expectations, new product offerings and constantly evolving beneficiary and provider preferences and user requirements.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competition from incumbent MA sponsors, many of whom are developing their own technology or partnering with third-party technology providers to drive improvements in care. Our competitors generally include large, national insurers, such as United Health, Aetna, Humana, Centene, and Elevance Health that provide MA plans, as well as regional-based companies or health plans that provide MA plans, including Blue Cross Blue Shield affiliates, Alignment Health, and Devoted Health, Oscar Health, hospital systems and provider-based organizations.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competition in the physician enablement space from offerings and tools that allow providers to offer value-based care, offerings such as EHRs and other tools that promote high physician enablement, and any other product or tool designed to enable a physician to improve care. Also, as we develop other products and enter new lines of business, and other companies do the same, we may compete with providers of healthcare technology platforms, EHR providers, telehealth providers, healthcare data analytics providers, and ACOs.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business model allows us to compete favorably based on the following competitive factors: the use of Clover Assistant platform to improve clinical decision-making, price, quality of service, products offering access to broad and open provider networks, breadth and flexibility of plan benefits, brand strength, beneficiary and provider satisfaction, and financial stability.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 See Part I, Item 1A, "Risk Factors," for a discussion of the risks related to our intellectual property.</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a portfolio of patents and have patent applications pending from time to time. We have registered our trademarks in the United States and abroad.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vision is made possible through the efforts put forth by our teams. We strive to attract and retain highly qualified talent from different skill sets, professional backgrounds and industries in support of our range of businesses from technology to healthcare. Bringing together motivated, inquisitive and mission-oriented talent has provided us with a strategic advantage and is key to our success. Clover strives to provide a collaborative and supportive work environment, competitive market compensation and benefits programs and growth opportunities that empower our employees to deliver positive outcomes for beneficiaries.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we had 724 employees with approximately 93% in the U.S. and 6% in Hong Kong with the remaining less than 1% dispersed in various countries.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Excellence in Distributed Work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 distributed team model from the Board of Directors on down within our organization, and we believe that our distributed approach to teams allows us to attract the best talent for each and every role, without geographic constraints. In August 2018, we opened an office in Hong Kong, which now has a team of 41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Future Leaders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empower our employees to do their best work and aim to provide a variety of in-house and external resources to help them achieve their maximum potential. Our approach to development starts during onboarding, when employees are presented with customized 30/60/90-day onboarding plans as well as automated review cycles via our performance management system to support their progress. These plans are created by employee’s hiring managers and reviewed by our Hiring Committee, with the goal of providing structure to onboarding and defining key wins and early successes as they join Clover. The onboarding plans also provide opportunities for check-ins, feedback and re-prioritization of workload.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&amp; Feedback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giving, receiving and acting on feedback makes us better colleagues. Ensuring our teams have a variety of avenues to provide feedback in a safe way has been core to our ethos. Our evolving performance management process supports a culture of transparency, engagement and continuous feedback. Our annual performance management cycle includes a 360 calibration review for employees at all levels as we believe it provides the most holistic and meaningful snapshot on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Top Talent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in using our total rewards program to incentivize employees to make decisions that are in the best interest of our stakeholders. It is important that our plans are aligned with the market so that we can attract, retain, and motivate our employees. Our total rewards program includes a mix of base salary, annual cash incentive opportunities, equity incentive awards, and a comprehensive benefits offering, which continues to evolve over time in support of our talent needs and business objectives.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support work-life balance for all of our employees, we provide employees with health (medical, dental, vision, and telehealth) insurance, paid time off, paid sick leave, paid parental leave, at least one paid company-wide holiday per month, paid year-end "Week of Rest", a U.S. 401(k) plan with Company match and an employee stock purchase plan. We continually monitor market trends and adjust our programs to ensure our total rewards offering remains competitive and meaningful.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work diligently to ensure compliance with all applicable laws and regulations affecting our business. As an entity within the healthcare industry, and one operating Medicare plans, we are subject to comprehensive federal, state, and international laws and we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results of operations, financial condition, or cash flows. See Part I, Item 1A, "Risk Factors," for a discussion of the risks related to our compliance with federal, state, and international laws and regulations.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Part I, Item 1A, "Risk Factors—We are currently, and may in the future be, subject to investigations and litigation, which could be costly and time-consuming to defend. The outcomes of these matters cannot be predicted."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Laws and Regulations, Relevant Agency Oversight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laws and regulations, and our activities are subject to regulation by several federal agencies. The most comprehensive oversight comes from CMS, which regulates our MA plans.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MA contracts for each contract year. In addition, the Department of Health and Human Services Office of Inspector General also audits risk adjustments of companies offering MA plans, and we anticipate this remaining a focus of government inquiries and investigations in the next few years.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CMS’s Medicare Advantage Star ratings system, CMS annually awards between 1.0 and 5.0 Stars to Medicare Advantage plans based on performance in several categories.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Please see Item 7, "Management Discussion and Analysis, CMS Star Ratings" of this Report for an overview of the Company's recent Star ratings adjustments.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security, and data standards regulation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or protected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regulations promulgated pursuant to HIPAA impose a number of obligations on covered entities, including issuers of health insurance coverage and health benefit plan sponsors. Health insurers, HMOs, and healthcare providers that transmit health information electronically are included in HIPAA's Privacy Rule definition of "Covered Entities." Regulations promulgated to implement HIPAA and the Health Information Technology for Economic and Clinical Health Act ("HITECH") also require that "business associates" (e.g., entities that perform functions or provide services involving the use or disclosure of protected health information on behalf of health plans and providers, such as electronic claims clearinghouses, print and fulfillment vendors and consultants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affected individuals, and in some cases, to the local media. They provide for financial penalties and, in certain cases, criminal penalties for individuals, including employees, for privacy or security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that impose ongoing compliance requirements. OCR enforcement activity against us can result in financial liability and reputational harm, and our responses to such enforcement activity can consume significant internal resources. In addition to enforcement by OCR, state attorneys general are authorized to bring civil actions under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does not preempt state laws that provide more stringent privacy protection than those provided for under HIPAA; as such, we may be subject to additional state privacy laws in the states in which we operate that are more privacy protective than HIPAA.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the GLBA sets a "floor" standard, allowing states to adopt more stringent requirements governing privacy protection.</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The FTC Act, Section 5 prohibits unfair or deceptive practices, which includes investigation and enforcement of misleading or deceptive claims made by companies. These issues can include claims made in privacy policies around how consumer health data will be used or disclosed.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financial penalties,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states have begun to enact more comprehensive privacy laws and regulations addressing consumer rights relating to data use and disclosure, confidentiality, transparency, and cybersecurity. Violations by us of applicable federal and state privacy and security laws and other contractual requirements may result in significant liability and expense, damage to our reputation and the termination of relationships with our customers.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There are federal and state laws that govern specific types of health information, including but not limited to substance use disorder information, mental health information, and reproductive health information. 42 CFR Part 2 governs the confidentiality of substance use disorder information at the federal level, and recent regulatory efforts have better aligned use and disclosure of Part 2 information with PHI, regulated by HIPAA. Some states have also enacted condition-specific health privacy laws that restrict the use or disclosure of specific types of information, and to the extent applicable, the Company must comply with those requirements. (See e.g. Washington’s My Health My Data Law) Such laws must be reviewed for applicability to the Company and impose additional obligations to those of HIPAA.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they are often the subject of fraud, waste, and abuse investigations and audits. The regulations and contractual requirements applicable to us and other participants in these programs are complex and subject to change. Although our compliance programs are designed to meet all statutory and regulatory requirements, our policies and procedures are frequently under review and subject to updates, and our training and education programs continue to evolve.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State laws and regulation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regulation.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entities, requires reports to be filed directly with the New Jersey Department of Banking and Insurance ("NJ 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At December 31, 2025,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entities which, for both the HMO and PPO, is New Jersey.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we operate through a holding-company structure, we are regulated under state insurance holding company regulations and are dependent upon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of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a person can acquire control of a U.S. domestic insurer, prior written approval, or exemption therefrom, must be obtained from the insurance commissioner of the state where the insurer is domiciled, or the acquirer must make a disclaimer of control filing with the insurance department of such state that must be accepted by such insurance department. Prior to granting approval of an application to acquire control of a domestic insurer, the domiciliary state insurance commissioner will consider a number of factors, including the financial strength of the proposed acquirer, the acquirer's plans for the future operations of the domestic insurer, and any anti-competitive results that may arise from the consummation of the acquisition of control.</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 insurance statutes generally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in fact exist. The state regulators, however, may also find that control exists in circumstances in which a person owns or controls less than ten percent of the voting securities of the domestic insurer.</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insurance entities are domiciled in New Jersey, and therefore the insurance laws and regulations of New Jersey would be applicable to any proposed acquisition or change in control of the Company or our regulated insurance entities. Under New Jersey law, generally no person may acquire control of any insurer, whether by purchase of its securities or otherwise, unless it gives prior notice to the insurer and receives prior approval, or exemption therefrom, from NJ DOBI. These regulations pertaining to an acquisition of control of an insurance company may discourage potential acquisition proposals and may delay, deter, or prevent a change of control of the Company or our regulated insurance entities, including through transactions that some or all of our stockholders might consider to be desirable. Such regulations may also inhibit our ability to acquire an insurance company should we wish to do so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Corporate practice of medicine and fee-splitting laws.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health services operations comply with applicable state statutes regarding corporate practice of medicine, fee-splitting and similar issues. However, any enforcement actions against us by governmental officials alleging noncompliance with these statutes could subject us to penalties or restructuring or reorganization of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direct operations in Hong Kong and Canada and certain contracted operations and software research and development in various other countries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FCPA prohibits offering, promising, providing, or authorizing others to give anything of value to a foreign government official to obtain or retain business or otherwise secure a business advantage.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www.cloverhealth.com. Our filings with the SEC are posted on our website and available free of charge as soon as reasonably practicable after they are electronically filed with, or furnished to, the SEC. The content contained on or accessible from our website or on any website referred to in this Form 10-K is not incorporated by reference in this Form 10-K. Further, the Company's references to website URLs are intended to be inactive textual references only.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material information to investors and the marketplace using filings with the SEC, press releases, public conference calls, presentations, webcasts and our investor relations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Chief Financial Officer, Peter Kuipers.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and permanently, if one or more of these risks and uncertainties occurs. Any factor described in this report or in any of our other SEC filings could by itself, or together with other factors, adversely affect our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we may not be able to achieve or maintain profitability in the future.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net losses of $85.5 million, $46.3 million, and $210.1 million for the years ended December 31, 2025, 2024, and 2023, respectively, and as of December 31, 2025 we had an accumulated deficit of approximately $2.3 billion. We may continue to incur losses in the near term as we continue to invest significant additional funds towards growing our business. In particular, we expect to continue to invest in improving Clover Assistant and our technology infrastructure, developing our clinical care programs, increasing adoption of the Clover Assistant platform, including through Counterpart Health, expanding our marketing and outreach efforts, expanding our operations geographically, and developing future offerings that improve care and supplement our revenue streams. These efforts may prove more expensive than we currently anticipate, and we may not succeed in increasing our revenue sufficiently to offset these expenses. Even if we are successful in increasing our Total revenues from Insurance premiums earned, we may not successfully and effectively predict, price, and manage the medical costs.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may not be able to sustain profitability in subsequent periods. Our cash flows from operations were negative for the years ended December 31, 2025 and 2023 and positive for the year ended December 31, 2024, and we may not generate positive cash flow from operations in any given period. If we are not able to maintain profitability or achieve positive cash flow, we will require additional financing, which may not be available on favorable terms, or at all, and which could be dilutive to our stockholders. See the risk factor entitled "</w:t>
      </w:r>
      <w:r>
        <w:rPr>
          <w:rFonts w:ascii="Times New Roman" w:cs="Times New Roman" w:eastAsia="Times New Roman" w:hAnsi="Times New Roman"/>
          <w:sz w:val="18"/>
          <w:szCs w:val="18"/>
          <w:i w:val="1"/>
          <w:iCs w:val="1"/>
          <w:color w:val="auto"/>
        </w:rPr>
        <w:t>We may require additional capital to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growth, and this capital might not be available on acceptable terms, or at all." </w:t>
      </w:r>
      <w:r>
        <w:rPr>
          <w:rFonts w:ascii="Times New Roman" w:cs="Times New Roman" w:eastAsia="Times New Roman" w:hAnsi="Times New Roman"/>
          <w:sz w:val="18"/>
          <w:szCs w:val="18"/>
          <w:color w:val="auto"/>
        </w:rPr>
        <w:t>If we are unable to successfully address these risks and challenges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 encounter them, our business may be harmed, which could negatively affect the value of our common stock.</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on maintaining and continuing to improve CA, and the expansion of CA to external partners, as such, our past results may not be indicative of future performance.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launching Clover Assistant in 2018, we have continued to develop its features and capabilities, adapt our go-to-market strategy and adjust its integration with our MA plans and third-party systems. As a result, we may not fully understand the impact of Clover Assistant on our future business and long-term prospects. Our continued long-term success depends on maintaining and continuing to improve Clover Assistant and the margins we generate from its operations over time in the markets we currently serve or potential future markets. There can be no assurance that these effects will continue to improve or persist over time in our current markets or that we can replicate these results as we expand into new markets, and the failure to do so may have a negative effect on our business and results of operations. See the risk factor entitled "</w:t>
      </w:r>
      <w:r>
        <w:rPr>
          <w:rFonts w:ascii="Times New Roman" w:cs="Times New Roman" w:eastAsia="Times New Roman" w:hAnsi="Times New Roman"/>
          <w:sz w:val="18"/>
          <w:szCs w:val="18"/>
          <w:i w:val="1"/>
          <w:iCs w:val="1"/>
          <w:color w:val="auto"/>
        </w:rPr>
        <w:t>Our launch of Counterpart Assistant as a Software-as-a-Service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(“SaaS”) product for external payors and providers serving the Medicare eligible population may not be successful, and, as a result, our business may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launch of Counterpart Assistant as a Software-as-a-Service (“SaaS”) product for external payors and providers serving the Medicare eligible population may not be successful, and, as a result, our business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we launched Counterpart Health, Inc. (“Counterpart Health”), a subsidiary of the Company which houses a SaaS and tech-enabled services solution to bring the power of Clover Assistant technology to external payors and providers serving the Medicare eligible population under the brand name "Counterpart Assistant," with the aim to extend the benefits of data-driven proven technology and personalized care to a wider audience, enabling enhanced patient outcomes and reduced healthcare costs across the nation. Counterpart Assistant is complementary to Clover Assistant, and, unless the context otherwise provides, references to the risks associated with Clover Assistant in this report also refer to risks associated with Counterpart Assistant, as applicable.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successfully execute on our SaaS product, we must develop sales and customer service teams, invest in marketing efforts and securely maintain, expand and upgrade our technology and infrastructure prior to determining whether our expectations will reasonably reflect customer demand for our solutions. Failure by us to anticipate the market for our SaaS product and external payors and providers’ changing needs, our inability to invest sufficiently in strategic growth areas, or our inability to otherwise successfully execute this strategy, could harm our reputation, results of operations and financial performance. Additionally, our Counterpart Assistant offering could also subject us to increased risk of liability, particularly liability arising from U.S. federal and state laws and regulations governing the security, use and disclosure of protected health information, related to the provision of this SaaS product, as well as operational, technical, legal, regulatory, or other costs. See the risk factors entitled "</w:t>
      </w:r>
      <w:r>
        <w:rPr>
          <w:rFonts w:ascii="Times New Roman" w:cs="Times New Roman" w:eastAsia="Times New Roman" w:hAnsi="Times New Roman"/>
          <w:sz w:val="18"/>
          <w:szCs w:val="18"/>
          <w:i w:val="1"/>
          <w:iCs w:val="1"/>
          <w:color w:val="auto"/>
        </w:rPr>
        <w:t>Our failure to protect our sites, networks,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depends in part on increasing the lifetime value of enrollments, which are realized over several years, and utilizing our clinical care capabilities to improve the quality of care for our members. Any failure to do so could negatively affect our financial condition and results of operations, including our ability to achieve or increase profitability.</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lifetime value of our enrollments could be impacted by a variety of factors, including but not limited to cost of care reductions from our clinical programs and the length of time a member remains enrolled in our plan. Thus, our future performance is heavily dependent on our ability to utilize Clover Assistant to drive down the medical care ratios for our members. By doing so, we aim to drive per member per month ("PMPM") medical expense savings and generate more accurate risk adjustment data over time. If we fail to achieve such decreases in cost of care, our business, financial condition, and results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of operations will be adversely affected. See the risk factor entitled </w:t>
      </w:r>
      <w:r>
        <w:rPr>
          <w:rFonts w:ascii="Times New Roman" w:cs="Times New Roman" w:eastAsia="Times New Roman" w:hAnsi="Times New Roman"/>
          <w:sz w:val="18"/>
          <w:szCs w:val="18"/>
          <w:i w:val="1"/>
          <w:iCs w:val="1"/>
          <w:color w:val="auto"/>
        </w:rPr>
        <w:t>"If we fail to estimate, price for and manage medical expenses in an effective manner,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profitability of our business could decline, which could materially and adversely affect our results of operations, financial condition, and cash flows."</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future performance also depends on utilizing our clinical care capabilities to improve the quality of care for our members so that they remain members. If we are unable to retain our members, our ability to realize the returns on our investments in the Clover Assistant platform could be negatively affected. For example, since returning members tend to have lower MCR than do new members, rapid membership growth or other shifts in the mix of new and returning members could adversely affect our MCR in the near-term and adversely impact our profitability.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achieve or increase profitability in the future.</w:t>
      </w:r>
    </w:p>
    <w:p>
      <w:pPr>
        <w:spacing w:after="0" w:line="1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adoption and use of Clover Assistant is lower than we expect, our growth may slow or stall. We may experience a decline in our lives under Clover management, and our results of operations could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adoption and use of Clover Assistant, including by providers who also use EHR systems. We have directed, and intend to continue to direct, a significant portion of our financial and operating resources toward developing Clover Assistant platform and expanding its usage. For example, Clover Assistant is now available to external payors and providers serving the Medicare eligible population under the brand name Counterpart Assistant, which is housed in our subsidiary Counterpart Health. There can be no assurance that adoption of Clover Assistant will continue to grow, or that rates of use will be maintained or increase. A number of factors could potentially negatively affect provider adoption and use of Clover Assistant, including, but not limited to:</w:t>
      </w:r>
    </w:p>
    <w:p>
      <w:pPr>
        <w:spacing w:after="0" w:line="133" w:lineRule="exact"/>
        <w:rPr>
          <w:sz w:val="20"/>
          <w:szCs w:val="20"/>
          <w:color w:val="auto"/>
        </w:rPr>
      </w:pPr>
    </w:p>
    <w:p>
      <w:pPr>
        <w:ind w:left="980" w:hanging="324"/>
        <w:spacing w:after="0" w:line="261"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convincing providers of the value, benefits, and usefulness of Clover Assistant, and continued physician participation in the Clover Assistant program, particularly in markets where we have fewer members;</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integrate with EHR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attract, effectively train and retain effective sales and marketing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market, sell and deploy Counterpart Assistant;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strategic partners;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capitalize on co-branding opportunities;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experiencing unfavorable shifts in perception of Clover Assistant;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implementation of CMS interoperability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scheduling meetings with providers, and providing demonstrations and trainings related to Clover Assistant;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ind w:left="980" w:hanging="324"/>
        <w:spacing w:after="0" w:line="250"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impacting availability or reliability of the platform and frustrating the experience of members or providers, including limited broadband access in certain rural areas;</w:t>
      </w: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for members in accessing their providers and a corresponding decrease in the number of primary care visits;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communication, safety, security or other similar concerns;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platform that are mandated by, or that we elect to make, to address legislation, regulatory authorities or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user experiences;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brand recognition.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are unable to enroll a sufficient number of patients of a particular physician or provider group in our MA plans, we may have difficulty motivating such physician or provider group to utilize Clover Assistant. Furthermore, if we are unable to address the needs of providers using Clover Assistant, if providers are dissatisfied with Clover Assistant, or if new alternative solutions effectively compete with us, providers may decline to use Clover Assistant.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4" w:name="page25"/>
    <w:bookmarkEnd w:id="24"/>
    <w:p>
      <w:pPr>
        <w:jc w:val="both"/>
        <w:spacing w:after="0" w:line="245" w:lineRule="auto"/>
        <w:rPr>
          <w:sz w:val="20"/>
          <w:szCs w:val="20"/>
          <w:color w:val="auto"/>
        </w:rPr>
      </w:pPr>
      <w:r>
        <w:rPr>
          <w:rFonts w:ascii="Times New Roman" w:cs="Times New Roman" w:eastAsia="Times New Roman" w:hAnsi="Times New Roman"/>
          <w:sz w:val="18"/>
          <w:szCs w:val="18"/>
          <w:color w:val="auto"/>
        </w:rPr>
        <w:t>If Clover Assistant is not adopted as quickly as we anticipate in the markets in which we operate, we may be unable to collect and provide valuable actionable data to providers treating our members in such markets, which could prevent us from driving significant reductions in MCR for our members in such markets. Any such events could result in higher medical expenses and reduced cash flows. As a result, if we are unsuccessful in our efforts to drive adoption of Clover Assistant, our business, results of operations, and financial condition could be harmed.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attract new users and retain existing users of Clover Assistant also depends in large part on our ability to continually enhance and improve its features, integrations, and capabilities to continue to provide a useful tool for providers. Accordingly, we must continue investing resources in improving and enhancing Clover Assistant. The success of any enhancement to Clover Assistant will depend on several factors, including timely completion and delivery, adequate quality testing, integration with existing technologies, adequate training of and messaging to providers, and overall market acceptance for those or other reasons. Any new features, integrations, and capabilities that we develop may not be introduced in a timely or cost-effective manner, may contain errors, failures, vulnerabilities, or bugs, or may not achieve market acceptance.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estimate, price for and manage medical expenses in an effective manner, the profitability of our business could decline, which could materially and adversely affect our results of operations, financial condition, and cash flows.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MA plans, we assume the risk of both the cost of medical services for our members, or medical expenses, and administrative costs for our members in return for monthly premiums, which we are paid by the CMS on a per member basis. The ACA requires that we spend at least 85% of those premiums on healthcare services, covered benefits, and quality improvement efforts, and we generally use at least 85% of our premium revenues to pay for these costs, which is referred to as a "medical loss ratio," or MLR. Our MA plans are required to meet this 85% minimum medical loss ratio threshold prescribed by the ACA, and the Company's MLR calculations may be subject to review by CMS. If the government disagrees with our MLR calculation or our MLR is below the required 85% threshold, we may be required to pay a rebate to CMS, which could have a material effect on our business, results of operations and cash flows. Our ability to enhance the profitability of our business depends in significant part on our ability to predict, price, and effectively manage medical costs and MLRs, which are affected by utilization rates, the cost of service and the type of service rendered.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Two key factors in our ability to manage medical expenses are the adoption of Clover Assistant by the providers who treat our members (collectively, the "Providers") and enrollment in our clinical care programs, including our in-home primary care program ("Clover Home Care"), by our most at-risk members. By driving adoption of Clover Assistant by our Providers, we seek to promote the provision of high-quality medical care driven by real-time, personalized and actionable insights to healthcare providers. If we fail to drive adoption of Clover Assistant by our Providers or fail to accurately identify members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the introduction of new or costly drugs, treatments and technology; new treatment guidelines; new mandated benefits (such as the expansion of essential benefits coverage) or other regulatory changes; and insured population characteristics. While we believe Clover Assistant may enable us to make better predictions regarding future medical costs, there can be no assurance that better predictions will be made or that we would be able to realize the benefits of those predictions.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New legislation may also lead to changes in the pricing for the Medicare Advantage program, which may materially impact our costs associated with managing loss ratios in Medicare Part D. While we believe we have adequately reviewed our assumptions and estimates regarding these complex and wide-ranging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5" w:name="page26"/>
    <w:bookmarkEnd w:id="25"/>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CMS's risk adjustment payment system makes our revenues and profitability difficult to predict and could result in material retroactive adjustments to our results of operations.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CMS has implemented a risk adjustment payment system for Medicare health plans to improve the accuracy of payments and establish appropriate compensation for Medicare plans that enroll and treat less healthy Medicare members. CMS's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conversely, if the data incorrectly understates the health risk of our members, we might be underpaid for the care that we must provide to our members. Either of those situations could harm our reputation and have a negative impact on our results of operations and financial condition. CMS may change the way that it measures risk or adjust risk scores, and the potential impact on any such changes on our business is difficult to predict.</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CMS makes premium payments to MA plans based on approved bids, which are risk-adjusted to account for members' known demographic and health status information. As prescribed by CMS, the premium is retroactively adjusted on two separate occasions to account for shifts in the diagnosis collection periods. We calculate estimates for these retroactive payment adjustments on a monthly basis. In addition, from time to time, CMS makes changes to the way it calculates risk adjustment payments, by phasing in new Risk Adjustment Models. An Updated Risk Adjustment Model may impact our revenues, and any reduction in risk adjustments for our members could have a material adverse effect on our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or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from the sale of our equity securities, MA premiums earned, and the incurrence of indebtedness. In the future, we may be required to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credit markets and capital markets, other volatility or disruptions impacting financial markets, and other factors. There can be no assurance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succeed in maintaining or expanding the number of members under our MA plans, our business, financial condition, and results of operations could be harmed.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Total revenues from premiums earned, which is primarily driven by the number of members under our MA plans. Additionally, the number of lives under Clover management is critical to our success, and we are continually executing several growth initiatives, strategies, and operating plans designed to maintain or increase the number of lives under Clover management. We may not be able to successfully execute on these initiatives, strategies, and operating plans, and even if we are able to successfully execute on these initiatives, we may not fully realize the expected potential benefits, including achieving cost savings, better plan economics and more affordable healthcare. In addition, even if we are successful in maintaining or achieving growth, as applicable, doing so may be more costly than we anticipate, and if we are not able to manage our costs our results could be materially adversely affected. See the risk factor entitled "</w:t>
      </w:r>
      <w:r>
        <w:rPr>
          <w:rFonts w:ascii="Times New Roman" w:cs="Times New Roman" w:eastAsia="Times New Roman" w:hAnsi="Times New Roman"/>
          <w:sz w:val="18"/>
          <w:szCs w:val="18"/>
          <w:i w:val="1"/>
          <w:iCs w:val="1"/>
          <w:color w:val="auto"/>
        </w:rPr>
        <w:t>If we fail to estimate, price for and manage medical expenses in an effective manner,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profitability of our business could decline, which could materially and adversely affect our results of operations, financial condition, and cash flows.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6" w:name="page27"/>
    <w:bookmarkEnd w:id="26"/>
    <w:p>
      <w:pPr>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successfully maintain our current growth or achieve future growth for a number of reasons. Our ability to attract and retain members may be impacted by several factors, including, without limitation:</w:t>
      </w:r>
    </w:p>
    <w:p>
      <w:pPr>
        <w:spacing w:after="0" w:line="108"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brand recognition for our MA plans;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developing strategic co-marketing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lack of shopping for plans by MA eligible members;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consumer preferences, including a preference by members to enroll with an MA plan sponsored by the insurer of the commercial plan in which they enrolled before they became eligible for Medicare, and a preference by members to enroll in various special needs plans, which we do not offer;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effectively compete and offer low cost and high value plans;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an attractive network in new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overall pool of MA eligible members;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growing our provider networks and contracting with providers and medical facilities on competitive terms.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Other providers participating in Medicare may choose to see no members or only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an MA plan from us.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maintenance and growth of our current member levels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or issues with government-run health insurance exchanges, we could acquire fewer new members than expected or suffer a reduction in the number of our existing members. Our business, results of operations, and financial condition could be harmed by any of these factors.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there can be no assurance that we will be able to increase our number of lives under Clover management or provide assurance regarding the extent to which we will be able to achieve beneficiary growth.</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If our management is unable to effectively manage our growth, our revenue may not increase (including sufficiently to offset our expenses) or may grow more slowly than expected, and we may be unable to implement our business strategy.</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 remain concentrated in certain geographic areas and populations, which exposes us to unfavorable changes in local benefit costs, reimbursement rates, competition, and economic conditions.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members remain concentrated in certain geographic areas in the United States and in certain populations. Many are low-income, and a significant number are people of color. At December 31, 2025, approximately 87% of our members, most of whom were in two metropolitan areas, were residents of New Jersey. Unfavorable changes in healthcare or other benefit costs or reimbursement rates or increased competition in these states or any other geographic area where our members become concentrated in the future could therefore have a disproportionately adverse effect on our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if we are unable to grow our provider networks or contract with providers, medical facilities, and other entities on competitive terms.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attract additional members, our provider networks, including those providers participating in Medicare and willing to see our members but who we have not contracted with, must be not only adequate, but attractive, providing Medicare-eligible members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That could have a material adverse effect on our business, financial condition, and results of operations.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Clover Assistant by providers as well as lead to higher costs, healthcare provider network disruptions and less attractive options for our members. Any of these factors could have a material adverse effect on our business, financial condition, and results of operations.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our growth, which could have a material adverse effect on our business, financial condition,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manage our growth effectively, through, for example, an unexpected increase in members, a rapid expansion in geographies served, or a sudden growth in hiring,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for MA plans and related products are highly competitive. We compete in certain segments within the healthcare market, including MA plans as well as other healthcare technology platforms and the fee-for-service market.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Centene, and Elevance Health that provide MA plans, as well as regional-based companies or health plans that provide MA plans, including Blue Cross Blue Shield affiliates, Alignment Health, Devoted Health, Oscar Health, hospital systems and provider-based organizations. Competition from these and other new entrants may intensify as the fee-for-service market develops and business models evolve to address it.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Furthermore, accountable care organizations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As a result, our current and potential competitors may be able to respond more quickly and effectively than we can to new or changing opportunities, technologies, standards, or client requirements. Further, even if our product or service offerings are more effective than the product or service offerings of our competitors, current or potential provider users and members might select competitive products and services in lieu of purchasing our product or service offerings. If we are unable to continue to grow and enhance our product and service offerings to our provider users and members,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members and provider users, and loss of current market share to existing competitors and disruptive new market entrants.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one of these competitive pressures in our market, or our failure to compete effectively, may result in fewer plans being offered; a reduction in plan benefits; reduced services; a loss of existing members or inability to grow our number of members; fewer provider users; reduced revenues; lower gross margins; and loss of market share. Any failure to meet and address these competitive factors would harm our business, results of operations, and financial condition.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larger companies that may have stronger brands, and consolidation among competitors would increase competition.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beneficiary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members.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healthcare industry in the United States has experienced a substantial amount of consolidation in recent years, resulting in a decrease in the number of insurance carriers, providers, and payors.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member base, a stronger and larger provider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providers may adopt competing technology platforms in lieu of Clover Assistant. Any such events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estimate incurred but not reported claims accurately would affect our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 provider billing practices, benefit changes, known outbreaks of disease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we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Estimating and accounting for Medicare Part D costs involves certain regulatory calculations that carry inherent risks. Should these estimates and assumptions deviate from actual outcomes, it could negatively impact our operational results.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our CMS contracts that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CMS requiring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Reinsurance and low-income cost subsidies represent payments from CMS in connection with the Medicare Part D program for which we assume no risk. Reinsurance subsidies represent payments for CMS' portion of claims costs that exceed the member's out-of-pocket threshold, or the catastrophic coverage level. Low-income cost subsidies represent payments from CMS for all or a portion of the deductible, the coinsurance and co-payment amounts above the out-of-pocket threshold for low-income members. Monthly prospective payments from CMS for reinsurance and low-income cost subsidies are based on assumptions submitted with our annual bid. A reconciliation and settlement of CMS' prospective subsidies against actual prescription drug costs we paid is made after the end of the applicable 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 claims edit processes due to various reasons, including discrepancies in eligibility or classification of low-income members. To the extent our data does not pass CMS' claim edit processes, we may bear the risk for all or a portion of the claim that otherwise may have been subject to the risk corridor provision or forgo payments we would have otherwise received as a low-income subsidy or reinsurance claim. In addition, if the settlement represents an amount CMS owes us, there is a negative impact on our cash flows and financial condition as a result of financing CMS' share of the risk. The opposite is true in the event the settlement represents an amount we owe CMS. If our estimates or assumptions related to our financial accounting for these benefits prove incorrect or insufficient, our results of operations could be adversely affected.</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sales and marketing infrastructure or if we fail to overcome challenges relating to marketing of our business, we may fail to enroll sufficient members to meet our forecasts.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and will continue to be highly dependent on the ability of our sales force to adequately promote and market our MA plans to enroll new members and retain our existing members. If our sales and marketing representatives fail to achieve their objectives, our lives under Clover management could decrease or may not increase at levels that are in line with our expectations. This could adversely impact our financial condition and results of operations.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not successful at converting the opportunities presented by new distribution channels and access to local markets, we may not be able to grow our number of members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Clover Assistant. This, in turn, could compromise our ability to deliver on our goals of using Clover Assistant to decrease costs and improve care.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If we are unable to expand our sales and marketing capabilities, we may not be able to effectively commercialize our existing or planned solutions, which could result in reduced member enrollment and the failure of our enrollment rate to increase in line with our expectations.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recognition or are unable to maintain or enhance our reputation, our business, financial condition, and results of operations will be harmed.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developing widespread brand recognition and maintaining and enhancing our reputation is critical to our relationships with existing providers and members, and to our ability to attract new providers and members to our platform and offerings. The promotion of our brands, including in Counterpart Assistant,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revenues may not offset the expenses we incur, and our results of operations could be harmed. In addition, any factor that diminishes our reputation or that of our management, including failing to meet the expectations of our providers or members, could harm our reputation and brands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services that are useful to our members and providers, we may not remain competitive, and our business, financial condition, and results of operations could suffer.</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member and provider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Clover Assistant. Our competitors may develop products and services that may appeal more to our members and/or providers. As a result, we must continue to invest significant resources in research and development in order to enhance our existing platform and introduce new high-quality products and features that our members and providers will want, while offering our MA plans at competitive prices. In particular, achieving and maintaining broad market acceptance of our MA plans and our products, including Clover Assistant, could be negatively affected by many factors, including:</w:t>
      </w:r>
    </w:p>
    <w:p>
      <w:pPr>
        <w:spacing w:after="0" w:line="134"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member and provider needs and preferences;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ease-of-use, cost savings or other perceived benefits of our MA plans;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the ease-of-use, costs savings or other perceived benefits of our Clover Assistant platform over competitive products and technology platforms; and</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associated with the use of our Clover Assistant platform, similar products or technologies generally.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Clover Assistant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Clover Assistant until there is enough evidence to convince them to alter their current approach or until the number of Clover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results of operations and reputation could suffer.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our lives under Clover management, which could adversely affect our business, financial condition, and results of operations.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designed Clover Assistant to be easy to adopt and use, once providers begin using it, they rely on our support services to resolve any platform issues. High-quality user education and customer experience have been key to the adoption of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and our ability to grow the number of users of our platform. This could in turn harm our business, results of operations, and financial condition. Additionally, as the number of providers using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Clover Assistant would harm our business, results of operations, and financial condition.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and integrating with Clover Assistant is inherently complex and may contain material defects or errors. Errors, failures, vulnerabilities, or bugs have in the past, and may in the future, occur in Clover Assistant, especially when updates are deployed or new features, integrations, or capabilities are rolled out. For example, if the clinical features or suggestions provided through Clover Assistant were to fail, our systems could experience data loss and/or providers may become frustrated with Clover Assistant, which in turn may affect retention and adoption of Clover Assistant by providers. Additionally, if a bug were discovered in Clover Assistant that made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experience system slowdowns and interruptions from time to time. In addition, continued growth in our member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although we maintain insurance covering certain business interruptions, such coverage may not be sufficient to compensate us for the losses that could occur.</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artificial intelligence ("AI"), combined with an uncertain regulatory environment, may result in reputational harm, liability, or other adverse consequences to our business operations.</w:t>
      </w:r>
    </w:p>
    <w:p>
      <w:pPr>
        <w:spacing w:after="0" w:line="1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use machine learning and AI technologies as part of our Clover Assistant platform, and we are making investments in expanding our AI capabilities in our products, services, and tools, including ongoing deployment and improvement of existing machine learning and AI technologies, as well as developing new product features using AI technologies, including, for example, generative AI. AI technologies are complex and rapidly evolving, and we face significant competition from other companies as well as an evolving regulatory landscape under existing and proposed federal, state and international regulations. The introduction of AI technologies into new or existing products may result in new or enhanced governmental or regulatory scrutiny, litigation, confidentiality or security risks, ethical concerns, legal liability, or other complications that could adversely affect our business, reputation, or financial results.</w:t>
      </w:r>
    </w:p>
    <w:p>
      <w:pPr>
        <w:spacing w:after="0" w:line="1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member data with AI technologies, which may be costly and could impact our expenses if we use generative AI in our product offerings. AI technologies incorporated into our product offerings may use algorithms, datasets, or training methodologies that may be flawed or contain deficiencies that may be difficult to detect during testing. We have developed and implemented policies and procedures intended to promote and sustain responsible design, development, and use of AI, consistent with industry best practices. Failure to properly address any inadequacy or failure in compliance with our AI policies and procedures or] legal or ethical and social issues in the development and use of our AI technologies could slow adoption of AI in our product offerings or could cause our AI technologies to not operate as intended. AI technologies, including generative AI, may create content that appears correct but is factually inaccurate, flawed or biased. The Clover Assistant platform may rely on or use such content to our detriment, or it may lead to discriminatory or other adverse outcomes, which may expose us to brand or reputational harm, competitive harm, regulatory investigations, and/or legal liability. The use of AI technologies presents emerging ethical, legal and social issues, and if we enable or offer solutions that draw scrutiny or controversy due to their perceived or actual impact on customers or on society as a whole, we may experience brand or reputational harm, competitive harm, regulatory investigations, and/or legal liability.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and could fall below the expectations of investors and securities analysts due to a number of factors, many of which are beyond our control, resulting either in volatility or a decline in the price of the shares of our Class A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have in the past and could in the future vary significantly from quarter-to-quarter and year-to-year and may fail to match our past performance or the expectations of investors and securities analysts because of a variety of factors, many of which are outside of our control. As a result, we may not be able to accurately predict our operating results and growth rate. Any of these events could cause the market price of our common stock to fluctuate. Factors that may contribute to the variability of our operating results include:</w:t>
      </w:r>
    </w:p>
    <w:p>
      <w:pPr>
        <w:spacing w:after="0" w:line="12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enrollment periods and related sales and marketing expenses;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risk adjustments;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large hospital and healthcare systems in our provider network, including due to acquisitions or consolidations of such systems;</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revenues, including possible delays in the recognition of revenues;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size and composition of our clinical programs relative to the level of demand for services from our members;</w:t>
      </w:r>
    </w:p>
    <w:p>
      <w:pPr>
        <w:ind w:left="980" w:right="2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ind w:left="980" w:right="2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and/or delays in rolling out technology or platform updates;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interruptions in Clover Assistant;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provider adoption of Clover Assistant;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deploy Counterpart Assistant through our subsidiary Counterpart Health;</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 and any associated fines or penalties or damage to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provider and payment systems;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healthcare, telehealth, privacy, or data protection, AI, or enforcement by government regulators, including fines, orders, sanctions, or consent decrees;</w:t>
      </w: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audits, investigations, or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and our competitors' pricing policies;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results of operations to vary significantly. As such, we believe that quarter-to-quarter and year-to-year comparisons of our operating results may not be meaningful and should not be relied upon as an indication of our future performance.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Market, regulatory and political conditions, including global economic conditions, rates of inflation and political developments in the United States and abroad, may have adverse consequences on our business, financial condition and share price.</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may be affected by conditions and trends in the financial markets and general economic and political conditions, including the current presidential administration and Congress. The global economy, including credit and financial markets, has experienced extreme volatility and disruptions, higher cost of human capital, geopolitical uncertainty and instability, including inflation, fluctuations in interest rates, changes in tax and trade policies and uncertainty about economic stability. There is also uncertainty surrounding potential changes to the healthcare regulatory environment in the United States, and it is not possible to predict how these changes may be implemented, and the ultimate effects of such changes on our business. In addition, the U.S. federal government and other governments may reduce funding for health care or other programs or make changes that adversely affect the number of persons eligible for certain programs, the services provided to enrollees in such programs and premiums we can charge. The levels of U.S. federal government spending are difficult to predict and are subject to significant risk. Considerable uncertainty exists regarding how future budget and program decisions will unfold, including the spending priorities of the current presidential administration and Congress, and what challenges budget reductions, if any, will present for our business and our industry generally. For example, on January 20, 2025, President Trump established by executive order the U.S. DOGE Service Temporary Organization ("DOGE") to reform federal government processes and reduce expenditures, and on February 5, 2025, CMS announced that it is collaborating with DOGE to determine where there may be opportunities for more effective and efficient use of resources. While DOGE was officially disbanded as a governmental organization in 2025, many of its functions and personnel were absorbed into various federal agencies, and its principles and agenda to cut waste and modernize operations may continue in other forms. Pressures on and uncertainty surrounding the U.S. federal government’s budget, and potential changes in budgetary priorities and healthcare spending levels, could adversely affect the funding for Medicare and other healthcare programs upon which our business depends. Any of these factors could have a material adverse effect on our businesses, results of operations, and cash flows. In addition, the failure of the U.S. federal government to manage its fiscal matters or to raise or further suspend the debt ceiling, and changes in the amount of federal debt, may negatively impact the economic environment, curtail spending on health and health care related matters and adversely impact our results of operations. Any such volatility or disruption, or a general sustained economic downturn or other developments, may have adverse consequences on us or on our third party relationships (including relationships with vendors and health care providers).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even if the markets in which we compete achieve the forecasted growth, our business could fail to grow at similar rates, if at all.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they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members and providers and potential members and providers than competing MA plans. If these assumptions prove inaccurate, our business, financial condition, and results of operations could be adversely affected.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affiliated professional entities may be subject to professional liability claims and, if these claims are successful, substantial damage awards. With respect to Clover Care Services (Clover's in-home care offering), the direct provision of healthcare services by certain of our subsidiaries involves risks arising from medical malpractice claims relating to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pose certain risks to our business that may be different from risks associated with our domestic operations.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direct operations in Hong Kong and Canada, as well as contracted operations in various other countries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We may in the future expand our operations to other countries. A significant portion of our software research and development is performed internationally, by internal resources and a variety of offshore vendors in locations such as Hong Kong and elsewhere. While these arrangements may lower operating costs, they also subject us to the uncertain political climates, including political unrest and uncertainty in Hong Kong, such as Hong Kong national security law and other developments, and potential disruptions in international trade, including export control laws (such as deemed export restrictions applicable to software) and any amendments to those laws, as well as potentially increased data security and privacy risks and local economic and labor conditions.</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we are unable to leverage our full software development team, this may result in decreased ability to innovate and maintain Clover Assistant and carry out health plan data operations, which may in turn lead to adverse effects on our business, financial conditions and results of operations. Our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or political or economic instability in these countries or regions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and results of operations.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insurance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applicable U.S. and foreign laws and regulations, such as import and export requirements, anti-corruption laws, tax laws, foreign exchange controls, data privacy and data localization and data transfer restriction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brands, growth efforts, and business.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fluctuations or weakness of the U.S. dollar in relation to the currencies used in these foreign countries may also reduce the savings achievable through our strategy of contracting out certain services and could have an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successfully manage our international operations and the associated risks effectively could limit the future growth of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various jurisdictions and we are subject to significant expenses and risks related to compliance with state licensure requirements, which could impact our business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 regulators require us to maintain a valid license in each state in which we transact health insurance business, maintain minimum amounts of capital and surplus. They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to, among other things:</w:t>
      </w:r>
    </w:p>
    <w:p>
      <w:pPr>
        <w:spacing w:after="0" w:line="13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and revoke licenses to transact insurance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minimum capital and surplus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inquiries into the insurance-related activities and conduct of agents and agencies;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and regulate disclosure in connection with the sale and solicitation of health insurance;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how, by which personnel and under what circumstances insurance premiums can be quoted and published and insurance policies can be sold;</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which entities can be paid commissions from carriers and the circumstances under which they may be paid;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content of insurance-related advertisements, including web pages, and other marketing practices;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policy forms, require specific benefits and benefit levels, and regulate premium rates;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and other penalties;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continuing education requirements.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must ensure that our agents have received all licenses, appointments, and certifications required by state authorities in order to transact business.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These events could significantly increase our operating expenses, result in the loss of carrier relationships and our commission revenue, and otherwise harm our business, results of operations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brands, and our business, results of operations, and financial condition could be negatively impacted.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providers for computing infrastructure, network connectivity, and other technology-related services needed to deliver our technology platform and products. Any disruption in the services provided by such third-party providers could adversely affect our business and subject us to liability.</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provider users, and we may lose members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establish more favorable relationships with our competitors, or change or interpret their terms of service or policies in a manner that is unfavorable with respect to us, or if we are unable to renew any agreement on commercially reasonable terms, we may be required to transfer our servers and other infrastructure to a different service provider, and our business, results of operations, and financial condition could be harmed. This may result in significant additional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sites, networks, and 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Attacks on information technology systems, particularly in the healthcare system, are increasing in their frequency, levels of persistence, sophistication and intensity, they are being conducted by increasingly sophisticated and organized groups and individuals with a wide range of motives and expertise, and they may remain undetected for an extended period of time. For instance, as AI technologies, including generative AI models, develop rapidly, threat actors are using these technologies to create sophisticated new attack methods that are increasingly automated, targeted, coordinated and difficult to defend against.</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these breaches of security should occur, we cannot guarantee that recovery protocols and backup systems will be sufficient to prevent data loss, or the interruption, disruption, or malfunction of our operations, including with respect to telehealth services. As a result, we could incur costs relating to breach remediation, deployment of additional personnel and protection technologies, and response to governmental investigations and media inquiries and coverage; be required to engage third-party experts and consultants; and face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third-party service providers provide technology-related services and/or store or have access to our data and may not have effective controls, processes, or practices to protect our information from loss, unauthorized disclosure, unauthorized use or misappropriation, cyberattacks or other data security incidents. A vulnerability in such service providers’ software or systems, a failure in their safeguards, policies or procedures, or a cyber-attack or other data security incident affecting any of these third parties would result in harm to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2024, one of our vendors, UnitedHealth Group’s Change Healthcare, experienced a ransomware attack, which compromised certain of our members’ personal information (including protected health information). Although the Change Healthcare incident did not have a material impact on our business, financial condition or results of operation, there can be no assurance that a future compromise or breach of our security measures, or those of our third-party service providers will not have a material impact on us. Any such compromise could violate applicable privacy, data protection, data security, network and information systems security, and other laws, and cause significant legal and financial exposure, adverse publicity, and a loss of confidence in our security measures. These factors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Any such use of resources would divert resources from the growth and expansion of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lines, call centers and claim and billing service providers. We also rely on integrations with EHR providers and clinical software developers. We have entered into agreements with our PBM services suppliers to provide us and certain of our members with certain PBM services, such as claims processing, mail pharmacy services, specialty pharmacy services, retail network pharmacy network services, participating pharmacy audit services, reporting, and formulary services. Additionally, we have entered into an agreement with UST HealthProof pursuant to which UST HealthProof will perform certain of our plan operation functions in support of our members, including claims, enrollment, contact center, medical management, payment integrity, revenue integrity, print, fulfillment, and related configuration and certain IT functions. We also depend on our relationships with third parties as part of our Counterpart Health business. However, we may be unable to realize all of the expected benefits, including cost savings, in connection with this agreement within the expected time frame, and we may incur additional and/or unexpected costs to realize them. If the services become unavailable or are not adequately performed, our operations and business strategies could be significantly disrupted which could have a material adverse effect on our business, brands, reputation, and results of operations.</w:t>
      </w:r>
    </w:p>
    <w:p>
      <w:pPr>
        <w:spacing w:after="0" w:line="1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Additionally, if any such agreements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we could become overly dependent on such agreements, which could cause us to lose core competencies and we may not be able to meet the full demands of our members. Any of these events could have a material adverse effect on our business, brands, reputation, and results of operations. Furthermore, certain legislative authorities have in recent years discussed or proposed legislation that would restrict outsourcing of certain services.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Clover Assistant. This could decrease the usefulness of Clover Assistant and result in decreased adoption by providers and potentially higher medical costs for our members, increased or duplicative costs for us, and our inability to meet our obligations to our members; it could also require us to seek alternative service providers on less favorable contract terms, any of which can adversely affect our business, brands, reputation and results of operations.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Identifying partners, and negotiating and documenting relationships with them, requires significant time and resources. In addition, acquisitions of our partners by our competitors could result in a decrease in the number of our members and provider users, as our partners may no longer facilitate the enrollment of Medicare-eligible members into, or the effective and efficient operations of, our business or the adoption of Clover Assistant by providers. If we are unsuccessful in establishing or maintaining our relationships with third parties, our ability to compete in the marketplace or to grow our revenues could be impaired and our results of operations may suffer. Even if we are successful, there can be no assurance that these relationships will result in increased revenues or an increase in the number of members or provider users of Clover Assistant.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execute on our business strategies and growth plans, we must attract and retain highly qualified personnel in our US and international offices. The pool of qualified personnel with experience working in the healthcare market, and particularly MA, is limited. The incentives to attract, retain, and motivate employees provided by our stock options and other equity awards, or by other compensation arrangements, may not be effective. As such, we may not be successful in continuing to attract and retain qualified personnel. Our recruiting efforts may also be limited by laws and regulations, such as restrictive immigration laws, restrictions on travel or availability of visas and labor force instability. If we fail to attract new personnel or fail to retain and motivate our current personnel, our business and future growth prospects could be severely harmed.</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Moreover, we believe that a critical element of our ability to successfully attract, train and retain qualified personnel is our corporate culture, which we believe fosters innovation, collaboration and a focus on execution, all in an environment of high ethical standards. Our remote work policies may present challenges in maintaining these important aspects of our corporate culture, and a failure to maintain our corporate culture could negatively impact us. Further, we rely on our key personnel to lead with integrity and to meet our high ethical standards that promote excellent performance in a supportive environment. To the extent any of our key personnel were to behave in a way that is inconsistent with our values, including with respect to legal or regulatory compliance, financial reporting or people management, we could experience a materially adverse impact to our reputation and our operating results. If we fail to attract new personnel or fail to retain and motivate our current personnel, our business and future growth prospects could be severely harmed.</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the loss of one or more of these employees or an inability to attract and retain additional qualified key personnel could adversely affect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Chief Executive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to expand usage of our Clover Assistant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providers,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the business and results of operations of the combined company would be adversely affected.</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"Management's Discussion and Analysis of Financial Condition and Results of Operations" and Note 2 "Summary of Significant Accounting Policies" to the consolidated financial statements included in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This could cause our results of operations to fall below the expectations of securities analysts and investors, resulting in a decline in the trading price of our common stock.</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 subject to investigations and litigation, which could be costly and time-consuming to defend. The outcomes of these matters cannot be predicted.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As previously disclosed, we have received an inquiry from the U.S. Department of Justice ("DOJ"), and also may be, in the future, subject to regular and special governmental market conduct and other audits, investigations, inquiries and/or reviews by/from,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members or federally reimbursable healthcare products or services, fraudulent coding practices, billing for unnecessary medical and/or other covered services, improper marketing and violations of patient privacy rights. In recent years, the DOJ and the Department of Health and Human Services Office of Inspector General (the "OIG") have increased their scrutiny of healthcare payers and providers, and Medicare Advantage insurers, under the Federal False Claims Act ("FCA"), in particular.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Our plans could be selected for such audits, which could result in retrospective adjustments to payments made to our health plans, fines, corrective action plans, or other adverse action by CMS.</w:t>
      </w:r>
    </w:p>
    <w:p>
      <w:pPr>
        <w:spacing w:after="0" w:line="3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business practices to help ensure compliance with CMS risk adjustment requirements and applicable laws, which includes review of Clover Assistant features that may be relevant to patient risk assessments and the submission of risk adjustment data to CMS. We also monitor our physician payment practices to help ensure compliance with applicable laws, such as the Anti-Kickback Statute. While we believe that our risk adjustment data collection efforts and relationships with providers, including those related to Clover Assistant, comply with applicable laws, we and our Counterpart Health customers are and may be subject to audits, reviews and investigation of our practices and arrangements, and the federal government might conclude that they violate the FCA, the Anti-Kickback Statute and/or other federal and state laws governing fraud and abuse. See the risk factor entitled "—</w:t>
      </w:r>
      <w:r>
        <w:rPr>
          <w:rFonts w:ascii="Times New Roman" w:cs="Times New Roman" w:eastAsia="Times New Roman" w:hAnsi="Times New Roman"/>
          <w:sz w:val="18"/>
          <w:szCs w:val="18"/>
          <w:i w:val="1"/>
          <w:iCs w:val="1"/>
          <w:color w:val="auto"/>
        </w:rPr>
        <w:t>Our business activities are highly regulated, and new and proposed government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legislative reforms could increase our cost of doing business and reduce our number of members, profitability, and liquidity."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could adversely affect our results of operations and cash flows, thereby harming our business.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regulations and contractual requirements applicable to us and other market participants are complex and subject to change, making it necessary for us to invest significant resources to help ensure compliance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Regular and special governmental audits, investigations and reviews, including the DOJ inquiry, could result in changes to our business practices. They could also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funded in whole or in part by the U.S. federal government account for a significant portion of our revenues.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Programs funded in whole or in part by the U.S. federal government account for a significant portion of our Total revenues. As our government funded businesses grow, our exposure to changes in federal and state government policy with respect to and/or regulation of the various government funded programs in which we participate also increases. The laws and regulations governing participation in Medicare Advantage and Medicare Part D are complex, are subject to interpretation and can expose us to penalties for non-compliance. Federal, state and local governments have the right to cancel or not to renew their contracts with us on short notice without cause or if funds are not available. Funding for these programs is dependent on many factors outside our control, including general economic conditions, continuing government efforts to contain health care costs and budgetary constraints at the federal or applicable state or local level and general political issues and priorities. The U.S. federal government, generally, or as recommended by DOGE, and our other government customers also may reduce funding for health care or other programs, cancel or decline to renew contracts with us, or make changes that adversely affect the number of persons eligible for certain programs, the services provided to enrollees in such programs, our premiums and our administrative and health care and other benefit costs, any of which could have a material adverse effect on our business, results of operations and cash flows.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substantially all of our Total revenues from Medicare Advantage premiums and expect to continue to derive a substantial portion of our Total revenues in the future from Medicare Advantage premiums.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Reductions or less than expected increases in funding for Medicare programs could significantly reduce our revenues and profitability. If an unexpected reduction in payments, inadequate government funding, significantly delayed payments for Medicare programs or similar events were to occur, our business, results of operations, and financial condition could be materially and adversely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18"/>
          <w:szCs w:val="18"/>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a requirement that MA plans spend at least 85% of premium dollars on medical care, a requirement that CMS apply coding intensity adjustments to Medicare payments (which generated an across-the-board reduction to MA risk scores), and an expansion of Medicaid eligibility to additional categories of individuals. Since its enactment, there have been judicial and Congressional challenges to certain aspects of the ACA, as well as the act in its entirety, and there may be additional challenges and amendments to the ACA in the future. Proposed changes in laws, regulations, and guidelines governing health insurance may also be incompatible with various aspects of our business and require that we make significant modifications to our existing technology or practices. This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fee-splitting laws govern at least some of our business operations; violation of such laws could result in penalties and adversely affect our arrangements with contractors and our results of operations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professional corporations in which the shares are held by licensed physicians or other licensed medical professionals may provide medical care to patients. HMO's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corporate practice of medicine and fee-splitting between physicians and referral sources may be statutory or regulatory, or may be imposed through judicial or regulatory interpretation, and vary widely from state to state.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HMO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These events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satisfactory quality and performance measures may negatively affect our premium rates, subject us to penalties, limit or reduce our number of members, impede our ability to compete for new business in existing or new markets or result in the termination of our contracts, or affect our ability to establish new health plans or expand current health plans. Any of these events could have a material adverse effect on our business, rate of growth and results of operations, financial condition, and cash flows.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members.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 Star Ratings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In October 2025, CMS announced that the Star Rating of our PPO MA plans would be 3.5 Stars for 2026 rating year, and the Star Rating of our HMO MA plan would be increased to 4.0 Stars for 2026 rating year, each of which Star Rating will affect payment year 2027. Despite our operational efforts to improve our Star Ratings, there can be no assurances that we will be successful in maintaining or improving our Star Ratings in future years. For example,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if we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members, results of operations, financial condition and cash flows.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highly regulated, and new and proposed government regulation or legislative reforms could increase our cost of doing business and reduce our number of members, profitability, and liquidity.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healthcare industry is heavily regulated and closely scrutinized by federal, state and local governments. Comprehensive statutes and regulations govern the manner in which we are compensated for providing coverage for our members, our contractual relationships with our providers, vendors and members, our marketing activities and other aspects of our operations. The new presidential administration and Congress has proposed and may propose changes to statutes that could significantly impact the healthcare industry, which in turn could harm our business, operating results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of particular importance include:</w:t>
      </w:r>
    </w:p>
    <w:p>
      <w:pPr>
        <w:spacing w:after="0" w:line="171" w:lineRule="exact"/>
        <w:rPr>
          <w:sz w:val="20"/>
          <w:szCs w:val="20"/>
          <w:color w:val="auto"/>
        </w:rPr>
      </w:pPr>
    </w:p>
    <w:p>
      <w:pPr>
        <w:jc w:val="both"/>
        <w:ind w:left="980" w:hanging="324"/>
        <w:spacing w:after="0" w:line="253"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5"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simplification provisions of the HIPAA as amended by the Health Information Technology for Economic and Clinical Health Act of 2009 ("HITECH") which impose a number of obligations on issuers of health insurance coverage and health benefit plan sponsors with respect to the privacy and security of health information and data standards regulation;</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and the regulations in CMS' Final Rule on January 1, 2025,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insurance holding company laws and regulations pertaining to licensing and plan solvency requirements;</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of payment rules that prohibit certain types of billing and collection practices in connection with claims payable by the Medicare or Medicaid programs;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ind w:left="980" w:hanging="324"/>
        <w:spacing w:after="0" w:line="26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self-referral, and false claims issues, some of which may apply to items or services reimbursed by any third-party payer;</w:t>
      </w:r>
    </w:p>
    <w:p>
      <w:pPr>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such as us, from engaging in the corporate practice of medicine, controlling physicians' medical decisions or engaging in some practices such as splitting fees with physicians;</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the ACA that requires MA plans to spend at least 85% of premium dollars on medical care;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govern our relationships with pharmaceutical manufacturers, wholesalers, pharmacies, members, and consumers;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Big Beautiful Bill Act,” which impacts funding and eligibility to federal healthcare programs, particularly Medicaid;</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regulate debt collection practices;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the ways in which we communicate with members and market our services, including the Telephone Consumer Protection Act, the Controlling the Assault of Non-Solicited Pornography, and Marketing Act;</w:t>
      </w:r>
    </w:p>
    <w:p>
      <w:pPr>
        <w:jc w:val="both"/>
        <w:ind w:left="980" w:hanging="324"/>
        <w:spacing w:after="0" w:line="25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FCPA prohibits offering, promising, providing or authorizing others to give anything of value to a foreign government official to obtain or retain business or otherwise secure a business advantage;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operations of our therapeutics affiliate, the extensive, complex, and evolving laws and regulations applicable to the operations of our therapeutics affiliate, primarily those of the U.S. Food and Drug Administration (the "FDA");</w:t>
      </w:r>
    </w:p>
    <w:p>
      <w:pPr>
        <w:spacing w:after="0" w:line="1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scrutiny or challenge under one or more of such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Achieving and sustaining compliance with these laws may also prove costly. We are currently and expect to be in communication with the certain</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regulators 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Clover Assistant were to become subject to regulation by the FDA and we were unable to obtain the required approval or comply with these regulations, our business, results of operations, financial condition, and prospects may be materially and adversely affected.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the 21st Century Cures Act, includes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that the FDA has announced for its exercise of enforcement discretion to apply, there is a risk that the FDA could disagree with our determination or that the FDA could develop new guidance documents or revise current guidance documents that would subject our platform to active FDA oversight. If the FDA determines that any of our current or future analytics applications, including Clover Assistant,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results of operations, financial condition and prospects may be materially and adversely affected if we were to become subject to regulation by the FDA and were unable to obtain approval or comply with these regulations.</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strategies.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p>
    <w:p>
      <w:pPr>
        <w:spacing w:after="0" w:line="1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Numerous U.S. federal and state laws and regulations govern the collection, dissemination, use, privacy, confidentiality, security, availability and integrity of personally identifiable information ("PII"), including protected health information ("PHI"). These federal and state laws and regulations include, but are not limited to HIPAA, as amended by HITECH, which we refer to collectively as HIPAA, and the California Consumer Privacy Act of 2018, as amended by the California Privacy Rights Act, which took effect on January 1, 2023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may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HIPAA mandates that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Numerous other U.S. federal and state laws, such as the CCPA,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Among other things, the CCPA gives California residents expanded data privacy rights, allowing consumers to opt out of certain data sharing with third parties, provides a private cause of action for data breaches, imposes additional obligations such as data minimization and storage limitations; on covered businesses; and forms a dedicated privacy regulator in California, the California Privacy Protection Agency, to implement and enforce the law. The CCPA marked the beginning of a trend toward more stringent state data privacy legislation in the United States, which may result in significant costs to our business, damage our reputation, and require us to amend our business practices, and could adversely affect our business, especially to the extent the specific requirements vary from those and other existing laws. Similar laws are now in effect in more than fifteen other states and have been adopted or proposed in additional states and at the federal level.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health information standards, whether implemented pursuant to HIPAA, state or federal legislative action or otherwise, including state and federal AI laws, could have a significant effect on the manner in which we must handle healthcare related data, and the cost of complying with those standards could be significant. If we do not comply with existing or new laws and regulations related to PHI, we could be subject to criminal or civil sanctions.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extreme sensitivity of personal information, including PHI, that we store and transmit, the security features of our technology platform are very important. We also contract with third parties for important aspects of the storage and transmission of member information, and thus rely on those third parties to manage functions that have material cyber-security risks. We attempt to address these risks by requiring such vendors and subcontractors who handle member information to sign business associate agreements which contractually require those vendors subcontractors to adequately safeguard personal health data to the same extent that applies to us and in some cases by requiring such subcontractors to undergo third-party security examinations. However, we cannot ensure that these contractual measures and other safeguards will adequately protect us from the risks associated with the storage and transmission of such information by our subcontractors on our behalf.</w:t>
      </w:r>
    </w:p>
    <w:p>
      <w:pPr>
        <w:spacing w:after="0" w:line="1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If our security measures, some of which are managed by third parties, or those of the third parties with whom we contract, are breached or fail, unauthorized persons may be able to obtain access to sensitive provider and member data, including HIPAA-regulated PHI. As a result, our reputation could be severely damaged, adversely affecting the confidence of members, PCPs, and Counterpart Assistant customers. Members may curtail their use of or stop using our services, including the use of telehealth, our number of members could decrease, and Counterpart Assistant customers may terminate their relationship with us,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cyber-related liability. In any event, insurance coverage would not address the reputational damage that could result from a security incident.</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publish statements to our members that describe how we handle and protect personal information. Any failure or perceived failure by us to maintain posted privacy policies that are accurate, comprehensive and fully implemented, and any violation or perceived violation of our privacy-, data protection-, or information security obligations to providers, members, or other third parties could result in claims of deceptive practices brought against us. That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revenues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Federal Trade Commission and many state attorneys general continue to enforce federal and state consumer protection laws against companies for online data collection, use, dissemination, and security and privacy practices that appear to be unfair or deceptive. There are also a number of privacy-related legislative proposals in the United States, at both the federal and state level, that could impose additional obligations and liabilities. We cannot yet determine the impact that future laws, regulations, and standards may have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impair our ability to protect our internally-developed technology and our brands, and our business may be adversely affected.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is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the right to use certain of our intellectual property could negatively affect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patent applications in the United States may not be public for a period of time after they are filed.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that technology would infringe a third-party patent once that patent is issued.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There can be no assurance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solutions and branding from the products of our competitors, and we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cohesive brands throughout our key markets. There can also be no assurance that our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If our trademarks are successfully challenged, we could be forced to rebrand our platform, which would result in loss of brand recognition and would require us to devote resources to advertising and marketing new brands.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allegedly infringing practices. The development of alternative non-infringing technology or practices would require significant effort and expense. Similarly, if any litigation to which we may be a party fails to settle and we go to trial, we may be subject to an unfavorable judgment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agreed to indemnify our providers against certain claims, which may include claims that our platform and products infringe the intellectual property rights of such third parties. Our business could be adversely affected by any significant disputes between us and our providers as to the applicability or scope of our indemnification obligations to them.</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 Clover Assistant incorporates "open source" software, and we may incorporate open source software in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to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We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software licensed from third parties for internal tools we use to operate our business, and we may from time to time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could disrupt the deployment of our platform, products, or other internal tools and harm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and trading volume of our shares of Class A common stock has been, and may continue to be, volatile, and this volatility may negatively impact the trading price of our Class A common stock.</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price of our Class A common stock has fluctuated significantly in the past and may continue to be volatile, with the possibility for extreme price and volume fluctuations.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or declines in our trading price could make it more difficult to attract and retain talent, adversely impact employee retention and morale, and may require us to issue more equity to incentivize team members, which could dilute stockholders.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there are various factors, some of which are beyond our control, that could negatively affect the market price of our Class A common stock or result in fluctuations in the price or trading volume of our Class A common stock, including the following;</w:t>
      </w:r>
    </w:p>
    <w:p>
      <w:pPr>
        <w:spacing w:after="0" w:line="10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the economy as a whole;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guidance we may provide to the public or our failure to meet this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technological and platform updates or enhancements, or of acquisitions, strategic partnerships, joint ventures or capital-raising activities or commitments, by us or by our competitors;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Clover Assistant or our other technology;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or reports that securities analysts or others publish about us or our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Medicare;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or investigations by governmental authorities;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pandemics, influenza, and other highly communicable diseases;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against public companies following periods of market volatility. For example, following periods of volatility in the trading price of our Class A common stock, in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could adversely affect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satisfy NASDAQ's continued listing standards could result in a delisting of our Class A common stock, which could limit investors' ability to make transactions in our Class A common stock and subject us to additional trading restrictions.</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which imposes continued listing requirements with respect to listed securities, including a minimum bid price requirement. In the past, we have received written notice from the Nasdaq Stock Market LLC ("NASDAQ") notifying us that, for 30 consecutive business days, the bid price for our Class A common stock had closed below the $1.00 per share minimum bid price requirement for continued inclusion on the Nasdaq Global Select Market pursuant to Nasdaq Listing Rule 5450(a)(1) (the “Minimum Bid Price Requirement”). While we have subsequently regained compliance with such standards, there can be no assurance that we will be able to maintain compliance with the NASDAQ listing requirements, including the Minimum Bid Price Requirement in the future. If we fail to maintain compliance with the Minimum Bid Price Requirement or to meet the other applicable continued listing requirements in the future and NASDAQ determines to delist our Class A common stock, this would, among other things, substantially impair our ability to raise additional funds and could result in a loss of institutional investor interest and fewer development opportunities for us. Furthermore, a delisting would likely have a negative effect on the price of our Class A common stock and would impair the ability of stockholders to sell or purchase our Class A common stock when they wish to do so. In the event of a delisting, we would expect to take actions to restore our compliance with NASDAQ’s listing requirements, but we can provide no assurance that any such action taken by us would allow our Class A common stock to become listed again, lead to stability in the market price of our Class A common stock, improve the liquidity of our Class A common stock, prevent our Class A common stock from dropping below the NASDAQ minimum bid price requirement, or prevent future non-compliance with NASDAQ’s listing requirements. As a result of these factors, a delisting of our Class A common stock from NASDAQ would have an adverse impact on the trading, liquidity, and market price of our Class A common stock.</w:t>
      </w:r>
    </w:p>
    <w:p>
      <w:pPr>
        <w:spacing w:after="0" w:line="14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guidance involves risks, assumptions and uncertainties, and our actual results could differ materially from such guidance. Factors that could cause or contribute to such differences include, but are not limited to, those identified in these Risk Factors, some of which are not predictable or within our control. Other unknown or unpredictable factors also could adversely impact our performance. Except as required by law,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securities in the public markets, or the perception that they might occur, could cause the market price of our Class A common stock to decline.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Class A common stock to decline and may make it more difficult for our other stockholders to sell their shares of common stock at a time and price that they deem appropriate.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our directors and officers and their affiliated entities collectively owned approximately 23.9% of the total outstanding shares of Class A and Class B common stock.</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at December 31, 2025, we had options outstanding that, if fully exercised, would result in the issuance of 22,990,399 shares of Class B common stock, and we had restricted stock units ("RSUs") outstanding that would result in the issuance of 30,803,063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We have previously identified, disclosed and remediated a material weakness in our internal control over financial reporting, and additional weaknesses in our disclosure controls and internal control over financial reporting may be discovered in the future.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This would likely have a negative effect on the trading price of our Class A common stock.</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maintain and improve our disclosure controls and procedures and internal control over financial reporting, we have expended, and anticipate that we will continue to expend, significant resources, including accounting-related costs and investments to strengthen and maintain our accounting systems and significant management oversight. If any of these new or improved controls and systems do not perform as expected, we may experience additional material weaknesses in our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12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Company may enter into share repurchase programs from time to time, which are intended to enhance long-term shareholder value, we cannot provide assurance that this will occur, and any such program may be suspended or terminated at any time.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2024, the Board of Directors of the Company authorized the repurchase of up to $20.0 million in shares of the Company’s outstanding Class A common stock over a two-year period. Our share repurchase program may be modified, suspended or discontinued at any time without prior notice. In the first quarter of 2025, the Company exhausted its all availability under such repurchase program, and the Company may in the future enter into a new repurchase program. The specific timing and amount of any share repurchases under a share repurchase program will depend on prevailing share prices, general economic and market conditions, Company performance and other considerations. Although any share repurchase program is intended to enhance long-term shareholder value, we cannot provide assurance that this will occur. A share repurchase program does not obligate the Company to acquire any particular amount of common stock and any such repurchase program may be suspended or discontinued at any time at the Company’s discretion.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certain stockholders, including our directors and executive officers and their respective affiliates, who held in the aggregate 71.2% of the voting power of our capital stock at December 31, 2025.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At December 31, 2025, our directors, executive officers, and their affiliates held in the aggregate 71.2%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67,520,048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negatively impact the trading price of our Class A common stock.</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At December 31, 2025, we had approximately $1,577.7 million of federal NOL carryforwards. The federal NOL carryforwards created subsequent to the year ended December 31, 2017, of $1,328.5 million can be carried forward indefinitely with the exception of net operating losses for the insurance companies, while the remaining federal NOL carryforwards of $249.2 million begin to expire in 2035. Our ability to utilize NOLs may be subject to limitations due to prior ownership shifts,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our ability to obtain funds from our regulated subsidiaries could materially and adversely affect our results of operations, financial condition and cash flows.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condition, and cash flows could be materially and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and other applicable securities rules and regulations. The requirements of these rules and regulations have increased, and will continue to increase our legal, accounting, and financial compliance costs, made some activities more difficult, time-consuming, and costly, and placed significant strain on our personnel, systems, and resources. For example, the Exchange Act requires, among other things, that we file annual, quarterly, and current reports with respect to our business and results of operations.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taxing authorities of the jurisdictions in which we operate may challenge our methodologies for valuing developed technology or intercompany arrangements, which could increase our effective tax rate and harm our financial condition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results of operations in the period or periods for which such determination is made.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continue to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applicable state insurance laws and regulations, no person may acquire control of a domestic insurer until written approval, or exemption therefrom, is obtained from the state insurance commissioner for the proposed acquisition. Such approval would be contingent upon the state insurance commissioner's consideration of a number of factors including, among others, the financial strength of the proposed acquire, the acquirer's plans for the future operations of the domestic insurer and any anti-competitive results that may arise from the consummation of the acquisition of control.</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The trading price of our Class A common stock may decline as a result.</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12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so that not all members of our Board are elected at one time;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determine the number of directors and to fill any vacancies and newly created directorships;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amended and restated certificate of incorporation and amended and restated bylaws;</w:t>
      </w: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could use to implement a "poison pill" to deter a takeover of our company;</w:t>
      </w:r>
    </w:p>
    <w:p>
      <w:pPr>
        <w:jc w:val="both"/>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 class common stock structure in which holders of our Class B common stock, which has 10 votes per share, have the ability to control the outcome of matters requiring stockholder approval, even if they own significantly less than a majority of the outstanding shares of our combined Class B and Class A common stock, including the election of directors and significant corporate transactions, such as a merger or other sale of our company or its assets;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by written consent, thereby requiring that all stockholder actions be taken at a meeting of our stockholders.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Strategy, and Governance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(the “Board”) oversees the Company’s enterprise risk management program, including risks related to cybersecurity. The Board has delegated primary oversight of cybersecurity risk management to its Audit Committee. The Audit Committee regularly reviews the adequacy and effectiveness of the Company’s cybersecurity program, including policies, internal controls, and risk management processes related to information security and data protection.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and the full Board receive periodic reports from management, including the Company’s Chief Information Security Officer (the “CISO”), regarding the Company’s cybersecurity posture, risk assessment activities, emerging threat landscape, and mitigation efforts. These reports address, among other topics, artificial intelligence–related security considerations, security awareness and training, internal and third-party risk management, incident response and disaster recovery readiness, identity and access management, HIPAA Security Rule compliance, phishing and social engineering risks, security monitoring, vulnerability and application security management, governance and policy maturity, data protection, and cloud security.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Role in Cybersecurity Risk Management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CISO is responsible for the design, implementation, and ongoing management of the Company’s cybersecurity program, including security policies, standards, incident response, and remediation activities, in accordance with applicable legal and regulatory requirements. The cybersecurity program is designed to identify, assess, manage, and mitigate risks to the confidentiality, integrity, and availability of the Company’s information systems and sensitive data.</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cybersecurity organization is supported by personnel with experience across healthcare, technology, and regulated industries and is informed by internal monitoring, independent assessments, audits, threat intelligence, and security tooling. Cybersecurity risks and incidents are identified through a combination of automated monitoring systems, risk assessments, internal reporting mechanisms, and external intelligence sources.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implemented an automated, AI-assisted compliance and evidence management capability designed to support continuous monitoring, control validation, and documentation in connection with internal controls, regulatory compliance, and audit readiness. These capabilities are intended to enhance efficiency and visibility into control performance; however, they are subject to inherent limitations and operate under ongoing human oversight.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Intelligence–Related Security Considerations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increasingly utilizes artificial intelligence–enabled technologies within its operations and also evaluates risks associated with the use of AI by third-party vendors and service providers. AI-related security and governance risks are considered as part of the Company’s broader cybersecurity and enterprise risk management processes.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considerations include, among other factors, risks related to data integrity, model governance, access controls, third-party dependencies, and the potential misuse of AI-enabled systems. The Company’s approach to identifying and managing AI-related security risks is informed by recognized industry frameworks, including the NIST Artificial Intelligence Risk Management Framework, as appropriate to the Company’s use of AI-enabled technologies. The Company’s use of automated and AI-assisted tools within its cybersecurity and compliance functions is intended to enhance monitoring, risk identification, and control validation; however, such technologies are subject to inherent limitations and require ongoing human oversight. The Company continues to evaluate its AI-related risk management practices as technologies, threat vectors, and regulatory expectations evolve.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Escalation and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risks and incidents are evaluated through a formal risk management process and escalated as appropriate based on severity, potential impact, and materiality considerations. Depending on the circumstances, cybersecurity matters may be elevated from the CISO to senior management, the Audit Committee, and the Board through established reporting channels, including risk assessments, incident reports, and quarterly updates.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Waste, and Abuse Monitoring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began implementing a cybersecurity monitoring program, operated by the Company’s cybersecurity organization, in coordination with the Company’s other fraud, waste, and abuse and compliance functions. As implementation progresses, the program is intended to evaluate provider, member, and vendor activity for indicators of potential credential exposure or misuse. The program is designed to strengthen detection capabilities, reduce financial and compliance risk, and support the integrity of Company systems and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Subsidiary-Specific Oversight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dedicated cybersecurity resources for Counterpart Health, a subsidiary of Clover Health, to ensure that cybersecurity risk management practices are aligned with enterprise standards while addressing subsidiary-specific operational and clinical considerations.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8"/>
          <w:szCs w:val="18"/>
          <w:color w:val="000000"/>
        </w:rPr>
        <w:t>results</w:t>
      </w:r>
      <w:r>
        <w:rPr>
          <w:rFonts w:ascii="Times New Roman" w:cs="Times New Roman" w:eastAsia="Times New Roman" w:hAnsi="Times New Roman"/>
          <w:sz w:val="18"/>
          <w:szCs w:val="18"/>
          <w:color w:val="231F20"/>
        </w:rPr>
        <w:t xml:space="preserve"> of operation.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13 "Commitments and Contingencies" to the consolidated financial statements included in Part II, Item 8 of this Form 10-K,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NASDAQ under the ticker symbol "CLOV." Our Class B common stock is not listed on any securities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February 20, 2026, there were 346 holders of record of our Class A common stock and 309 holders of record of our Class B common stock. Such figures do not include beneficial owners holding our securities through nominee names.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dividends on shares of common stock and do not intend to pay dividends in the foreseeable future. The declaration, amount, and payment of any future dividend will be at the sole discretion of our Board, and the Board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to our stockholders, and such other factors as the Board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6, 2024, our Board authorized the repurchase of up to $20.0 million in shares of our Class A common stock over a two year period. The timing, manner, price and amount of any repurchases are determined by the discretion of management, depending on market conditions and other factors. Repurchases were made through a combination of open market purchases and accelerated share repurchases. As of December 31, 2025, there was zero dollars available under the program for share repurchases.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zero shares during the three months ended December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122555</wp:posOffset>
            </wp:positionV>
            <wp:extent cx="3703320" cy="3437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03320" cy="3437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consolidated financial statements and notes thereto for the year ended December 31, 2025, contained in this Annual Report on Form 10-K (the "Form 10-K"). The following discussion and analysis does not include certain items related to the year ended December 31, 2024, including year-to-year comparisons between the year ended December 31, 2024 and the year ended December 31, 2023. For a discussion of these items and comparison of our results of operations for the fiscal years ended December 31, 2024 and December 31, 2023, see Item 7. Management's Discussion and Analysis of Financial Condition and Results of Operations of our Annual Report on Form 10-K for the year ended December 31, 2024, filed with the SEC on March 3, 2025. This discussion contains forward-looking statements and involves numerous risks and uncertainties, including, but not limited to, those described in the "Risk Factors" section of this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December 31, 2025, we operated our MA plans in five states and 200 counties, with 113,803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Annual Election Period Results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2026, the Company announced a 53% year-over-year growth of its MA membership during the most recent Annual Election Period. The Company entered 2026 with over 153,000 members, over 97% of whom are enrolled in the Company's flagship PPO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Presence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2026, our MA plans will be available in a total of 203 counties and five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Star Ratings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9, 2025, the Company announced that CMS has decreased the Star rating of its PPO Medicare Advantage plans to 3.5 Stars for Star rating year 2026, which will affect payment year 2027. Additionally, CMS increased the rating of Clover’s HMO MA plan to 4.0 Stars. Currently over 97% of our insurance members are members of our PPO Medicare Advantage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grouping is consistent with the information used by our Chief Executive Officer (identified as our chief operating decision maker) ("CODM") to assess performance and allocate the Company's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key financial measures for the periods indicated:</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5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5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19"/>
                <w:szCs w:val="19"/>
                <w:color w:val="auto"/>
              </w:rPr>
            </w:pPr>
          </w:p>
        </w:tc>
      </w:tr>
      <w:tr>
        <w:trPr>
          <w:trHeight w:val="263"/>
        </w:trPr>
        <w:tc>
          <w:tcPr>
            <w:tcW w:w="5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PMPM </w:t>
            </w:r>
            <w:r>
              <w:rPr>
                <w:rFonts w:ascii="Times New Roman" w:cs="Times New Roman" w:eastAsia="Times New Roman" w:hAnsi="Times New Roman"/>
                <w:sz w:val="23"/>
                <w:szCs w:val="23"/>
                <w:b w:val="1"/>
                <w:b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6"/>
              </w:rPr>
              <w:t xml:space="preserve">PMPM </w:t>
            </w:r>
            <w:r>
              <w:rPr>
                <w:rFonts w:ascii="Times New Roman" w:cs="Times New Roman" w:eastAsia="Times New Roman" w:hAnsi="Times New Roman"/>
                <w:sz w:val="23"/>
                <w:szCs w:val="23"/>
                <w:b w:val="1"/>
                <w:bCs w:val="1"/>
                <w:color w:val="auto"/>
                <w:w w:val="96"/>
                <w:vertAlign w:val="superscript"/>
              </w:rPr>
              <w:t>(1)</w:t>
            </w:r>
          </w:p>
        </w:tc>
      </w:tr>
      <w:tr>
        <w:trPr>
          <w:trHeight w:val="190"/>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8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PMPM amounts)</w:t>
            </w:r>
          </w:p>
        </w:tc>
        <w:tc>
          <w:tcPr>
            <w:tcW w:w="1020" w:type="dxa"/>
            <w:vAlign w:val="bottom"/>
          </w:tcPr>
          <w:p>
            <w:pPr>
              <w:spacing w:after="0"/>
              <w:rPr>
                <w:sz w:val="16"/>
                <w:szCs w:val="16"/>
                <w:color w:val="auto"/>
              </w:rPr>
            </w:pPr>
          </w:p>
        </w:tc>
      </w:tr>
      <w:tr>
        <w:trPr>
          <w:trHeight w:val="23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1,924,308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1,371,131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1,568,406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1,006,327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9"/>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355,902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364,804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SG&amp;A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334,207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294,713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21,695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70,091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19,989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68,243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Segment: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members at period end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113,803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82,664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earned,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1,891,732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1,344,881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 Net medical claims incurred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1,618,219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1,010,289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Benefits expense ratio</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20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Normalized Insurance benefits expense ratio</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 w:lineRule="exact"/>
        <w:rPr>
          <w:sz w:val="20"/>
          <w:szCs w:val="20"/>
          <w:color w:val="auto"/>
        </w:rPr>
      </w:pPr>
    </w:p>
    <w:p>
      <w:pPr>
        <w:ind w:left="20" w:right="20" w:firstLine="6"/>
        <w:spacing w:after="0" w:line="242" w:lineRule="auto"/>
        <w:tabs>
          <w:tab w:leader="none" w:pos="152"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revenues represents the sum of Premiums earned, net and Other income for a given period. Premiums earned, net reflects the earned portion of premiums under our Medicare Advantage contracts with CMS, net of premiums ceded to reinsurers and inclusive of risk adjustment revenue. Other income primarily consists of investment income and other ancillary revenues. We believe Total revenues is a useful measure of the overall scale and growth of our business, as it captures the aggregate economic inflows generated from our Insurance operations and related activities. Management uses Total revenues to evaluate period-over-period growth, assess the impact of membership levels and risk adjustment performance, analyze revenue trends relative to medical cost and operating expense trends, and support strategic planning and capital allocation decisions.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Membership and associated premiums earned and medical claim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net medical claims incurred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non-GAAP measures in this Form 10-K, including Consolidated Gross profit, Adjusted SG&amp;A, Adjusted EBITDA, and Adjusted Net income from continuing operations, and Insurance Benefits expense ratio ("BER") and Normalized Insurance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consolidated financial statements prepared in accordance with GAAP.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these non-GAAP financial measures, including the reasons management uses such measures, and the reconciliations of these non-GAAP financial measures to the comparable GAAP measures, please see "Consolidated Gross profit", "Adjusted SG&amp;A", "Adjusted EBITDA", Adjusted Net income from continuing operations, and "Benefits expense ratio &amp; Normalized benefits expense ratio"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Gross profit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represents net loss from continuing operations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is much more informative of operational results. Accordingly, we believe that Consolidated Gross profit provides investors and others useful information to understand and evaluate our operating results in the same manner as our management and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4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232,454</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investment</w:t>
            </w: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 (Non-GAAP)</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Adjusted SG&amp;A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SG&amp;A, a GAAP financial measure, to Adjusted SG&amp;A, a non-GAAP measure: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225,475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232,454</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214,270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176,480</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(GAAP)</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439,745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408,934</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(114,331)</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SG&amp;A (non-GAAP)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334,207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294,713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1,924,308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1,371,131</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SG&amp;A (non-GAAP) as a percentage of Total revenues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loss from continuing operations before depreciation and amortization, loss on investment, interest expense, change in fair value of warrants, stock-based compensation, premium deficiency reserve expense, restructuring (recoveries)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Net loss from continuing operations, a GAAP financial measure, to Adjusted EBITDA, a non-GAAP financial measure: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4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0" w:type="dxa"/>
            <w:vAlign w:val="bottom"/>
          </w:tcPr>
          <w:p>
            <w:pPr>
              <w:spacing w:after="0"/>
              <w:rPr>
                <w:sz w:val="1"/>
                <w:szCs w:val="1"/>
                <w:color w:val="auto"/>
              </w:rPr>
            </w:pPr>
          </w:p>
        </w:tc>
      </w:tr>
      <w:tr>
        <w:trPr>
          <w:trHeight w:val="23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investment</w:t>
            </w:r>
          </w:p>
        </w:tc>
        <w:tc>
          <w:tcPr>
            <w:tcW w:w="4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4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4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(non-GAAP)</w:t>
            </w:r>
          </w:p>
        </w:tc>
        <w:tc>
          <w:tcPr>
            <w:tcW w:w="4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5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Adjusted Net income from continuing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from continuing operations is a non-GAAP financial measure defined by us as net loss from continuing operations before stock-based compensation, premium deficiency reserve benefit, restructuring costs, non-recurring legal expenses and settlement, and impairment of goodwill and other intangible assets. Adjusted Net income from continuing operations is a key measure used by our management team and the board of directors to understand and evaluate our operating performance and trends. We believe that Adjusted Net income from continuing operations is helpful to investors in assessing the Company’s financial performance in the same manner as our management and our board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8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(GAAP)</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114,331</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Non-recurring legal expenses and settlements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from continuing operations (non-GAAP)</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68,243</w:t>
            </w:r>
          </w:p>
        </w:tc>
      </w:tr>
      <w:tr>
        <w:trPr>
          <w:trHeight w:val="21"/>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Benefits expense ratio &amp; Normalized Insurance Benefits expense ratio</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Insurance Benefits expense ratio ("BER") and Normalized Insurance Benefits expense ratio are non-GAAP financial measures. We calculate our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Furthermore, Normalized Insurance BER adjusts out activity related to prior period development. Prior period development refers to changes in the Company’s Insurance Revenue and Insurance Medical claims levels from previous periods. Management believes that Normalized Insurance BER presents a clearer representation of performance during the current period being presented.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provide reconciliations of Insurance Net medical claims incurred, net and Premiums earned, net which are GAAP measures, to Insurance BER and Normalized Insurance BER, which represent non-GAAP measures.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medical claims incurred, net (GAAP)</w:t>
            </w:r>
          </w:p>
        </w:tc>
        <w:tc>
          <w:tcPr>
            <w:tcW w:w="3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1,618,219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1,010,289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Quality improvements</w:t>
            </w:r>
          </w:p>
        </w:tc>
        <w:tc>
          <w:tcPr>
            <w:tcW w:w="3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100,572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81,144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Benefits expense (non-GAAP)</w:t>
            </w:r>
          </w:p>
        </w:tc>
        <w:tc>
          <w:tcPr>
            <w:tcW w:w="34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1,718,791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1,091,433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(GAAP)</w:t>
            </w:r>
          </w:p>
        </w:tc>
        <w:tc>
          <w:tcPr>
            <w:tcW w:w="3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1,891,732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1,344,881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Benefits expense ratio (non-GAAP)</w:t>
            </w:r>
          </w:p>
        </w:tc>
        <w:tc>
          <w:tcPr>
            <w:tcW w:w="3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period development</w:t>
            </w:r>
          </w:p>
        </w:tc>
        <w:tc>
          <w:tcPr>
            <w:tcW w:w="34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Normalized Insurance Benefits expense ratio (non-GAAP)</w:t>
            </w:r>
          </w:p>
        </w:tc>
        <w:tc>
          <w:tcPr>
            <w:tcW w:w="3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480" w:type="dxa"/>
            <w:vAlign w:val="bottom"/>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9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2025 and 2024. The period-to-period comparison of results is not necessarily indicative of results for future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17"/>
                <w:szCs w:val="17"/>
                <w:color w:val="auto"/>
              </w:rPr>
            </w:pPr>
          </w:p>
        </w:tc>
        <w:tc>
          <w:tcPr>
            <w:tcW w:w="24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 between</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5"/>
            <w:vMerge w:val="continue"/>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 and 2024</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earned, net (Net of ceded premiums of $375 and $399 for the years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ended December 31, 2025 and 2024,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1,891,732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1,344,881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546,851</w:t>
            </w:r>
          </w:p>
        </w:tc>
        <w:tc>
          <w:tcPr>
            <w:tcW w:w="80" w:type="dxa"/>
            <w:vAlign w:val="bottom"/>
          </w:tcPr>
          <w:p>
            <w:pPr>
              <w:spacing w:after="0"/>
              <w:rPr>
                <w:sz w:val="21"/>
                <w:szCs w:val="21"/>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8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1,371,131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553,177</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562,079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7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tcPr>
          <w:p>
            <w:pPr>
              <w:spacing w:after="0"/>
              <w:rPr>
                <w:sz w:val="23"/>
                <w:szCs w:val="23"/>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2,009,837</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1,416,880</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592,957</w:t>
            </w:r>
          </w:p>
        </w:tc>
        <w:tc>
          <w:tcPr>
            <w:tcW w:w="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84.9 %</w:t>
            </w: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(Note 16 )</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9"/>
                <w:szCs w:val="19"/>
                <w:color w:val="auto"/>
              </w:rPr>
            </w:pPr>
          </w:p>
        </w:tc>
        <w:tc>
          <w:tcPr>
            <w:tcW w:w="14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-779145</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-1105535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-1105535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-3196590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1" w:lineRule="exact"/>
        <w:rPr>
          <w:sz w:val="20"/>
          <w:szCs w:val="20"/>
          <w:color w:val="auto"/>
        </w:rPr>
      </w:pPr>
    </w:p>
    <w:p>
      <w:pPr>
        <w:ind w:left="180" w:hanging="172"/>
        <w:spacing w:after="0" w:line="280" w:lineRule="auto"/>
        <w:tabs>
          <w:tab w:leader="none" w:pos="26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earned,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Premiums earned, net increased $546.9 million, or 41%, to $1,891.7 million for the year ended December 31, 2025, compared to the year ended December 31, 2024. The increase was primarily due to an increase in our average members over the period, which increased approximately 33%. The remaining increase was due to an increase in our risk adjustment revenue as a result of the Company's high member retention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increased $6.3 million, or 24%, to $32.6 million for the year ended December 31, 2025, compared to the year ended December 31, 2024. The increase was primarily attributable to an increase in fair value of our equity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medical claims incurred increased $562.1 million, or 56%, to $1,568.4 million for the year ended December 31, 2025, compared to the year ended December 31, 2024. The increase was primarily driven by growth in our average members during the period, which increased approximately 33% and an increase in our Part D cost sharing due to changes arising from the Inflation Reduction Act. Additionally, prior year amounts were impacted by more favorable prior period developments as compared to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decreased $7.0 million, or 3%, to $225.5 million for the year ended December 31, 2025, compared to the year ended December 31, 2024. This decrease was primarily attributable to lower variable incentive compensation and stock-based compensation, partially offset by higher base salaries driven by headcount growth.</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$37.8 million, or 21%, to $214.3 million for the year ended December 31, 2025, compared to the year ended December 31, 2024. The increase was primarily driven by higher professional fees and higher broker fees, both being driven by membership growth during the most recent annual enrollment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primarily from the proceeds we received through premiums earned under our MA plans. We expect that our cash, cash equivalents, restricted cash,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Entities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equivalents and investment securities consist primarily of money market funds, U.S. government debt securities, and corporate debt securities. At December 31, 2025 and 2024, total restricted and unrestricted cash, cash equivalents, and investments were $319.9 million and $437.6 million, respectively. These totals consist of $224.6 million and $243.1 million at December 31, 2025 and December 31, 2024, respectively, that specifically relate to available-for-sale and held-to-maturity investment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Unregulated Entities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2025 and December 31, 2024, total restricted and unrestricted cash, cash equivalents, and investments for the parent company, Clover Health Investments, Corp., and unregulated subsidiaries were $122.0 million and $151.5 million, respectively, with the increase at December 31, 2024 primarily reflecting cash provided by operating activities.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were $107.2 million and $146.8 million at December 31, 2025 and December 31, 2024, respectively. Our unregulated subsidiaries held $14.8 million and $4.8 million of cash, cash equivalents, restricted cash, and investments at December 31, 2025 and December 31, 2024,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Regulated Entities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and December 31, 2024 total cash, cash equivalents, restricted cash, and investments for our regulated subsidiaries were $197.9 million and $286.1 million, respectively. Additionally, our regulated insurance subsidiaries held $178.1 million and $243.1 million of available-for-sale and held-to-maturity investment securities at December 31, 2025 and December 31, 2024,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3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our regulatory requirements, including aggregate statutory capital and surplus as well as dividends paid from the subsidiaries to the parent, please refer to Notes 20 "Dividend Restrictions", 21 "Statutory Equity and Income", and 22 "Regulatory Matters" to the consolidated financial statements included in this Form 10-K, as well as in Part 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years ended December 31, 2025 and 2024.</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Data:</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 from continuing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 from Continuing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was $66.9 million, which reflects a Net loss from continuing operations of $85.5 million. Non-cash activities primarily included a $103.7 million charge to Stock-based compensation expense.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Net cash provided by operating activities was $82.5 million, which reflects a Net loss from continuing operations of $46.3 million. Non-cash activities primarily included a $114.3 million charge to Stock-based compensation expense, and a $0.5 million Loss on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2025 of $4.1 million was primarily due to $211.2 million provided from the sale and maturity of investment securities. This was offset by $205.1 million used to purchase investments.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of $0.6 million was primarily due to $203.4 million provided from the sale and maturity of investment securities. This was offset by $201.2 million used to purchase investments.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investing activities, please refer to Note 3 "Investment Securities" to our consolidated financial statements included 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of $53.4 million was primarily the result of cash paid for shares withheld related to stock-based compensation totaling $36.9 million and class A common share repurchases totaling $18.3 million.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of $17.4 million was primarily the result of was primarily the result of cash paid for shares withheld related to stock-based compensation totaling $16.5 million and class A common share repurchases totaling $1.8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financing arrangements at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Material cash requirements from known contractual obligations and commitments at December 31, 2025 include operating lease obligations of $2.7 million. These commitments are associated with contracts that were enforceable and legally binding at December 31, 2025,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December 31, 2025. For additional information regarding our remaining estimated contractual obligations and commitments, see Note 13 "Commitments and Contingencies" in the accompanying notes to the consolidated financial statements included in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revenues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form the basis for making judgments about the carrying value of assets and liabilities that are not readily apparent from other sources. Actual results could differ from those estimates under different assumptions or conditions, which could impact our reported results of operations and financial condition.</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to the consolidated financial statements included in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Medical Claims Incurred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net medical claims incurred is recognized in the period in which services are provided and includes paid claims and an estimate of the cost of services that have been incurred but not yet reported ("IBNR") and certain other unpaid claims and adjustments. IBNR represents a substantial portion of our unpaid claims, as reflected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0"/>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60" w:type="dxa"/>
            <w:vAlign w:val="bottom"/>
            <w:gridSpan w:val="4"/>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6"/>
                <w:szCs w:val="16"/>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115,071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131,230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unpaid claims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34,166</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19,862</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adjustment expense</w:t>
            </w:r>
          </w:p>
        </w:tc>
        <w:tc>
          <w:tcPr>
            <w:tcW w:w="10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4,013</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5,304</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unpaid claims and claims adjustment expense</w:t>
            </w:r>
          </w:p>
        </w:tc>
        <w:tc>
          <w:tcPr>
            <w:tcW w:w="1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153,250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156,396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8"/>
        </w:trPr>
        <w:tc>
          <w:tcPr>
            <w:tcW w:w="4620" w:type="dxa"/>
            <w:vAlign w:val="bottom"/>
          </w:tcPr>
          <w:p>
            <w:pPr>
              <w:spacing w:after="0"/>
              <w:rPr>
                <w:sz w:val="24"/>
                <w:szCs w:val="24"/>
                <w:color w:val="auto"/>
              </w:rPr>
            </w:pP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or increased incidence of illness such as influenza, the incidence of high-dollar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there could be variances between actual completion factors and those assumed in our December 31, 2025 and 2024 unpaid claim estimates, which may impact results of operations in the period such differences are recognized.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Actuarial standards require the use of assumptions based on moderately adverse experience, and as such, a provision for adverse deviation is recognized on current reserves and released on prior reserves. For further discussion of our reserving methodology, including our use of completion factors to estimate IBNR, refer to Note 2 "Summary of Significant Accounting Policies" in the consolidated financial statements included in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accompanying notes to the consolidated financial statements included in this Form 10-K for a discussion of accounting pronouncements recently adopted and recently issued accounting pronouncements not yet adopted and their potential impact to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exposed to credit risk on our investment portfolio. We manage the exposure to credit risk in our portfolio by investing in high quality securities and diversifying our holdings.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December 31, 2025, none of our fixed maturity securities portfolio was unrated or rated below investment grade.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economy has experienced elevated levels of inflation in recent years, and while inflation has moderated from prior peaks, it remains above historical norms and the Federal Reserve’s long-term target. Ongoing inflationary pressures and changes in interest rates could adversely affect our operating results if increases in medical costs, prescription drug prices, provider reimbursement rates, employee compensation, or other operating expenses are not fully offset by corresponding increases in Medicare Advantage benchmark rates or other forms of reimbursement.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Medicare Advantage insurer, we are required to submit bids to CMS based on projected medical and administrative costs for future contract periods, which limits our ability to adjust pricing in the near term in response to unanticipated inflationary trends. In addition, inflationary conditions and interest rate volatility may affect the fair value and returns of our investment portfolio, which consists primarily of fixed-income securities, and could contribute to volatility in accumulated other comprehensive income or impact statutory capital levels of our regulated insurance subsidiaries. Prolonged inflationary conditions could place pressure on margins, liquidity, or capital if cost trends or market conditions evolve unfavorably relative to reimbursement adjustments.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Clover Health Investments, Corp.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Clover Health Investments, Corp. (the Company) as of December 31, 2025 and 2024, the related consolidated statements of operations and comprehensive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stockholders' equity and cash flows for each of the three years in the period ended December 31, 2025, and the related notes and financial statement schedules listed in the Index at Item 15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5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7"/>
          <w:szCs w:val="17"/>
          <w:b w:val="1"/>
          <w:bCs w:val="1"/>
          <w:i w:val="1"/>
          <w:iCs w:val="1"/>
          <w:color w:val="auto"/>
        </w:rPr>
        <w:t>Valuation of incurred but not reported reserves</w:t>
      </w:r>
    </w:p>
    <w:p>
      <w:pPr>
        <w:sectPr>
          <w:pgSz w:w="11900" w:h="16838" w:orient="portrait"/>
          <w:cols w:equalWidth="0" w:num="1">
            <w:col w:w="11220"/>
          </w:cols>
          <w:pgMar w:left="320" w:top="927"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Company’s unpaid claims was $153.3 million, a significant portion is incurred but not reported reserves. As discussed in Notes 2 and 9 to the consolidated financial statements, the Company’s incurred but not reported ("IBNR") liability is determined by using actuarial methods that include a number of factors and assumptions, including completion factors, which seek to measure the cumulative percentage of claims expense that have been paid as of the reporting date based on historical claim payment patterns, and assumed medical cost trend factors, which represent an estimate of claims expense based on recent claims expense levels and medical cost levels. There is significant uncertainty inherent in determining management’s best estimate of completion and trend factors, which are used to calculate actuarial estimates of IBNR.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management’s best estimate of the IBNR was complex and required the involvement of our actuarial specialists due to the highly judgmental nature of completion and trend factor assumptions used in the valuation process. These assumptions have a significant effect on the valuation of the IBNR liability.</w:t>
      </w:r>
    </w:p>
    <w:p>
      <w:pPr>
        <w:jc w:val="both"/>
        <w:spacing w:after="0" w:line="23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actuarial process for estimating the liability for incurred but not reported reserves. These audit procedures included among others, testing management review controls over the application of the actuarial assumptions within the reserve models and the review and approval processes that management has in place for estimating the liability for incurred but not reported reserves.</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test the Company’s liability for IBNR,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involved actuarial specialists to assist with our audit procedures, which included, among others, evaluating the methodologies and assumptions applied by the Company in determining the IBNR and independently calculating a range of IBNR estimates for comparison to management’s actuarial best estimate of the IBNR. Additionally, we performed a review of the prior period IBNR liabilities to subsequent claims development.</w:t>
      </w:r>
    </w:p>
    <w:p>
      <w:pPr>
        <w:spacing w:after="0" w:line="200" w:lineRule="exact"/>
        <w:rPr>
          <w:sz w:val="20"/>
          <w:szCs w:val="20"/>
          <w:color w:val="auto"/>
        </w:rPr>
      </w:pPr>
    </w:p>
    <w:p>
      <w:pPr>
        <w:sectPr>
          <w:pgSz w:w="11900" w:h="16838" w:orient="portrait"/>
          <w:cols w:equalWidth="0" w:num="2">
            <w:col w:w="2400" w:space="160"/>
            <w:col w:w="8660"/>
          </w:cols>
          <w:pgMar w:left="320" w:top="927" w:right="3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2"/>
        </w:trPr>
        <w:tc>
          <w:tcPr>
            <w:tcW w:w="844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$23,231; 2024: $27,153)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held-to-maturity (Fair value: 2025: $1,779; 2024: $15)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41,253</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Healthcare receivables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51,539</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 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343,124</w:t>
            </w:r>
          </w:p>
        </w:tc>
      </w:tr>
      <w:tr>
        <w:trPr>
          <w:trHeight w:val="250"/>
        </w:trPr>
        <w:tc>
          <w:tcPr>
            <w:tcW w:w="8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 (Amortized cost: 2025: $186,464; 2024: $203,147)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201,719</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(Fair value: 2025: $12,495; 2024: $13,913)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541,011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580,742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844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claims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34,564</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208,823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213,516</w:t>
            </w:r>
          </w:p>
        </w:tc>
      </w:tr>
      <w:tr>
        <w:trPr>
          <w:trHeight w:val="250"/>
        </w:trPr>
        <w:tc>
          <w:tcPr>
            <w:tcW w:w="8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26,083</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239,599</w:t>
            </w: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December 31, 2025 and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2024; 426,669,369 and 414,493,051 issued and outstanding at December 31, 2025 and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76"/>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December 31, 2025 and</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December 31, 2024; 92,373,157 and 89,032,305 issued and outstanding at December 31, 2025 and December 31,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2,576,471</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(2,202,803)</w:t>
            </w:r>
          </w:p>
        </w:tc>
      </w:tr>
      <w:tr>
        <w:trPr>
          <w:trHeight w:val="175"/>
        </w:trPr>
        <w:tc>
          <w:tcPr>
            <w:tcW w:w="8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Treasury stock, at cost; 33,412,273 and 18,752,947 shares held at December 31, 2025 and December 31,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341,143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580,742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color w:val="231F20"/>
        </w:rPr>
        <w:t>CLOVER HEALTH INVESTMENTS,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CONSOLIDATED STATEMENTS OF OPERATIONS AND COMPREHENSIVE LOSS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 of $375, $399, and $444 for the year ended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 2024, and 2023,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1,891,732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1,344,881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1,235,769</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24,774</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1,260,543</w:t>
            </w:r>
          </w:p>
        </w:tc>
      </w:tr>
      <w:tr>
        <w:trPr>
          <w:trHeight w:val="270"/>
        </w:trPr>
        <w:tc>
          <w:tcPr>
            <w:tcW w:w="7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1,004,590</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257,157</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183,089</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r>
      <w:tr>
        <w:trPr>
          <w:trHeight w:val="22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2,009,837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1,416,880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1,465,872</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(205,329)</w:t>
            </w:r>
          </w:p>
        </w:tc>
      </w:tr>
      <w:tr>
        <w:trPr>
          <w:trHeight w:val="270"/>
        </w:trPr>
        <w:tc>
          <w:tcPr>
            <w:tcW w:w="7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(210,148)</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(213,361)</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71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number of class A and class B common shares and common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equivalents outstanding</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511,967,146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490,018,730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482,176,127</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7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(206,357)</w:t>
            </w:r>
          </w:p>
        </w:tc>
      </w:tr>
      <w:tr>
        <w:trPr>
          <w:trHeight w:val="21"/>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661" w:right="51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6"/>
          <w:szCs w:val="16"/>
          <w:color w:val="auto"/>
        </w:rPr>
        <w:t>CLOVER HEALTH INVESTMENTS, CORP.</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(Dollars in thousands, except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5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54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8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383,998,718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2,072,752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(6,509)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$ 2,319,157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(1,955,582)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347,738</w:t>
            </w:r>
          </w:p>
        </w:tc>
        <w:tc>
          <w:tcPr>
            <w:tcW w:w="0" w:type="dxa"/>
            <w:vAlign w:val="bottom"/>
          </w:tcPr>
          <w:p>
            <w:pPr>
              <w:spacing w:after="0"/>
              <w:rPr>
                <w:sz w:val="1"/>
                <w:szCs w:val="1"/>
                <w:color w:val="auto"/>
              </w:rPr>
            </w:pPr>
          </w:p>
        </w:tc>
      </w:tr>
      <w:tr>
        <w:trPr>
          <w:trHeight w:val="196"/>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accounting policy</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9,149</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balance, beginning of period</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383,998,718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2,072,752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(6,509)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$ 2,319,157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(1,946,433)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356,887</w:t>
            </w:r>
          </w:p>
        </w:tc>
        <w:tc>
          <w:tcPr>
            <w:tcW w:w="0" w:type="dxa"/>
            <w:vAlign w:val="bottom"/>
          </w:tcPr>
          <w:p>
            <w:pPr>
              <w:spacing w:after="0"/>
              <w:rPr>
                <w:sz w:val="1"/>
                <w:szCs w:val="1"/>
                <w:color w:val="auto"/>
              </w:rPr>
            </w:pPr>
          </w:p>
        </w:tc>
      </w:tr>
      <w:tr>
        <w:trPr>
          <w:trHeight w:val="139"/>
        </w:trPr>
        <w:tc>
          <w:tcPr>
            <w:tcW w:w="282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Stock issuance for exercise of stock options,</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79,189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early exercise liability</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140,931</w:t>
            </w:r>
          </w:p>
        </w:tc>
        <w:tc>
          <w:tcPr>
            <w:tcW w:w="0" w:type="dxa"/>
            <w:vAlign w:val="bottom"/>
          </w:tcPr>
          <w:p>
            <w:pPr>
              <w:spacing w:after="0"/>
              <w:rPr>
                <w:sz w:val="1"/>
                <w:szCs w:val="1"/>
                <w:color w:val="auto"/>
              </w:rPr>
            </w:pPr>
          </w:p>
        </w:tc>
      </w:tr>
      <w:tr>
        <w:trPr>
          <w:trHeight w:val="195"/>
        </w:trPr>
        <w:tc>
          <w:tcPr>
            <w:tcW w:w="2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14,117,561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1,773,104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Unrealized holdings gain on investment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2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Conversion from class B common stock to</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8,300,224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(8,300,224)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Shares withheld for taxes on equity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(5,839,998)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5,839,998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0" w:type="dxa"/>
            <w:vAlign w:val="bottom"/>
          </w:tcPr>
          <w:p>
            <w:pPr>
              <w:spacing w:after="0"/>
              <w:rPr>
                <w:sz w:val="1"/>
                <w:szCs w:val="1"/>
                <w:color w:val="auto"/>
              </w:rPr>
            </w:pPr>
          </w:p>
        </w:tc>
      </w:tr>
      <w:tr>
        <w:trPr>
          <w:trHeight w:val="139"/>
        </w:trPr>
        <w:tc>
          <w:tcPr>
            <w:tcW w:w="282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528,188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401,183,882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87,867,732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7,912,750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(12,729)</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$ 2,461,238</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(2,159,794)</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(2,370)</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286,394</w:t>
            </w:r>
          </w:p>
        </w:tc>
        <w:tc>
          <w:tcPr>
            <w:tcW w:w="0" w:type="dxa"/>
            <w:vAlign w:val="bottom"/>
          </w:tcPr>
          <w:p>
            <w:pPr>
              <w:spacing w:after="0"/>
              <w:rPr>
                <w:sz w:val="1"/>
                <w:szCs w:val="1"/>
                <w:color w:val="auto"/>
              </w:rPr>
            </w:pPr>
          </w:p>
        </w:tc>
      </w:tr>
      <w:tr>
        <w:trPr>
          <w:trHeight w:val="145"/>
        </w:trPr>
        <w:tc>
          <w:tcPr>
            <w:tcW w:w="2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 options,</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409,594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of early exercise liability</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114,331</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22,671,645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1,781,633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28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holdings gain on investment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93"/>
        </w:trPr>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Conversion from class B common stock to</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617,060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withheld for taxes on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(9,001,888)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9,001,888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(16,491)</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451,067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(1,838,309)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1,838,309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414,493,051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89,032,305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18,752,947</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(30,991)</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$ 2,576,471</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(2,202,803)</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(1,584)</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341,143</w:t>
            </w:r>
          </w:p>
        </w:tc>
        <w:tc>
          <w:tcPr>
            <w:tcW w:w="0" w:type="dxa"/>
            <w:vAlign w:val="bottom"/>
          </w:tcPr>
          <w:p>
            <w:pPr>
              <w:spacing w:after="0"/>
              <w:rPr>
                <w:sz w:val="1"/>
                <w:szCs w:val="1"/>
                <w:color w:val="auto"/>
              </w:rPr>
            </w:pPr>
          </w:p>
        </w:tc>
      </w:tr>
      <w:tr>
        <w:trPr>
          <w:trHeight w:val="145"/>
        </w:trPr>
        <w:tc>
          <w:tcPr>
            <w:tcW w:w="2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 for exercise of stock options,</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425,367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of early exercise liability</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104,378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25,942,142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3,342,698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9"/>
        </w:trPr>
        <w:tc>
          <w:tcPr>
            <w:tcW w:w="28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holdings gain on investment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93"/>
        </w:trPr>
        <w:tc>
          <w:tcPr>
            <w:tcW w:w="2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Conversion from class B common stock to</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withheld for taxes on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(9,589,903)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9,589,903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(36,899)</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(36,900)</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466,289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1,096</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(5,069,423)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5,069,423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(18,297)</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(85,549)</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426,669,369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92,373,157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33,412,273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(86,187)</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$ 2,682,663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(2,288,352)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528</w:t>
            </w: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308,704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66" w:right="39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140,931</w:t>
            </w:r>
          </w:p>
        </w:tc>
        <w:tc>
          <w:tcPr>
            <w:tcW w:w="0" w:type="dxa"/>
            <w:vAlign w:val="bottom"/>
          </w:tcPr>
          <w:p>
            <w:pPr>
              <w:spacing w:after="0"/>
              <w:rPr>
                <w:sz w:val="1"/>
                <w:szCs w:val="1"/>
                <w:color w:val="auto"/>
              </w:rPr>
            </w:pPr>
          </w:p>
        </w:tc>
      </w:tr>
      <w:tr>
        <w:trPr>
          <w:trHeight w:val="229"/>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 and amortization of warrants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29"/>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realized gains on investment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investment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0" w:type="dxa"/>
            <w:vAlign w:val="bottom"/>
          </w:tcPr>
          <w:p>
            <w:pPr>
              <w:spacing w:after="0"/>
              <w:rPr>
                <w:sz w:val="1"/>
                <w:szCs w:val="1"/>
                <w:color w:val="auto"/>
              </w:rPr>
            </w:pPr>
          </w:p>
        </w:tc>
      </w:tr>
      <w:tr>
        <w:trPr>
          <w:trHeight w:val="230"/>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Premium deficiency reserve</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retrospective premiums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29"/>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Healthcare receivables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29"/>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Unpaid claims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r>
        <w:trPr>
          <w:trHeight w:val="230"/>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from continuing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(109,514)</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34,845</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(144,662)</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 available-for-sale, and held-to-maturity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(175,567)</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60,436</w:t>
            </w:r>
          </w:p>
        </w:tc>
        <w:tc>
          <w:tcPr>
            <w:tcW w:w="0" w:type="dxa"/>
            <w:vAlign w:val="bottom"/>
          </w:tcPr>
          <w:p>
            <w:pPr>
              <w:spacing w:after="0"/>
              <w:rPr>
                <w:sz w:val="1"/>
                <w:szCs w:val="1"/>
                <w:color w:val="auto"/>
              </w:rPr>
            </w:pPr>
          </w:p>
        </w:tc>
      </w:tr>
      <w:tr>
        <w:trPr>
          <w:trHeight w:val="229"/>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short-term investments and available-for-sale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255,728</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140,013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 net of stock issuance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0"/>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186,213</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cash and cash equivalents and restricted cash</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122,863</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53,631</w:t>
            </w:r>
          </w:p>
        </w:tc>
        <w:tc>
          <w:tcPr>
            <w:tcW w:w="0" w:type="dxa"/>
            <w:vAlign w:val="bottom"/>
          </w:tcPr>
          <w:p>
            <w:pPr>
              <w:spacing w:after="0"/>
              <w:rPr>
                <w:sz w:val="1"/>
                <w:szCs w:val="1"/>
                <w:color w:val="auto"/>
              </w:rPr>
            </w:pPr>
          </w:p>
        </w:tc>
      </w:tr>
      <w:tr>
        <w:trPr>
          <w:trHeight w:val="248"/>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40" w:hanging="126"/>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all applicable amounts for both continuing and discontinued operations</w:t>
      </w:r>
    </w:p>
    <w:p>
      <w:pPr>
        <w:spacing w:after="0" w:line="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61" w:right="459" w:bottom="1440" w:gutter="0" w:footer="0" w:header="0"/>
        </w:sectPr>
      </w:pPr>
    </w:p>
    <w:bookmarkStart w:id="74" w:name="page75"/>
    <w:bookmarkEnd w:id="74"/>
    <w:p>
      <w:pPr>
        <w:ind w:left="384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Clover Health Investments, Corp. (collectively with its affiliates and subsidiaries, "Clover" or the "Company") is focused on empowering physicians to identify, manage, and treat chronic diseases early. Clover has centered its strategy on building and deploying technology through its flagship software platform, Clover Assistant, to help America's seniors receive better care at lower costs.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aims to provide affordable, high-quality Medicare Advantage plans ("MA"),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2024, the Company launched Counterpart Health, Inc., a subsidiary of the Company which houses a new Software-as-a-Service (“SaaS”) and Tech Enabled Services Solution to bring the power of CA Technology to external payors and providers serving the Medicare eligible population.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"2021 Business Combination"). The 2021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consolidated financial statements for previous periods are disclosed in periodic reports filed with the SEC. As a result of the 2021 Business Combination, there were simultaneous changes to Legacy Clover's convertible securities, warrants, and convertible preferred stock.</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Business Combination has had a significant impact on the Company's reported financial condition and results of operations as a consequence of the reverse recapitalization. The 2021 Business Combination closed on January 7, 2021, and on the following day the Company's Class A Common Stock and then outstanding public warrants were listed on the NASDAQ for trading in the public market.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the Company exercises significant influence, but do not control, are accounted for using the applicable accounting treatment based on the nature of the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impact the amounts reported in the consolidated financial statements and the accompanying notes.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for the Company's former Non-Insurance segment have been reclassified as discontinued operations for all periods presented in the Consolidated Statements of Operations and Comprehensive Loss. Assets and liabilities related to the Company's former Non-Insurance segment have been reclassified as discontinued operations for all periods presented in the Consolidated Balance Sheets. Furthermore, all cash flow related activity related to Non-Insurance has all been reclassified on the Consolidated Statements of Cash Flows. Refer to Note 16 "Discontinued Operations"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Premiums earned, net is recognized as income in the period members are entitled to receive services, risk adjustment revenue, and other ancillary income. Premiums received in advance of the service period are reported as deferred revenue on the Consolidated Balance Sheets within Other liabilities, current and recognized within Premiums earned, net once earned. Premiums anticipated to be received within twelve months based on the documented diagnostic criteria of the Company's members are estimated and included in revenue for the period including the member months for which the payment is designated by CMS.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Company's carrying value in an equity method investee company is reduced to zero, no further losses are recorded in the Company's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purchase consideration for an acquisition is measured as the fair value of the assets given, equity instruments issued and liabilities assumed at the acquisition date. Costs that are directly attributable to the acquisition are expensed as incurred. Identifiable assets (including intangible assets) and liabilities assumed (including contingent liabilities) in an acquisition are measured initially at their fair values at the acquisition date. The Company recognizes goodwill to the extent that the fair value of the total purchase consideration is in excess of the net fair value of the identifiable assets acquired and the liabilities assumed. The Company includes the results of operations of the acquired business in the consolidated financial statements beginning on the acquisition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Insurance. The Insurance segment provides PPO and HMO plans to Medicare Advantage members in several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investments consist of investments that the Company expects to convert into cash within one year of the balance sheet date, including time deposits and debt securities, which have original maturities greater than 90 days. Short-term investments are measured at their amortized cost. The carrying values of these instruments approximate their respective fair value due to the short-term maturity of these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which consist entirely of debt securities with fixed or determinable payments and fixed maturity dates, that the Company purchases that are not classified as held-to-maturity, are classified as available-for-sale financial assets. The Company's available-for-sale investments are U.S. Treasury fixed maturity securities, corporate debt, commercial paper, certificate of deposit, and agency bonds.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Available-for-sale investments are measured at fair value, and unrealized gains and losses, if any, are recorded in other comprehensive loss, net of applicable income taxes, until realized from a sale or an expected credit loss is recognized.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held-to-maturity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which consist entirely of debt securities with fixed or determinable payments and fixed maturity dates, where the Company has a positive intent and ability to hold to maturity, are classified as held-to-maturity financial assets. The Company's held-to-maturity investments are comprised of U.S. Treasury fixed maturity securities. The held-to-maturity investments are measured at amortized cost using the effective interest method less impairment. Unrealized holding gains or losses are not recognized.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investment securities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the provisions of ASC 326, </w:t>
      </w:r>
      <w:r>
        <w:rPr>
          <w:rFonts w:ascii="Times New Roman" w:cs="Times New Roman" w:eastAsia="Times New Roman" w:hAnsi="Times New Roman"/>
          <w:sz w:val="18"/>
          <w:szCs w:val="18"/>
          <w:i w:val="1"/>
          <w:iCs w:val="1"/>
          <w:color w:val="auto"/>
        </w:rPr>
        <w:t>Current Expected Credit Loss,</w:t>
      </w:r>
      <w:r>
        <w:rPr>
          <w:rFonts w:ascii="Times New Roman" w:cs="Times New Roman" w:eastAsia="Times New Roman" w:hAnsi="Times New Roman"/>
          <w:sz w:val="18"/>
          <w:szCs w:val="18"/>
          <w:color w:val="auto"/>
        </w:rPr>
        <w:t xml:space="preserve"> and modified its accounting policy for the assessment of available-for-sale and held-to-maturity securities for impairment, as further described below. Prior to January 1, 2021, the Company applied the other-than-temporary impairment model for available-for-sale securities in an unrealized loss position which did not result in impairments for 2020 or 2019. Beginning on January 1, 2021, the Company adopted ASC 326, which retained many similarities from the previous other-than-temporary impairment model but eliminated the consideration of the length of time over which the fair value had been less than cost. Additionally, under ASC 326, the expected losses on securities are recognized through an allowance for credit losses rather than as a reduction in the amortized cost of the security.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identifies securities that are in an unrealized loss position and could potentially have an impairment.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consolidated financial statements, revenue forecasts and cash flow projections as indicators of credit risks. The Company considers relevant facts and circumstances in evaluating the impairment of a security. Relevant facts and circumstances considered include (1) the extent to which the fair value has been below cost or amortized cost, (2) adverse conditions specifically related to the financial condition of the issuer or to the industry, (3) geographic area of the issuer, or the underlying collateral of a security including the current and future impact of any specific events, (4) the payment structure of the security, (5) changes in credit rating of the security by the rating agencies, and (6) the volatility of the fair value changes. There are a number of significant risks and uncertainties inherent in the process of monitoring impairments.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consolidated financial statements could be provided to the Company's management to determine the fair value estimates and impairments, and (4) the risk that new information obtained by the Company, or changes in other facts and circumstances, could lead the Company to change its intent to hold the security to maturity or until it recovers in value. Any of these situations could result in a charge to operations in a future period.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available-for-sale securities whose fair value is less than their amortized cost that the Company does not intend to sell or is not required to sell, management evaluates the expected cash flows to be received as compared to amortized cost and determines if an expected credit loss has occurred. If an expected credit loss occurs, only the amount of the impairment related to the expected credit loss is recognized in income with the remainder, if any, of the loss recognized in other comprehensive loss.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Company has the intent to sell the security or it is more likely than not that the Company will be required to sell the security before recovery of the amortized cost basis, management recognizes an impairment loss in income in an amount equal to the full difference between the amortized cost basis and the fair value.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Company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2025, 2024, and 2023, there was no impairment loss reported.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Held-to-maturity securities are evaluated for potential credit loss on a collective basis. The estimate of credit losses considers historical credit loss information that is adjusted for current conditions and reasonable and supportable forecasts.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outstanding receivables at each period for credit risk. The majority of receivables are from CMS, a United States government entity that presents very limited credit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consists of income from operating subleases, miscellaneous revenue, investment income, commissions, realized gains and losses, and software as a services and tech-enabled services.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income includes interest, dividends received or accrued on investments, and realized gains or losses, and unrealized gains and losses on equity securities recognized at fair value. Investment income is reported as earned and is presented net of related investment expenses and expected credit losses. Realized gains or losses are recognized based on the specific identification method. Purchases and sales are recorded on a trade-date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fair value of its investments, the Company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Company would use in pricing the Company's assets or liabilities based on independently derived and observable market data. Unobservable inputs are inputs that cannot be sourced from a broad active market in which assets or liabilities identical or similar to those of the Company are traded.</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hierarchy includes three levels of inputs based on the degree to which the exit price is independently observable or determinable that may be used to measure fair value as described below:</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are based on quoted (unadjusted) market prices in active markets for identical assets or liabilities. Since valuations are based on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are based on observable inputs other than Level 1 prices such as quoted prices in active markets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assets or liabilities;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are based on techniques that use significant inputs that are unobservable and reflect management's best estimate of what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Company's assessment of the significance of a particular input to the fair value measurement in its entirety requires judgment. In making the assessment, the Company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The Company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Cash and cash equivalents are held with financial institutions of high quality. Balances may exceed the amount of insurance provided on such balances.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 with its reinsurers.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 - cloud computing arrangements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within Prepaid expenses, and are generally amortized over the fixed, non-cancelable term of the associated hosting arrangement on a straight-line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 costs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 costs directly related to the successful acquisition of new business, which are primarily made up of commissions costs, are deferred and subsequently amortized. Deferred acquisition costs are recorded within Other assets, current on the Consolidated Balance Sheets and are amortized over the estimated life of the related contracts. The amortization of deferred acquisition costs is recorded within General and administrative expenses in the Consolidated Statements of Operations and Comprehensive Loss. For the years ended December 31, 2025, 2024, and 2023 charges related to deferred acquisition costs of $21.9 million, $10.5 million, and $6.8 million, respectively, were recognized within General and administrative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Company recognized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warrants were settled or expired following the acquisition of the underlying entities. As of December 31, 2025, no warrant assets remain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net is reported at cost less accumulated depreciation. Depreciation is recorded using the straight-line method over the estimated useful lives of the respective assets, which are generally three to five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within Other income.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capitalize certain costs, such as compensation costs, including stock-based compensation, and interest incurred on outstanding debt, in developing internal-use software once planning has been completed, management has authorized and committed project funding, and it is probable that the project will be completed and the software will function as intended. Amortization of such costs occurs on a straight-line basis over the estimated useful life of the related asset and begins once the asset is ready for its intended use. Costs incurred prior to meeting these criteria, together with costs incurred for training and maintenance, are expensed as incurred. In addition, we capitalize interest incurred on outstanding debt during the period of construction-in-progress of certain assets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2025 or December 31, 2024, and there was an $11.7 million impairment of goodwill for the year ended December 31, 2023.</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For the years ended December 31, 2025 and December 31, 2024 there was no impairment related to intangible assets with indefinite useful lives. For the year ended December 31, 2023, there was $4.2 million of impairment related to intangible assets with indefinite useful lives.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normal course of business, the Company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expected credit losses of Reinsurance recoverable is evaluated based upon a number of factors. Such factors include the amounts outstanding, history of losses, ratings of reinsurers, disputes, any collateral or letters of credit held and other relevant factors. The Company had no material credit allowances for Reinsurance recoverable at December 31, 2025 and 2024. Amounts recoverable from reinsurers are estimated in a manner consistent with the liability associated with the reinsured business and consistent with the terms of the underlying contracts. Although reinsurance agreements contractually obligate reinsurers to reimburse the Company for their share of losses, they do not discharge the primary liability of the Company. The Company remains liable for unpaid claims and claims adjustment expenses associated with ceded insured risks if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Unpaid claims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Unpaid claims and unpaid claims adjustment expenses include reported claims and incurred but not yet reported ("IBNR") claims, as well as the estimated expense of processing these claims. Management develops an estimate for IBNR using actuarial methodologies and assumptions, primarily based upon historical claim experience.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Liabilities for both reported claims and IBNR not yet processed through the Company's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Company's reserving practice is to consistently recognize an actuarial best estimate inclusive of a provision for moderately adverse conditions. This provision is reported as part of incurred claims.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claims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cost of medical claims in the period in which services are provided, including an estimate of the cost of medical claims IBNR.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medical claims incurred reported within the Consolidated Statements of Operations and Comprehensive Loss includes direct medical expenses.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medical expenses include amounts paid or payable to hospitals, physicians, pharmacy benefit managers, providers of ancillary services, mandatory supplemental benefits, and is inclusive of the medical expense related to the Company's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within Healthcare receivables within the Consolidated Balance Sheets. Overpayments to providers are recognized as a contra medical expense and reported within Other assets, current within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for premium deficiency reserves is an actuarial estimate for anticipated losses on the Company's MA and MA Part D ("MAPD") business.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 is derived from the assessments performed and provides the amount by which insurance-related expenses are expected to exceed insurance revenues in addition to net investment income. There are key financial statement line items and associated drivers considered in determining the reserve. The most significant of financial statement line items considered when performing reserve assessments are premiums earned, net investment income, and insurance net medical claims incurred. Key inputs considered for premiums earned include expected enrollment changes, revenue rates, risk adjustment, and risk score forecasts. Key metrics considered for insurance net medical claims incurred include claims experience, benefit changes, membership mix, membership changes, and medical management programs. Administrative expenses are assessed for expenses directly and indirectly incurred in order to operate the insurance entities and cannot exceed a percentage of regulatory entity premiums earned due to contractual agreements. There are other operating activities that are considered in accordance with regulatory guidelines.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premium deficiency reserve assessment is performed on a quarterly basis. Every quarter, reserve assessments are made for the period following the most recently ended period through to the end of the current year. For the fourth quarter, assessments are made related to the entire subsequent fiscal year's projected net performance. If a reserve is deemed necessary, a liability and expense will be recognized as of the end of the quarter directly preceding the period for which the future loss is projected. That reserve will be amortized over the course of the contract period assessed to have expected insurance expenses that will exceed insurance revenues. The amortization of the reserve occurs ratably over the assessed contract period and will offset expected future losses</w:t>
      </w:r>
      <w:r>
        <w:rPr>
          <w:rFonts w:ascii="Times New Roman" w:cs="Times New Roman" w:eastAsia="Times New Roman" w:hAnsi="Times New Roman"/>
          <w:sz w:val="18"/>
          <w:szCs w:val="18"/>
          <w:color w:val="222222"/>
        </w:rPr>
        <w: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calculating premium deficiency reserves, management groups contracts in a manner consistent with the method of acquiring, servicing, and measuring the profitability of such contracts. At December 31, 2025 and 2024, respectively, management performed its premium deficiency reserve assessment and determined that no premium deficiency reserve was required, and therefore no liability was recognized.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earned, net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Patient Protection and Affordable Care Act ("ACA"). Premiums received in advance of the service period are reported within Other liabilities on the Consolidated Balance Sheets and recognized as revenue when earned.</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Premiums anticipated to be received within twelve months based on the documented diagnostic criteria of the Company's enrollees are estimated and included in revenue for the period including the member months for which the payment is designated by CMS.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CMS uses a risk-adjustment model which adjusts premiums paid to MA contracts, based on risk scores that are compared with the overall average risk scores for the relevant state and market pool. Generally, if a risk score is below the average risk score the Company is required to make a risk adjustment payment into the risk pool, and if a risk score is above the average risk score the Company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Company's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within the Company's Consolidated Statements of Operations and Comprehensive Loss, based upon available information.</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Advantage Part D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received from CMS and members from Clover's participation in the MAPD program are determined from the Company's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Company or require the Company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from CMS for reinsurance and low-income cost subsidies are based on assumptions submitted with the annual bid. A reconciliation and related settlement of CMS' prospective subsidies against actual prescription drug costs paid is made after the end of the year. Consumer discounts of 50.0% on brand name prescription drugs for participants in the coverage gap are funded by CMS and pharmaceutical manufacturers. The Company accounts for these subsidies and discounts within Other assets in the Consolidated Balance Sheets and as an operating activity in the Consolidated Statements of Cash Flows. The Company does not recognize premiums revenue or claim expenses for these subsidies or discounts.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does not recognize leases with a lease term of one year or less on its Consolidated Balance Sheets. Leases with a term greater than one year are recognized on the balance sheet as right-of-use ("ROU") assets and lease liabilities. The Company has sublease arrangements and recognizes sublease income from leasing excess space. Sublease income is recognized on a straight-line basis over the sublease term. At December 31, 2025 and 2024, the Company did not have any financing leases.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At December 31, 2025 and 2024, the Company did not include optional extension periods in the measurement of its leases as they were not reasonably certain of exercise. The Company monitors its plans to renew its material leases on a quarterly basis.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the rates implicit in the Company's leases are not readily determinable, the Company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Company is estimated using a synthetic credit rating analysis since the Company does not currently have a rating agency-based credit rating.</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determining the classification of a lease as operating or finance,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Company applies the bright line thresholds referenced in the lease guidance of 75.0% to represent "a major part" and 90.0% to represent "substantially all" as allowed in ASC 842 in evaluating leases for appropriate classification. These are applied consistently to the Company's entire portfolio of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including Options and RSUs granted to employees, directors, and non-employee consultants, under certain equity incentive plans and stock purchase rights granted under the 2020 Employee Stock Purchase Plan ("ESPP") to employees, based on the estimated fair value of the awards on the date of grant. The fair value of each Option and stock purchase right is estimated using the Black-Scholes option-pricing model. The fair value of each RSU is based on the estimated fair value of the Company's common stock on the date of grant.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within the Consolidated Statements of Operations and Comprehensive Loss within Salaries and benefits. The Company recognizes stock-based compensation expense for the portion of awards that have vested. Forfeitures are recorded as they occur.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4" w:name="page85"/>
    <w:bookmarkEnd w:id="84"/>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also grants certain awards that have performance-based vesting conditions, including performance restricted stock units that become eligible to vest based on achievement of certain Company or individual performance milestones (“Non-Market PRSUs”) and other performance restricted stock units that become eligible to vest if, prior to the vesting date, the average closing price of one share of the Company's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Market PRSUs with multiple performance conditions to be the longest of the explicit, implicit, or derived service period. The determination of the grant-date fair value using an option-pricing model is affected by the estimated fair value of the Company's common stock as well as assumptions regarding a number of other complex and subjective variables. These variables include expected stock price volatility over an expected term, actual and projected employee stock option exercise behaviors, the risk-free interest rate for an expected term, and expected dividends. The assumptions used in the option-pricing model represent the Company's best estimates. These estimates involve inherent uncertainties and the application of judgment. If factors change and different assumptions are used, the Company's stock-based compensation expense could be materially different in the future. These assumptions are estimated as follows:</w:t>
      </w:r>
    </w:p>
    <w:p>
      <w:pPr>
        <w:spacing w:after="0" w:line="143" w:lineRule="exact"/>
        <w:rPr>
          <w:sz w:val="20"/>
          <w:szCs w:val="20"/>
          <w:color w:val="auto"/>
        </w:rPr>
      </w:pPr>
    </w:p>
    <w:p>
      <w:pPr>
        <w:jc w:val="both"/>
        <w:ind w:left="180" w:right="160"/>
        <w:spacing w:after="0" w:line="266" w:lineRule="auto"/>
        <w:rPr>
          <w:sz w:val="20"/>
          <w:szCs w:val="20"/>
          <w:color w:val="auto"/>
        </w:rPr>
      </w:pPr>
      <w:r>
        <w:rPr>
          <w:rFonts w:ascii="Times New Roman" w:cs="Times New Roman" w:eastAsia="Times New Roman" w:hAnsi="Times New Roman"/>
          <w:sz w:val="18"/>
          <w:szCs w:val="18"/>
          <w:color w:val="auto"/>
        </w:rPr>
        <w:t>Expected term - For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w:t>
      </w:r>
    </w:p>
    <w:p>
      <w:pPr>
        <w:spacing w:after="0" w:line="122" w:lineRule="exact"/>
        <w:rPr>
          <w:sz w:val="20"/>
          <w:szCs w:val="20"/>
          <w:color w:val="auto"/>
        </w:rPr>
      </w:pPr>
    </w:p>
    <w:p>
      <w:pPr>
        <w:jc w:val="both"/>
        <w:ind w:left="180" w:right="180"/>
        <w:spacing w:after="0" w:line="282" w:lineRule="auto"/>
        <w:rPr>
          <w:sz w:val="20"/>
          <w:szCs w:val="20"/>
          <w:color w:val="auto"/>
        </w:rPr>
      </w:pPr>
      <w:r>
        <w:rPr>
          <w:rFonts w:ascii="Times New Roman" w:cs="Times New Roman" w:eastAsia="Times New Roman" w:hAnsi="Times New Roman"/>
          <w:sz w:val="18"/>
          <w:szCs w:val="18"/>
          <w:color w:val="auto"/>
        </w:rPr>
        <w:t>Expected volatility - The Company performs an analysis of the average volatility of a peer group of representative public companies with sufficient trading history over the expected term to develop an expected volatility assumption.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 There have been no Market PRSU awards granted during the years ended December 31, 2025 and 2024. The grant date fair value of Non-Market PRSUs is determined based on the closing price of the Company’s class A common stock.</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Note 14 "Employee Benefit Plans" to the consolidated financial statements included in this Form 10-K for a complete description of the accounting for stock-based compensation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loss is a measurement of certain changes within Stockholders' equity that results from transactions and other economic events other than transactions with the stockholders. The cumulative amount of these changes is reported on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Company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At December 31, 2025 and 2024, sufficient doubt existed over the Company's ability to generate sufficient taxable income to realize its deferred income tax assets, and accordingly, the Company provided a full valuation allowance against its deferred tax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Company did not have any material uncertain tax positions during the years ended December 31, 2025 and 2024. The Company classifies interest and penalties associated with uncertain tax positions in its provision for income taxes. The Company did not incur or record any interest and penalties related to uncertain tax positions at or during the years ended December 31, 2025 and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potentially dilutive common shares. For purposes of this calculation, outstanding options, convertible preferred stock and warrants to purchase shares of convertible preferred stock are considered potential dilutive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during the year ended December 31, 2025 that had a material impact on the Company's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effective in future periods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would require a public entity to disclose information about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The amendments in this update provide a practical expedient for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contract assets. The expedient allows an entity to assume that economic conditions as of the balance sheet date will remain unchanged for the remaining life of the asset when forecasting expected credit losses. The ASU is effective for fiscal years beginning after December 15, 2025, and interim periods within those fiscal years. The Company is currently evaluating the impact of ASU 2025-05 on its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Internal-Use Software. </w:t>
      </w:r>
      <w:r>
        <w:rPr>
          <w:rFonts w:ascii="Times New Roman" w:cs="Times New Roman" w:eastAsia="Times New Roman" w:hAnsi="Times New Roman"/>
          <w:sz w:val="18"/>
          <w:szCs w:val="18"/>
          <w:color w:val="auto"/>
        </w:rPr>
        <w:t>The amendments in this update modernize the accounting for costs related to internal-use software to better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current software development practices, such as agile methodologies. The update removes the previous stage-based model for capitalization. Instead, capitalization will begin when management authorizes and commits funding to a project, and it is probable the project will be completed for its intended function. The ASU is effective for annual periods beginning after December 15, 2026, with early adoption permitted. The Company is currently evaluating the impact of ASU 2025-06 on its consolidated financial statements and related disclosures.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6" w:name="page87"/>
    <w:bookmarkEnd w:id="86"/>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Clarification for Share-Based Noncash Consideration from a Customer in a Revenue Contract.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 the scope exception in Topic 815 to exclude certain non-exchange-traded contracts with underlying based on the operations or activities of one of the parties to the contract. Additionally, the update clarifies that share-based noncash consideration received from a customer is subject to the guidance in Topic 606 until the right to consideration is unconditional. The ASU is effective for annual periods beginning after December 15, 2026, with early adoption permitted. The Company is currently evaluating the impact of ASU 2025-07 on its consolidated financial statements and related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amortized cost and fair values of investments at December 31, 2025 and December 31, 2024, respectively:</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737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U.S. government and government agencies and authorities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Corporate debt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129,447</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224,497</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0"/>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9"/>
        </w:trPr>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3"/>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10"/>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6"/>
        </w:trPr>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6"/>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57"/>
        </w:trPr>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244,658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242,644</w:t>
            </w:r>
          </w:p>
        </w:tc>
      </w:tr>
      <w:tr>
        <w:trPr>
          <w:trHeight w:val="22"/>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-2957195</wp:posOffset>
            </wp:positionV>
            <wp:extent cx="713232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-2630805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-2305685</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-1979295</wp:posOffset>
            </wp:positionV>
            <wp:extent cx="713232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-1182370</wp:posOffset>
            </wp:positionV>
            <wp:extent cx="713232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-856615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-530860</wp:posOffset>
            </wp:positionV>
            <wp:extent cx="713232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2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fair value of debt securities at December 31, 2025, by contractual maturity: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40" w:type="dxa"/>
            <w:vAlign w:val="bottom"/>
            <w:tcBorders>
              <w:bottom w:val="single" w:sz="8" w:color="CCEEFF"/>
            </w:tcBorders>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0" w:type="dxa"/>
            <w:vAlign w:val="bottom"/>
          </w:tcPr>
          <w:p>
            <w:pPr>
              <w:spacing w:after="0"/>
              <w:rPr>
                <w:sz w:val="1"/>
                <w:szCs w:val="1"/>
                <w:color w:val="auto"/>
              </w:rPr>
            </w:pPr>
          </w:p>
        </w:tc>
      </w:tr>
      <w:tr>
        <w:trPr>
          <w:trHeight w:val="25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187,092</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209,695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respectively, net investment income, which is included within Other income within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was derived from the following sources: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securities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2"/>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79"/>
        </w:trPr>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34"/>
        </w:trPr>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r>
      <w:tr>
        <w:trPr>
          <w:trHeight w:val="27"/>
        </w:trPr>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-693420</wp:posOffset>
            </wp:positionV>
            <wp:extent cx="713232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-367665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31" w:right="339" w:bottom="1440" w:gutter="0" w:footer="0" w:header="0"/>
          <w:type w:val="continuous"/>
        </w:sectPr>
      </w:pPr>
    </w:p>
    <w:p>
      <w:pPr>
        <w:spacing w:after="0" w:line="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unrealized losses and fair values aggregated by investment category and length of time that individual securities have been in a continuous unrealized loss position were as follows at December 31, 2025, and December 31, 2024,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Pr>
          <w:p>
            <w:pPr>
              <w:spacing w:after="0"/>
              <w:rPr>
                <w:sz w:val="19"/>
                <w:szCs w:val="19"/>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19"/>
                <w:szCs w:val="19"/>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51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24"/>
                <w:szCs w:val="24"/>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60" w:type="dxa"/>
            <w:vAlign w:val="bottom"/>
          </w:tcPr>
          <w:p>
            <w:pPr>
              <w:spacing w:after="0"/>
              <w:rPr>
                <w:sz w:val="24"/>
                <w:szCs w:val="24"/>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FF0FC"/>
          </w:tcPr>
          <w:p>
            <w:pPr>
              <w:ind w:left="20"/>
              <w:spacing w:after="0" w:line="206" w:lineRule="exact"/>
              <w:rPr>
                <w:sz w:val="20"/>
                <w:szCs w:val="20"/>
                <w:color w:val="auto"/>
              </w:rPr>
            </w:pPr>
            <w:r>
              <w:rPr>
                <w:rFonts w:ascii="Times New Roman" w:cs="Times New Roman" w:eastAsia="Times New Roman" w:hAnsi="Times New Roman"/>
                <w:sz w:val="18"/>
                <w:szCs w:val="18"/>
                <w:color w:val="auto"/>
              </w:rPr>
              <w:t>U.S. government and government agencies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5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170,616</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record any credit allowances for debt securities that were in an unrealized loss position at December 31, 2025 and December 31,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gains at December 31, 2025 were assessed, based on, among other things:</w:t>
      </w:r>
    </w:p>
    <w:p>
      <w:pPr>
        <w:spacing w:after="0" w:line="14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relative magnitude to which fair values of these securities have been below their amortized cost was not indicative of an impairment loss;</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absence of compelling evidence that would cause the Company to call into question the financial condition or near-term prospects of the issuer of the applicable security;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inclusive of Short-term investments, and related gross realized gains (losses) which are included within Other income within the Consolidated Statements of Operations and Comprehensive Loss, were as follows for the year ended December 31, 2025, 2024, and 2023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 securities</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gains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realized losses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realized gains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2"/>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3"/>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83,673</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60,436</w:t>
            </w:r>
          </w:p>
        </w:tc>
      </w:tr>
      <w:tr>
        <w:trPr>
          <w:trHeight w:val="284"/>
        </w:trPr>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255,728</w:t>
            </w:r>
          </w:p>
        </w:tc>
      </w:tr>
      <w:tr>
        <w:trPr>
          <w:trHeight w:val="486"/>
        </w:trPr>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6"/>
        </w:trPr>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-1002030</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-676910</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-350520</wp:posOffset>
            </wp:positionV>
            <wp:extent cx="71323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31" w:right="339" w:bottom="1440" w:gutter="0" w:footer="0" w:header="0"/>
          <w:type w:val="continuous"/>
        </w:sectPr>
      </w:pPr>
    </w:p>
    <w:p>
      <w:pPr>
        <w:spacing w:after="0" w:line="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had $14.6 million, in deposits with various states and regulatory bodies that are included as part of the Company's cash, cash equivalents, and investment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fair value measurements for financial instruments at December 31, 2025 and December 31, 2024,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129,447</w:t>
            </w:r>
          </w:p>
        </w:tc>
      </w:tr>
      <w:tr>
        <w:trPr>
          <w:trHeight w:val="25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r>
      <w:tr>
        <w:trPr>
          <w:trHeight w:val="25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equity investments</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5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210,223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222,449</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138,261</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r>
      <w:tr>
        <w:trPr>
          <w:trHeight w:val="236"/>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5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48"/>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balances of Clover's Level 3 financial assets and liabilities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8"/>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8"/>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
        </w:trPr>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8"/>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6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Unrealized gains for assets still held, included in Net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2"/>
        </w:trPr>
        <w:tc>
          <w:tcPr>
            <w:tcW w:w="6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had exercisable private warrants which were embedded in several agreements as derivatives. These private warrants were accounted for as assets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in Other assets, non-current in the Consolidated Balance Sheets. The warrant assets are measured at fair value at inception and on a recurring basis until redeemed, with changes in fair value presented in Change in fair value of warrants in the Consolidated Statements of Operations and Comprehensive Loss. These private warrants were classified within Level 3 due to the subjectivity and use of estimates in the calculation of their fair value.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one of the Company's warrant receivable arrangements was fully liquidated. The liquidation resulted in a realized gain recorded in the Consolidated Statement of Operations and Comprehensive Loss. Immediately prior to liquidation, the fair value of the warrants receivable was $0.7 million. The Company received $1.6 million in total consideration for the warrants. The liquidation of the warrants resulted in a realized gain of $0.8 million recognized within the Other income line item within the Consolidated Statement of Operations and Comprehensive Loss.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Company is eligible to receive a pro-rata portion of a contingent payment, upon the satisfaction of certain performance milestones.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has not recognized any asset or gain related to this contingent payment right because realization is not considered probable. The Company will recognize any gain or revenue related to the contingent payment only when the performance criteria have been met and the payment is deemed certain and collectible.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its remaining private warrant had become zero following financial distress and a subsequent sale of the underlying issuer, and the carrying value of the warrant was written off during the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no longer held any private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equity securities in privately held companies. Their fair value is classified as Level 3 because the valuation relies primarily on unobservable inputs that require significant management judgment. While the valuation process utilizes inputs based on observable market transactions such as comparable company multiples or similar private placements, these must be significantly adjusted using unobservable assumptions to reflect the specific risks and characteristics of the non-marketable private investment. This reliance on subjective, unobservable inputs is the basis for the Level 3 classification and results in a higher degree of valuation uncertainty.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Character Biosciences, Inc.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30, 2025, the Company determined it lost significant influence over Character Biosciences, Inc. ("Character Biosciences" or "CB") following dilution of its ownership. Refer to Note 12 "Variable Interest Entity" for additional information on the transition from equity method of accounting under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investment in the equity securities of CB, which includes both Class A common stock and preferred stock, does not have a readily determinable fair value. It is measured at fair value on a recurring basis, with changes recognized in net income in accordance with ASC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This investment is classified as a Level 3 fair value measurement within ASC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its valuation relies on significant unobservable inputs.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fair value of the investment was approximately $8.3 million. The fair value was determined using a third-party valuation that incorporated recent market transactions and updated company-specific financial information. The valuation reflected income- and market-based methodologies and included assumptions related to forecasted performance, discount rates, and a discount for lack of marketability.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Healthcare Receivables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$94.9 million and $51.5 million within Healthcare receivables at December 31, 2025 and December 31,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On November 3, 2024, CarePoint Health and its affiliates filed petitions in the United States Bankruptcy Court for the District of Delaware (the "Bankruptcy Court") seeking relief under Chapter 11 of the United States Bankruptcy Code. Ultimately, the Bankruptcy Court confirmed CarePoint Health's plan which became effective as of May 22, 2025. Through CarePoint Health's plan, a majority of CarePoint Health's assets, including CarePoint Health's contracts, were transferred to Hudson Regional Hospital, which now controls CarePoint Health's hospitals following CarePoint Health's emergence from bankruptcy. As a result of such proceedings, CarePoint Health is no longer deemed a related party of the Company as defined by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Expenses and fees incurred related to Clover's contracts with CarePoint Health, recorded in Net medical claims incurred, in the Consolidated Statements of Operations and Comprehensive Loss, were $4.4 million, $7.0 million, and $13.0 million for the years ended December 31, 2025, 2024, and 2023 respectively. Additionally, $1.0 million was payable to CarePoint Health at December 31, 2024.</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$1.5 million, $0.7 million, and $0.8 million for the years ended December 31, 2025, 2024, and 2023 respectively.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$3.9 million at December 31, 2025, and is recognized within Other assets, non-current, in the Consolidated Balance Sheets.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any changes in fair value associated with these shares are recognized within Other income in the Consolidated Statements of Operations and Comprehensive Loss. Mr. Garipalli is a member of the board of directors of Thyme Care and holds an equity interest of less than five percent (5%) of that entity. Expenses and fees incurred related to this agreement were $8.3 million, $4.1 million, and $2.3 million for the years ended December 31, 2025, 2024, and 2023 respectively. Additionally, $6.6 million and $3.3 million were payable to Thyme Care at December 31, 2025, and December 31, 2024, respectively.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Master Services Agreement in July 2025 with Guidehealth, LLC for value-based care enablement and outsourced administrative services. These services primarily leverage technology and support teams to accelerate and enhance medication adherence rates and patient outcomes. Thomas Tran, a member of the Company's Board of Directors and Chair of the Company's Audit Committee, also serves as a director of Guidehealth and holds an ownership interest of less than 5% in Guidehealth. Pursuant to this agreement, the Company recognized $1.2 million for the year ended December 31, 2025. Additionally, zero was payable at December 31, 2025.</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 holds a non-controlling equity investment in Character Biosciences, which is accounted for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at fair value. As of December 31, 2025, the fair value of this investment was $8.3 million. See Note 4 "Fair Value Measurements" for further information regarding the valuation techniques and inputs used to determine the fair value of this Level 3 investment. Character Biosciences is considered a related party because the Company's Executive Chairman and a significant stockholder of the Company, Vivek Garipalli, serves as a member of Character Bioscience’s Board of Directors as Clover's representative given the Company's investor status; he does not directly or indirectly hold any investment in CB. The investment is recognized within Other assets, non-current, in the Consolidated Balance Sheets. There were no transactions between the Company and Character Biosciences during the periods presented.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8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expense recorded by the Company was approximately $0.2 million, $0.2 million, and $0.4 million for the years ended December 31, 2025, 2024, and 2023, respectively. Amortization expense recorded by the Company was approximately $1.5 million, $1.2 million, and $1.0 million for the years ended December 31, 2025,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Intangibles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At December 31, 2025 and 2024, there were no circumstances that indicate that the carrying amount of intangible assets deemed to have an indefinite useful life may not be recoverable.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Company's other intangible assets at December 31, 2025 and 2024,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4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4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80" w:type="dxa"/>
            <w:vAlign w:val="bottom"/>
          </w:tcPr>
          <w:p>
            <w:pPr>
              <w:spacing w:after="0"/>
              <w:rPr>
                <w:sz w:val="14"/>
                <w:szCs w:val="14"/>
                <w:color w:val="auto"/>
              </w:rPr>
            </w:pPr>
          </w:p>
        </w:tc>
        <w:tc>
          <w:tcPr>
            <w:tcW w:w="11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Average life</w:t>
            </w:r>
          </w:p>
        </w:tc>
        <w:tc>
          <w:tcPr>
            <w:tcW w:w="600" w:type="dxa"/>
            <w:vAlign w:val="bottom"/>
            <w:vMerge w:val="continue"/>
          </w:tcPr>
          <w:p>
            <w:pPr>
              <w:spacing w:after="0"/>
              <w:rPr>
                <w:sz w:val="21"/>
                <w:szCs w:val="21"/>
                <w:color w:val="auto"/>
              </w:rPr>
            </w:pP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vMerge w:val="continue"/>
          </w:tcPr>
          <w:p>
            <w:pPr>
              <w:spacing w:after="0"/>
              <w:rPr>
                <w:sz w:val="21"/>
                <w:szCs w:val="21"/>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190"/>
        </w:trPr>
        <w:tc>
          <w:tcPr>
            <w:tcW w:w="23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2,990</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8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2,990</w:t>
            </w: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estimate any amortization expense in the five succeeding fiscal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9. Unpaid Claims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Activity within the liability for Unpaid claims, including claims adjustment expenses, for the years ended December 31, 2025 and 2024, respectively,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and net balance, beginning of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137,100</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1,016,131</w:t>
            </w:r>
          </w:p>
        </w:tc>
      </w:tr>
      <w:tr>
        <w:trPr>
          <w:trHeight w:val="22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(30,539)</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985,592</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related to:</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869,574</w:t>
            </w:r>
          </w:p>
        </w:tc>
      </w:tr>
      <w:tr>
        <w:trPr>
          <w:trHeight w:val="22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96,722</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966,296</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and net balance,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1"/>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-342265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-934085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-1516380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Unpaid Claims for Insurance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Unpaid claims for Insurance operations were $153.3 million at December 31, 2025. During the year ended December 31, 2025, $138.7 million was paid for incurred claims attributable to insured events of prior years. A favorable development of $8.7 million was recognized during the year ended December 31, 2025, resulting from the Company's actual experience with claims developing differently as compared to the Company's estimates at December 31, 2024. A favorable development of $30.5 million was recognized during the year ended December 31, 2024, resulting from the Company's actual experience with claims developing differently as compared to the Company's estimates at December 31, 2023. Original estimates are increased or decreased, as additional information becomes known regarding individual claims. The ratio of current year medical claims paid as a percentage of current year Net medical claims incurred was 90.6% for the year ended December 31, 2025, and 85.6% for the year ended December 31, 2024. This ratio serves as an indicator of claims processing speed, indicating that claims were processed at a faster rate during the year ended December 31, 2025, than during the year ended December 31, 2024.</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regarding incurred and paid claims development for medical claims, as well as cumulative claim frequency and the total of incurred but not reported liabilities at December 31, 2025, respectively:</w:t>
      </w:r>
    </w:p>
    <w:p>
      <w:pPr>
        <w:spacing w:after="0" w:line="137"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Cumulative incurred claims for the</w:t>
      </w: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13335</wp:posOffset>
            </wp:positionV>
            <wp:extent cx="24942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Incurred year</w:t>
            </w:r>
          </w:p>
        </w:tc>
        <w:tc>
          <w:tcPr>
            <w:tcW w:w="260" w:type="dxa"/>
            <w:vAlign w:val="bottom"/>
          </w:tcPr>
          <w:p>
            <w:pPr>
              <w:spacing w:after="0"/>
              <w:rPr>
                <w:sz w:val="18"/>
                <w:szCs w:val="18"/>
                <w:color w:val="auto"/>
              </w:rPr>
            </w:pPr>
          </w:p>
        </w:tc>
        <w:tc>
          <w:tcPr>
            <w:tcW w:w="9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restart"/>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IBNR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 claims</w:t>
            </w:r>
          </w:p>
        </w:tc>
        <w:tc>
          <w:tcPr>
            <w:tcW w:w="0" w:type="dxa"/>
            <w:vAlign w:val="bottom"/>
          </w:tcPr>
          <w:p>
            <w:pPr>
              <w:spacing w:after="0"/>
              <w:rPr>
                <w:sz w:val="1"/>
                <w:szCs w:val="1"/>
                <w:color w:val="auto"/>
              </w:rPr>
            </w:pPr>
          </w:p>
        </w:tc>
      </w:tr>
      <w:tr>
        <w:trPr>
          <w:trHeight w:val="190"/>
        </w:trPr>
        <w:tc>
          <w:tcPr>
            <w:tcW w:w="42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ones)</w:t>
            </w:r>
          </w:p>
        </w:tc>
        <w:tc>
          <w:tcPr>
            <w:tcW w:w="0" w:type="dxa"/>
            <w:vAlign w:val="bottom"/>
          </w:tcPr>
          <w:p>
            <w:pPr>
              <w:spacing w:after="0"/>
              <w:rPr>
                <w:sz w:val="1"/>
                <w:szCs w:val="1"/>
                <w:color w:val="auto"/>
              </w:rPr>
            </w:pPr>
          </w:p>
        </w:tc>
      </w:tr>
      <w:tr>
        <w:trPr>
          <w:trHeight w:val="472"/>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and prior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3,144,952</w:t>
            </w: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3,115,403</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3,104,467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11,380,837</w:t>
            </w:r>
          </w:p>
        </w:tc>
        <w:tc>
          <w:tcPr>
            <w:tcW w:w="0" w:type="dxa"/>
            <w:vAlign w:val="bottom"/>
          </w:tcPr>
          <w:p>
            <w:pPr>
              <w:spacing w:after="0"/>
              <w:rPr>
                <w:sz w:val="1"/>
                <w:szCs w:val="1"/>
                <w:color w:val="auto"/>
              </w:rPr>
            </w:pPr>
          </w:p>
        </w:tc>
      </w:tr>
      <w:tr>
        <w:trPr>
          <w:trHeight w:val="27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1,016,131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1,018,400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3,035,169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1,542,123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3,746,848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3,144,952</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4,131,534</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5,664,990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153,250</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18,162,854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92</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net paid claims through December 31,</w:t>
            </w:r>
          </w:p>
        </w:tc>
      </w:tr>
      <w:tr>
        <w:trPr>
          <w:trHeight w:val="47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Incurred year</w:t>
            </w:r>
          </w:p>
        </w:tc>
        <w:tc>
          <w:tcPr>
            <w:tcW w:w="24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0"/>
        </w:trPr>
        <w:tc>
          <w:tcPr>
            <w:tcW w:w="7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492"/>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and prior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3,008,825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3,105,564</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3,102,952</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869,574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1,010,876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1,397,912</w:t>
            </w: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3,008,825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3,975,138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5,511,740</w:t>
            </w:r>
          </w:p>
        </w:tc>
      </w:tr>
      <w:tr>
        <w:trPr>
          <w:trHeight w:val="21"/>
        </w:trPr>
        <w:tc>
          <w:tcPr>
            <w:tcW w:w="7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Unaudited supplemental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incurred and paid claims development tables to unpaid claims and claims adjustment expenses for medical claims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is as follows: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2"/>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incurred claims,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5,664,990</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paid claims,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5,511,740</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unpaid claims, including claims adjustment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Medicare Advantage Reinsurance Agreement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of each year, the Company renews a specific excess loss reinsurance agreement to reinsure its MA plan liabilities per covered person per agreement terms in excess of $0.5 million for the year ended December 31, 2025, and $0.4 million for the years ended December 31, 2024 and 2023.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the reinsurance agreements on the accompanying consolidated financial statements for the years ended December 31, 2025, 2024, and 2023, respectively,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1,892,107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1,345,280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1,236,213</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Premiums earned, ceded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1,891,732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1,344,881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1,235,769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incurred,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1,537,832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988,208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987,654</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Claims incurred, ceded</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claims incurred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1,533,456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987,158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relieved of its primary obligation to the policyholder in a reinsurance transaction. Reinsurance recoverable for the MA plan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respectively, were comprised of the following:</w:t>
      </w:r>
    </w:p>
    <w:p>
      <w:pPr>
        <w:spacing w:after="0" w:line="203"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36830</wp:posOffset>
            </wp:positionV>
            <wp:extent cx="16459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left="910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36830</wp:posOffset>
            </wp:positionV>
            <wp:extent cx="16459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4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20"/>
        <w:spacing w:after="0"/>
        <w:tabs>
          <w:tab w:leader="none" w:pos="8640" w:val="left"/>
          <w:tab w:leader="none" w:pos="9400" w:val="left"/>
          <w:tab w:leader="none" w:pos="9980" w:val="left"/>
          <w:tab w:leader="none" w:pos="10880" w:val="left"/>
        </w:tabs>
        <w:rPr>
          <w:sz w:val="20"/>
          <w:szCs w:val="20"/>
          <w:color w:val="auto"/>
        </w:rPr>
      </w:pPr>
      <w:r>
        <w:rPr>
          <w:rFonts w:ascii="Times New Roman" w:cs="Times New Roman" w:eastAsia="Times New Roman" w:hAnsi="Times New Roman"/>
          <w:sz w:val="18"/>
          <w:szCs w:val="18"/>
          <w:color w:val="auto"/>
        </w:rPr>
        <w:t>Reinsurance recoverable on paid claims, gross and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4,621</w:t>
        <w:tab/>
        <w:t>$</w:t>
      </w:r>
      <w:r>
        <w:rPr>
          <w:sz w:val="20"/>
          <w:szCs w:val="20"/>
          <w:color w:val="auto"/>
        </w:rPr>
        <w:tab/>
      </w:r>
      <w:r>
        <w:rPr>
          <w:rFonts w:ascii="Times New Roman" w:cs="Times New Roman" w:eastAsia="Times New Roman" w:hAnsi="Times New Roman"/>
          <w:sz w:val="17"/>
          <w:szCs w:val="17"/>
          <w:color w:val="auto"/>
        </w:rPr>
        <w:t>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Life Policies and Annuity Contracts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$5.1 million of life insurance reserves at both December 31, 2025 and 2024,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Company's experience and industry data. Interest rate assumptions used in establishing such reserves range from less than 1.0% to 4.5%. Under the arrangement, SFLIC is required to hold in trust an amount that covers all of the outstanding liabilities as of the reporting date.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$0.8 million and $0.8 million of annuity reserves at both December 31, 2025 and 2024, respectively, related to annuity contracts originally issued by Ullico, are 100% ceded to Sagicor Life Insurance Company, a Texas domestic company, in full transfer of risk related to these contracts. The annuity reserves are computed principally using assumptions based on the Company's experience and industry data. Interest rate assumptions used in establishing such reserves from less than 1.0%. Ceded life insurance and annuity reserves are included within Other assets and gross life insurance and annuity reserves are included within Other liabilities on the Consolidated Balance Sheets, respectively.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Company of its potential liability to the ultimate insured. However, given the transfer of underwriting risk, such potential liability is limited to the credit exposure which exists should the reinsurer be unable to meet its obligations under these reinsurance agreements. The Company evaluates its reinsurers on a regular basis including their ratings and financial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The Company recognizes ROU assets within Other assets, non-current and lease liabilities within Other liabilities, current, and Other liabilities, non-current in the Consolidated Balance Sheets. The Company subleases certain of its leases to third parties for which it receives rental income. These subleases are classified as operating leases. Certain leases include options to renew, with renewal terms that can extend the lease term. The exercise of lease renewal options is at the Company's sole discretion and such options are not recognized as part of the ROU asset and lease liability unless reasonably certain of exercise.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Lease Costs Recognized Under ASC 842:</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a summary of the lease costs recognized under ASC 842 and other information pertaining to the Company's operating leases for the years ended December 31, 2025, 2024, and 2023,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1,346</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6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1,141</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1,907</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2.4 years</w:t>
            </w:r>
          </w:p>
        </w:tc>
        <w:tc>
          <w:tcPr>
            <w:tcW w:w="16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3.3 years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10.31 %</w:t>
            </w:r>
          </w:p>
        </w:tc>
      </w:tr>
      <w:tr>
        <w:trPr>
          <w:trHeight w:val="904"/>
        </w:trPr>
        <w:tc>
          <w:tcPr>
            <w:tcW w:w="5300" w:type="dxa"/>
            <w:vAlign w:val="bottom"/>
          </w:tcPr>
          <w:p>
            <w:pPr>
              <w:spacing w:after="0"/>
              <w:rPr>
                <w:sz w:val="24"/>
                <w:szCs w:val="24"/>
                <w:color w:val="auto"/>
              </w:rPr>
            </w:pPr>
          </w:p>
        </w:tc>
        <w:tc>
          <w:tcPr>
            <w:tcW w:w="16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The following table summarizes the Company's future lease payments for non-cancelable operating lease liabilities at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Entity and Equity Method of Accounting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2022,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Since that initial financing, Character Biosciences has completed a series of additional capital raises through the issuance of its shares, each of which diluted the Company’s ownership. As of December 31, 2025, the Company’s ownership interest in Character Biosciences had decreased to approximately 8.1%.</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year ended December 31, 2025, it was concluded that the ability to exert significant influence over CB no longer exists at December 31, 2025. This change in conclusion was influenced by the recent rounds of funding dropping the Company's ownership below the 20% threshold and the lack of evidence to support continued significant influence. As a result, the Company has transitioned its recognition of its equity investment in CB from the equity method of accounting under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to fair value measurement under ASC 321, </w:t>
      </w:r>
      <w:r>
        <w:rPr>
          <w:rFonts w:ascii="Times New Roman" w:cs="Times New Roman" w:eastAsia="Times New Roman" w:hAnsi="Times New Roman"/>
          <w:sz w:val="18"/>
          <w:szCs w:val="18"/>
          <w:i w:val="1"/>
          <w:iCs w:val="1"/>
          <w:color w:val="auto"/>
        </w:rPr>
        <w:t>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In accordance with ASC 321, the Company recognized the fair value of its equity investment in CB on its Consolidated Balance Sheet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non-current and recognized the change in fair value within Other Income in its Consolidated Statement of Operations and Comprehensive Loss. See Note 4 "Fair Value Measurements" for further information regarding the valuation techniques and inputs used to determine the fair value of this Level 3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December 31, 2025, and December 31, 2024,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we will record accruals for loss contingencies when it is probable that a liability has been incurred and the amount of loss can be reasonably estimated.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and Investigations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Savings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matching service contributions to the 401(k) Plan amounted to approximately $2.0 million, $2.0 million, and $1.8 million for the years ended December 31, 2025, 2024, and 2023, respectively, and are included within Salaries and benefits on the Consolidated Statements of Operations and Comprehensive Loss. The Company's cash match is invested pursuant to the participant's contribution direction. Employer matching contributions are immediately 100.0% vested.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On March 9, 2022, the Board adopted the Company's 2022 Inducement Award Plan (the "Inducement Plan" and, collectively with the 2020 Plan, the 2020 MIP, and the 2014 Plan, the "Plans") without stockholder approval in accordance with NASDAQ's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maximum number of shares of the Company's common stock reserved for issuance over the term of the Plans, shares outstanding under the Plans, and shares remaining under the Plans at December 31, 2025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0"/>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2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7320" w:type="dxa"/>
            <w:vAlign w:val="bottom"/>
            <w:gridSpan w:val="2"/>
            <w:vMerge w:val="continue"/>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 Plan</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33,737,271</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97,638,080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37,105,462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6,714,827</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MIP</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20,056,191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3,344,178</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RSUs, and PRSUs granted under the Plans, and discounts offered in connection with the Company's 2020 Employee Stock Purchase Plan ("ESPP") of $103.7 million, $114.3 million, and $140.9 million during the years ended December 31, 2025, 2024, and 2023 respectively, and such expenses are presented within Salaries and benefits in the accompanying Consolidated Statements of Operations and Comprehensive Loss.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presented within Salaries and benefits within the accompanying Consolidated Statements of Operations and Comprehensive Loss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83,790</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cost recognized for stock-based compensation plans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there was approximately $349.2 million of unrecognized stock-based compensation expense related to unvested stock options, unvested RSUs, unvested PRSUs, and the ESPP.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did not grant stock options during fiscal years 2025 and 2024.</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option activity under the 2020 Plan during the year ended December 31, 2025,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86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5"/>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2014 Plan during the year ended December 31, 2025, was as follows: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40" w:type="dxa"/>
            <w:vAlign w:val="bottom"/>
          </w:tcPr>
          <w:p>
            <w:pPr>
              <w:spacing w:after="0"/>
              <w:rPr>
                <w:sz w:val="24"/>
                <w:szCs w:val="24"/>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2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23,465,666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22,990,399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-1593850</wp:posOffset>
            </wp:positionV>
            <wp:extent cx="514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-1756410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-187960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outstanding stock options, substantially all of which are expected to vest, had an aggregate value of $7.1 million, and a weighted-average remaining contractual term of 3.34 years. At December 31, 2025, there were 23,764,258 stock options exercisable under the Plans, with an aggregate intrinsic value of $7.1 million, a weighted-average exercise price of $2.95 per share, and a weighted-average remaining contractual term of 3.34 years. The total value of stock options exercised during the years ended December 31, 2025, 2024, and 2023 was $1.4 million, $0.9 million, and $0.1 million respectively. Cash received from stock option exercises during the years ended December 31, 2025, 2024, and 2023 was $0.7 million, $0.5 million, and less than $0.1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6"/>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total RSU activity for the year ended December 31, 2025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64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6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86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55,731,587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16,324,638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(1,851,427)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42,953,954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A significant portion of the total compensation cost recognized for stock-based compensation plans is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that the Company used in the Monte Carlo model to determine the grant date fair value of Market PRSUs granted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5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7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(2)</w:t>
            </w:r>
          </w:p>
        </w:tc>
        <w:tc>
          <w:tcPr>
            <w:tcW w:w="5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(3)</w:t>
            </w:r>
          </w:p>
        </w:tc>
        <w:tc>
          <w:tcPr>
            <w:tcW w:w="5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ind w:left="160" w:hanging="152"/>
        <w:spacing w:after="0"/>
        <w:tabs>
          <w:tab w:leader="none" w:pos="16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Expected volatility is based on a blend of peer group company historical data adjusted for the Company's leverage.</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Risk-free interest rate based on U.S. Treasury yields with a term equal to the remaining Performance Period at the grant date.</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the market condition component of these PRSUs has not been met, so the awards have not been earned. This expense represents most of the PRSU expense recognized for the year ended December 31, 2025 related to stock-based compensation plans which is presented within Salaries and benefits in the accompanying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PRSU activity for the year ended December 31, 2025 is presented below:</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grant</w:t>
            </w:r>
          </w:p>
        </w:tc>
        <w:tc>
          <w:tcPr>
            <w:tcW w:w="0" w:type="dxa"/>
            <w:vAlign w:val="bottom"/>
          </w:tcPr>
          <w:p>
            <w:pPr>
              <w:spacing w:after="0"/>
              <w:rPr>
                <w:sz w:val="1"/>
                <w:szCs w:val="1"/>
                <w:color w:val="auto"/>
              </w:rPr>
            </w:pPr>
          </w:p>
        </w:tc>
      </w:tr>
      <w:tr>
        <w:trPr>
          <w:trHeight w:val="184"/>
        </w:trPr>
        <w:tc>
          <w:tcPr>
            <w:tcW w:w="8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6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PRSUs</w:t>
            </w: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1, 2025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29,151,407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during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for performance condition achieved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8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27,523,030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was $0.2 million of unrecognized share-based compensation expense related to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December 31, 2025, 12,161,176 shares of Class A common stock were available for issuance under the ESPP.</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in the Black-Scholes option-pricing model to determine the fair value of the purchase rights under the ESPP for the years ended December 31, 2025, 2024, and 2023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0.49 years</w:t>
            </w:r>
          </w:p>
        </w:tc>
        <w:tc>
          <w:tcPr>
            <w:tcW w:w="1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0.49 years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These activities were concluded by December 31, 2024. For the years ended December 31, 2025, 2024, and 2023 the Company recognized zero and $0.3 million, $9.8 million, respectively, of expenses related to these activities in the Consolidated Statements of Operations and Comprehensive Loss. As of December 31, 2025, the remaining vendor-related liability is being reduced through the contractually scheduled payments. This liability is recognized within Accounts payable and accrued expenses in the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16. Discontinued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2023, the Company notified CMS that it would no longer participate as a REACH ACO in connection with the 2024 performance year. The Company’s exit from the ACO REACH Program was made after the Company determined that it was in its best interest to fully exit the program, following its November 2022 announcement of a strategic reduction in the number of ACO REACH participating physicians in 2023. Subsequent to the 2023 performance year, the remaining activities related to the December 2024 settlement with CMS for prior performance years. During the years ended December 31, 2025, 2024, and 2023, the Company recognized zero, net income of $3.3 million, and a net loss of $3.2 million,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w:t>
            </w: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(85,574)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income taxes</w:t>
            </w:r>
          </w:p>
        </w:tc>
        <w:tc>
          <w:tcPr>
            <w:tcW w:w="2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years ended December 31, 2025, 2024, and 2023, respectively: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2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2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benefit differs from the amount computed by applying the U.S. federal statutory income tax rate of 21% to loss before income taxes primarily due to changes in the valuation allowance, tax credits, and permanent differences. Because the Company has recorded a full valuation allowance against its U.S. deferred tax assets, the tax benefit that would otherwise be expected from current-year losses is substantially offset, resulting in an effective tax rate of zero for the periods presented. For the years ended December 31, 2025, 2024 and 2023, the Company incurred losses from continuing operations before income taxes, all of which were attributable to domestic operations. The Company does not have material foreign operations. A reconciliation of the U.S. Federal statutory tax rate to our December 31, 2025, 2024, and 2023 annual tax rate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bottom w:val="single" w:sz="8" w:color="auto"/>
            </w:tcBorders>
          </w:tcPr>
          <w:p>
            <w:pPr>
              <w:spacing w:after="0"/>
              <w:rPr>
                <w:sz w:val="19"/>
                <w:szCs w:val="19"/>
                <w:color w:val="auto"/>
              </w:rPr>
            </w:pPr>
          </w:p>
        </w:tc>
      </w:tr>
      <w:tr>
        <w:trPr>
          <w:trHeight w:val="184"/>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Tax Rate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Tax Rate</w:t>
            </w: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176"/>
        </w:trPr>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benefits</w:t>
            </w:r>
          </w:p>
        </w:tc>
        <w:tc>
          <w:tcPr>
            <w:tcW w:w="140" w:type="dxa"/>
            <w:vAlign w:val="bottom"/>
          </w:tcPr>
          <w:p>
            <w:pPr>
              <w:spacing w:after="0"/>
              <w:rPr>
                <w:sz w:val="21"/>
                <w:szCs w:val="21"/>
                <w:color w:val="auto"/>
              </w:rPr>
            </w:pP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tcPr>
          <w:p>
            <w:pPr>
              <w:spacing w:after="0"/>
              <w:rPr>
                <w:sz w:val="19"/>
                <w:szCs w:val="19"/>
                <w:color w:val="auto"/>
              </w:rPr>
            </w:pP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162(m) limitation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175"/>
        </w:trPr>
        <w:tc>
          <w:tcPr>
            <w:tcW w:w="3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Nontaxable or nondeductible expenses,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true-up</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income taxes paid in 2025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6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6160" w:type="dxa"/>
            <w:vAlign w:val="bottom"/>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74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Principal components of net deferred tax balances at December 31, 2025 and 2024, respectively, were as follows: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8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0"/>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 (NOL)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331,313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319,934</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71,475</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claim reserve discounting</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411,072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403,081</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(400,809)</w:t>
            </w:r>
          </w:p>
        </w:tc>
      </w:tr>
      <w:tr>
        <w:trPr>
          <w:trHeight w:val="22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 net of valuation allowance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37"/>
        </w:trPr>
        <w:tc>
          <w:tcPr>
            <w:tcW w:w="8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Nontaxable gain on deconsolidation of entity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and tax credit carryforwards and protective tax deposits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and 2024, the Company had a Federal net operating loss carryforward of $1,577.7 million and $1,523.5 million. Of the $1,577.7 million, Federal net operating loss carryforwards, $249.2 million begin to expire in 2035, and $1,328.5 million may be carried forward indefinitely, with the exception of net operating losses for the insurance companies. Under Internal Revenue Code Section 382, if a corporation undergoes and "ownership change", the corporation's ability to use its pre-change NOL. carryforwards and other pre-change tax attributes to offset its post-change income may be limited. The Company has completed a study through January 7, 2021 and concluded that ownership changes have occurred that may limit their utilization in future periods.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carryforwards ultimately depends on the existence of sufficient taxable income within the carryforward period. At December 31, 2025 and 2024,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2025 and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deposits admitted under Section 6603 of the Internal Revenue Code.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tax planning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tax planning strategies that include the use of reinsurance and there are no deferred tax liabilities not recognized.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The U.S. Internal Revenue Service ("IRS") is not currently conducting any income tax audits of the Company's returns. The Company's federal income tax returns filed related to tax years subsequent to 2022 remain subject to examination by the IRS. The Company is not aware of any material adjustments that may be proposed as a result of any ongoing or future examinations and does not have material uncertain tax positions reflected in the Consolidated Balance Sheets.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3" w:name="page104"/>
    <w:bookmarkEnd w:id="103"/>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(the “IRA”), which contains a number of tax-related provisions, including a 15% corporate alternative minimum tax imposed on certain corporations that meet an income-based test, as well as a 1% nondeductible excise tax on certain stock repurchases. The Company is not subject to the alternative minimum tax in 2025 based on the income-based test and it will continue to evaluate the IRA’s impact as further information becomes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enacts significant changes to the US federal corporate income tax system. The legislation includes, among other provisions, modifications to the treatment of research and development expenditures, permanent 100% bonus depreciation, and changes to the interest deduction limitation under Section 163(j). The legislation does not have a material impact on the Company’s consolidated financial statements.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aim to provide more transparency regarding tax disclosures mainly related to the rate reconciliation and income taxes paid information. ASU 2023-09 is effective for fiscal years beginning after December 15, 2024. The Company adopted ASU 2023-09 applied on a prospective basis as of December 31, 2025. The adoption impacted income tax disclosures only, primarily related to the effective tax rate reconciliation and income taxes paid, and did not have a material impact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 thousands, except for per share and share amounts)</w:t>
            </w:r>
          </w:p>
        </w:tc>
      </w:tr>
      <w:tr>
        <w:trPr>
          <w:trHeight w:val="23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(210,148)</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attributable to common stockholders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7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and common share equivalents outstanding, basic and</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511,967,146</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490,018,730</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482,176,127</w:t>
            </w:r>
          </w:p>
        </w:tc>
      </w:tr>
      <w:tr>
        <w:trPr>
          <w:trHeight w:val="270"/>
        </w:trPr>
        <w:tc>
          <w:tcPr>
            <w:tcW w:w="7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 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potentially dilutive shares that were excluded from the computation of diluted net loss per share of common stock: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9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23,764,258</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24,269,793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24,994,653</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42,953,954</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55,731,587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56,928,405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27,523,030</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29,151,407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32,131,532</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 excluded from computation of net loss per share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94,241,242</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109,152,787</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114,054,590</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7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19. Operating Segments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 During the year ended December 31, 2025, the Company started presenting Insurance gross profit, defined as premiums earned, net less net medical claims incurred, as the primary measure of segment performance, consistent with the measure reviewed by the CODM. The CODM also uses insurance gross profit in competitive analysis by benchmarking to the Company’s competitors. The competitive analysis along with the monitoring of budgeted versus actual results are used in assessing performance of the segment and in establishing management’s compensation. Selling, general and administrative expenses are reviewed on a consolidated basis and are therefore excluded from segment results and included in reconciling items to consolidated net loss from continuing operations. The accounting policies of the Insurance segment are the same as those described in the summary of significant accounting policies.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00" w:type="dxa"/>
            <w:vAlign w:val="bottom"/>
            <w:tcBorders>
              <w:bottom w:val="single" w:sz="8" w:color="auto"/>
            </w:tcBorders>
          </w:tcPr>
          <w:p>
            <w:pPr>
              <w:spacing w:after="0"/>
              <w:rPr>
                <w:sz w:val="20"/>
                <w:szCs w:val="20"/>
                <w:color w:val="auto"/>
              </w:rPr>
            </w:pP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 Segment</w:t>
            </w: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0"/>
        </w:trPr>
        <w:tc>
          <w:tcPr>
            <w:tcW w:w="7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3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earned, net (net of ceded premiums)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1,891,732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1,344,881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1,235,769</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medical claims incurred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1,010,289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1,003,683</w:t>
            </w:r>
          </w:p>
        </w:tc>
      </w:tr>
      <w:tr>
        <w:trPr>
          <w:trHeight w:val="223"/>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232,086</w:t>
            </w:r>
          </w:p>
        </w:tc>
      </w:tr>
      <w:tr>
        <w:trPr>
          <w:trHeight w:val="237"/>
        </w:trPr>
        <w:tc>
          <w:tcPr>
            <w:tcW w:w="7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Elimination of intersegment profits (losses)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w:t>
            </w:r>
          </w:p>
        </w:tc>
      </w:tr>
      <w:tr>
        <w:trPr>
          <w:trHeight w:val="229"/>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(257,157)</w:t>
            </w:r>
          </w:p>
        </w:tc>
      </w:tr>
      <w:tr>
        <w:trPr>
          <w:trHeight w:val="23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(183,089)</w:t>
            </w:r>
          </w:p>
        </w:tc>
      </w:tr>
      <w:tr>
        <w:trPr>
          <w:trHeight w:val="229"/>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 and other intangible assets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r>
      <w:tr>
        <w:trPr>
          <w:trHeight w:val="23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 deficiency reserve benefit</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3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3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r>
      <w:tr>
        <w:trPr>
          <w:trHeight w:val="229"/>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2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(210,148)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Dividend Restrictions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Accordingly, the Company’s regulated insurance subsidiaries’ ability to declare and pay dividends is limited by state regulations, including requirements to obtain prior approval from the New Jersey Department of Banking and 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Statutory Equity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insurance department regulations require that the Company's regulated insurance subsidiaries prepare statutory consolidated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 (b) certain statutory reserves are established by a direct charge to surplus, and (c) certain charges are reported as charges to capital and surplus, rather than as a component of net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5" w:name="page106"/>
    <w:bookmarkEnd w:id="105"/>
    <w:p>
      <w:pPr>
        <w:jc w:val="both"/>
        <w:spacing w:after="0" w:line="255" w:lineRule="auto"/>
        <w:rPr>
          <w:sz w:val="20"/>
          <w:szCs w:val="20"/>
          <w:color w:val="auto"/>
        </w:rPr>
      </w:pPr>
      <w:r>
        <w:rPr>
          <w:rFonts w:ascii="Times New Roman" w:cs="Times New Roman" w:eastAsia="Times New Roman" w:hAnsi="Times New Roman"/>
          <w:sz w:val="18"/>
          <w:szCs w:val="18"/>
          <w:color w:val="auto"/>
        </w:rPr>
        <w:t>The regulated insurance subsidiaries are subject to certain Risk-Based Capital ("RBC") requirements specified by the National Association of Insurance Commissioners ("NAIC"). Under those requirements, the amount of capital and surplus maintained by the Company's regulated insurance subsidiaries is to be determined based on various risk factors, such as (a) asset quality, (b) asset and liability matching, (c) loss reserve adequacy, and other business factors. Regulatory compliance is determined by a ratio of the Company's regulatory total adjusted capital, as defined by the NAIC, to its authorized control level RBC, as defined by the NAIC. Generally, a ratio in excess of the regulatory threshold requires no corrective actions by the Company or regulators. At December 31, 2025 and 2024, the regulated insurance subsidiaries' capital and surplus of $212.6 million and $178.8 million, respectively, exceeded the minimum RBC requirements of approximately $185.1 million and $114.1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Regulatory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a highly regulated environment. It is regulated by federal and state of New Jersey regulators. The Company's regulated insurance subsidiaries must be licensed by and are subject to regulation by New Jersey Department of Banking and Insurance, which requires periodic financial reports and enforces minimum capital and/or reserve requirements.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laws and regulations governing the Company's business and interpretations of those laws and regulations are subject to frequent change. Legislative, administrative, and public policy changes to the Health Care Reform Law continue to be debated, and the Company cannot predict if the Health Care Reform Law will be further modified, repealed, or replaced. The broad latitude given to the agencies administering, interpreting and enforcing current and future regulations governing the Company's business could require the Company to change how it conducts its business, restrict revenue and enrollment growth, increase health care and administrative costs and capital requirements, or expose the Company to increased liability in the courts for coverage determinations, contract interpretation and other actions.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 care industry is also regularly subject to negative publicity, including as a result of governmental investigations, adverse media coverage and political debate surrounding industry regulation. Negative publicity may adversely affect the Company's financial position, results of operations and cash flows and damage its reputation.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BALANCE SHEETS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securities, available-for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interest receivable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note receivable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consolidated subsidiaries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shd w:val="clear" w:color="auto" w:fill="CCEEFF"/>
          </w:tcPr>
          <w:p>
            <w:pPr>
              <w:ind w:left="29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payable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discount and deferred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2,500,000,000 shares authorized at December 31, 2025 and 2024;</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426,669,369 and 414,493,051 issued and outstanding at December 31, 2025 and 2024, respectively</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500,000,000 shares authorized at December 31, 2025 and 2024;</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92,373,157 and 89,032,305 issued and outstanding at December 31, 2025 and 2024, respectively</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Treasury stock, at cost; 33,412,273 and 18,752,947 shares held at December 31, 2025 and 2024,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2"/>
        </w:trPr>
        <w:tc>
          <w:tcPr>
            <w:tcW w:w="20" w:type="dxa"/>
            <w:vAlign w:val="bottom"/>
            <w:vMerge w:val="continue"/>
          </w:tcPr>
          <w:p>
            <w:pPr>
              <w:spacing w:after="0"/>
              <w:rPr>
                <w:sz w:val="24"/>
                <w:szCs w:val="24"/>
                <w:color w:val="auto"/>
              </w:rPr>
            </w:pPr>
          </w:p>
        </w:tc>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CONDENSED </w:t>
      </w:r>
      <w:r>
        <w:rPr>
          <w:rFonts w:ascii="Times New Roman" w:cs="Times New Roman" w:eastAsia="Times New Roman" w:hAnsi="Times New Roman"/>
          <w:sz w:val="18"/>
          <w:szCs w:val="18"/>
          <w:color w:val="231F20"/>
        </w:rPr>
        <w:t>STATEMENTS OF OPERATIONS AND COMPREHENSIVE LOSS</w:t>
      </w:r>
      <w:r>
        <w:rPr>
          <w:rFonts w:ascii="Times New Roman" w:cs="Times New Roman" w:eastAsia="Times New Roman" w:hAnsi="Times New Roman"/>
          <w:sz w:val="18"/>
          <w:szCs w:val="18"/>
          <w:color w:val="auto"/>
        </w:rPr>
        <w:t xml:space="preserve">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losses of consolidated subsidiaries</w:t>
            </w:r>
          </w:p>
        </w:tc>
        <w:tc>
          <w:tcPr>
            <w:tcW w:w="26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216,970</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on available-for-sale investments</w:t>
            </w:r>
          </w:p>
        </w:tc>
        <w:tc>
          <w:tcPr>
            <w:tcW w:w="2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(213,361)</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6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CASH FLOWS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Intercompany stock-based compensation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extinguishment of note payable</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net of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accrued interest earned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realized losses on investment securities</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accrued salaries and benefits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payable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 and available-for-sale securities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short-term investments and available-for-sale securities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short-term investments available-for-sale securities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173,620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consolidated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65,448</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net of early exercise liability</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 net of stock issuance costs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related to stock-based compensation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CLOVER HEALTH INVESTMENTS,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Financial Statements (Parent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Clover Health Investments, Corp. (the "Company") is a holding company incorporated on July 17, 2014, in the state of Delaware.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U.S.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Subsidiaries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consolidated subsidiaries include regulated insurance subsidiaries and unregulated subsidiaries. The Company holds $122.0 million and $151.5 million of cash, cash equivalents, and investment securities at the parent and unregulated subsidiaries at December 31, 2025 and 2024, respectively. The Company holds $197.9 million and $286.1 million of cash, cash equivalents, and investment securities in regulated insurance subsidiaries at December 31,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Surplus Note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December 22, 2016, the Company contributed $40.0 million to Clover Insurance Company, a wholly-owned subsidiary, in exchange for a surplus note. The outstanding balance, including accrued interest, was due and payable on December 31, 2020, but remains unpaid with the payment terms under review for extension by the Commissioner of Banking and Insurance of the State of New Jersey. In accordance with the New Jersey Department of Banking and Insurance regulations, the Company filed a Form D with the department requesting an extension of payment until December 31, 2027. No payment of principal or interest on the surplus note shall be made without the prior written approval of the Commissioner of Banking and Insurance of the State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860" w:type="dxa"/>
            <w:vAlign w:val="bottom"/>
            <w:gridSpan w:val="5"/>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8"/>
              </w:rPr>
              <w:t>CLOVER HEALTH INVESTMENTS, CORP.</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38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02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color w:val="auto"/>
                <w:w w:val="98"/>
              </w:rPr>
              <w:t>VALUATION AND QUALIFYING ACCOUNTS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 at</w:t>
            </w:r>
          </w:p>
        </w:tc>
        <w:tc>
          <w:tcPr>
            <w:tcW w:w="16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Charged to</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Charge to other</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beginning</w:t>
            </w:r>
          </w:p>
        </w:tc>
        <w:tc>
          <w:tcPr>
            <w:tcW w:w="160" w:type="dxa"/>
            <w:vAlign w:val="bottom"/>
          </w:tcPr>
          <w:p>
            <w:pPr>
              <w:spacing w:after="0"/>
              <w:rPr>
                <w:sz w:val="15"/>
                <w:szCs w:val="15"/>
                <w:color w:val="auto"/>
              </w:rPr>
            </w:pPr>
          </w:p>
        </w:tc>
        <w:tc>
          <w:tcPr>
            <w:tcW w:w="11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costs and</w:t>
            </w: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of period</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end of period</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396,906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3,903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400,809</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400,809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7,188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407,997</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Form 10-K,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December 31, 2025, pursuant to Rule 13a-15(b) under the Exchange Act. Based upon that evaluation, our Certifying Officers concluded that, at December 31, 2025, our disclosure controls and procedures were effective at achieving their intended objective.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a control system, no matter how well-designed and operated, can provide only reasonable, not absolute, assurance that it will detect or uncover failures to disclose material information required to be set forth in our periodic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is defined in Rule 13a-15(f) promulgated under the Exchange Act as a process designed by, or under the supervision of, our principal executive and principal financial officers and effected by our Board, management, and other personnel, to provide reasonable assurance regarding the reliability of financial reporting and the preparation of the consolidated financial statements for external purposes in accordance with U.S. generally accepted accounting principles ("GAAP") and includes those policies and procedures that:</w:t>
      </w:r>
    </w:p>
    <w:p>
      <w:pPr>
        <w:spacing w:after="0" w:line="12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No change occurred during the fourth quarter of 2025 that has materially affected, or is reasonably likely to materially affect, our internal control over financial reporting. Management's report on internal control over financial reporting is set forth below and should be read with these limitations in mind.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of the Exchange Act. Management assessed the effectiveness of our internal control over financial reporting at December 31, 2025,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management's assessment and the criteria set forth by COSO, our management determined that our internal control over financial reporting was effective at December 31,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at December 31, 2025 has been by Ernst &amp; Young LLP, an independent registered public accounting firm (PCAOBID: 42), as stated in their report that appears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2" w:name="page113"/>
    <w:bookmarkEnd w:id="11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Shareholders and the Board of Directors of Clover Health Investments, Corp.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We have audited Clover Health Investments, Corp.’s internal control over financial reporting as of December 31, 2025, based on criteria established in Internal Control—Integrated Framework issued by the Committee of Sponsoring Organizations of the Treadway Commission (2013 framework) (the COSO criteria). In our opinion, Clover Health Investments, Corp. (the Company) maintained, in all material respects, effective internal control over financial reporting as of December 31, 2025, based on the COSO criteria.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changes stockholders’ equity and cash flows for each of the three years in the period ended December 31, 2025, and the related notes and financial statement schedules listed in the Index at Item 15 and our report dated February 27, 2026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three-months ended December 31, 2025, none of the Company’s directors or officers (as defined in Rule 16a-1(f) of the Exchange Act) adopted or terminated (including by modification) a Rule 10b5-1 trading arrangement or non-Rule 10b5-1 trading arrangement (as such terms are defined in Item 408(a) of Regulation S-K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the Company's definitive proxy statement for the 2026 Annual Meeting of Stockholders, to be filed by the Company with the SEC pursuant to Regulation 14A within 120 days after the year ended December 31, 2025 ("the 2026 Proxy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to our 2026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is incorporated herein by reference to our 2026 Proxy Statement, and it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to our 2026 Proxy Statement, and it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to our 2026 Proxy Statement, and it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Financial Statement Schedules, and exhibits set forth below are filed as part of this Form 10-K.</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Statements-The response to this portion of Item 15 is submitted as Item 8 of Part II of this Form 10-K.</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Schedules-The response to this portion of Item 15 is submitted as Item 8 of Part II of this Form 10-K.</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exhibits to this Form 10-K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60" w:type="dxa"/>
            <w:vAlign w:val="bottom"/>
            <w:gridSpan w:val="4"/>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12"/>
                <w:szCs w:val="12"/>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vMerge w:val="restart"/>
          </w:tcPr>
          <w:p>
            <w:pPr>
              <w:spacing w:after="0"/>
              <w:rPr>
                <w:sz w:val="12"/>
                <w:szCs w:val="12"/>
                <w:color w:val="auto"/>
              </w:rPr>
            </w:pP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 w:type="dxa"/>
            <w:vAlign w:val="bottom"/>
            <w:vMerge w:val="restart"/>
          </w:tcPr>
          <w:p>
            <w:pPr>
              <w:spacing w:after="0"/>
              <w:rPr>
                <w:sz w:val="12"/>
                <w:szCs w:val="12"/>
                <w:color w:val="auto"/>
              </w:rPr>
            </w:pPr>
          </w:p>
        </w:tc>
        <w:tc>
          <w:tcPr>
            <w:tcW w:w="10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0" w:type="dxa"/>
            <w:vAlign w:val="bottom"/>
            <w:vMerge w:val="restart"/>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8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6"/>
          </w:tcPr>
          <w:p>
            <w:pPr>
              <w:spacing w:after="0" w:line="20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Agreement and Plan of Merger, dated as of October 5, 2020, by and</w:t>
              </w:r>
            </w:hyperlink>
          </w:p>
        </w:tc>
        <w:tc>
          <w:tcPr>
            <w:tcW w:w="6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299"/>
              <w:spacing w:after="0" w:line="202" w:lineRule="exact"/>
              <w:rPr>
                <w:sz w:val="20"/>
                <w:szCs w:val="20"/>
                <w:color w:val="auto"/>
              </w:rPr>
            </w:pPr>
            <w:r>
              <w:rPr>
                <w:rFonts w:ascii="Times New Roman" w:cs="Times New Roman" w:eastAsia="Times New Roman" w:hAnsi="Times New Roman"/>
                <w:sz w:val="18"/>
                <w:szCs w:val="18"/>
                <w:color w:val="auto"/>
                <w:w w:val="99"/>
              </w:rPr>
              <w:t>001-39252</w:t>
            </w:r>
          </w:p>
        </w:tc>
        <w:tc>
          <w:tcPr>
            <w:tcW w:w="80" w:type="dxa"/>
            <w:vAlign w:val="bottom"/>
          </w:tcPr>
          <w:p>
            <w:pPr>
              <w:spacing w:after="0"/>
              <w:rPr>
                <w:sz w:val="17"/>
                <w:szCs w:val="17"/>
                <w:color w:val="auto"/>
              </w:rPr>
            </w:pPr>
          </w:p>
        </w:tc>
        <w:tc>
          <w:tcPr>
            <w:tcW w:w="940" w:type="dxa"/>
            <w:vAlign w:val="bottom"/>
          </w:tcPr>
          <w:p>
            <w:pPr>
              <w:jc w:val="right"/>
              <w:ind w:right="616"/>
              <w:spacing w:after="0" w:line="202" w:lineRule="exact"/>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7"/>
                <w:szCs w:val="17"/>
                <w:color w:val="auto"/>
              </w:rPr>
            </w:pPr>
          </w:p>
        </w:tc>
        <w:tc>
          <w:tcPr>
            <w:tcW w:w="1060" w:type="dxa"/>
            <w:vAlign w:val="bottom"/>
          </w:tcPr>
          <w:p>
            <w:pPr>
              <w:jc w:val="right"/>
              <w:ind w:right="136"/>
              <w:spacing w:after="0" w:line="202" w:lineRule="exact"/>
              <w:rPr>
                <w:sz w:val="20"/>
                <w:szCs w:val="20"/>
                <w:color w:val="auto"/>
              </w:rPr>
            </w:pPr>
            <w:r>
              <w:rPr>
                <w:rFonts w:ascii="Times New Roman" w:cs="Times New Roman" w:eastAsia="Times New Roman" w:hAnsi="Times New Roman"/>
                <w:sz w:val="18"/>
                <w:szCs w:val="18"/>
                <w:color w:val="auto"/>
                <w:w w:val="99"/>
              </w:rPr>
              <w:t>10/06/2020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gridSpan w:val="6"/>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among the Registrant, Asclepius Merger Sub Inc. and Clover Health</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Investments, Corp.</w:t>
              </w:r>
            </w:hyperlink>
          </w:p>
        </w:tc>
        <w:tc>
          <w:tcPr>
            <w:tcW w:w="3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2.1(a)</w:t>
            </w: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160" w:type="dxa"/>
            <w:vAlign w:val="bottom"/>
            <w:tcBorders>
              <w:left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260" w:type="dxa"/>
            <w:vAlign w:val="bottom"/>
            <w:gridSpan w:val="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to the Agreement and Plan of Merger, dated as of</w:t>
              </w:r>
            </w:hyperlink>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w w:val="99"/>
              </w:rPr>
              <w:t>001-39252</w:t>
            </w:r>
          </w:p>
        </w:tc>
        <w:tc>
          <w:tcPr>
            <w:tcW w:w="80" w:type="dxa"/>
            <w:vAlign w:val="bottom"/>
          </w:tcPr>
          <w:p>
            <w:pPr>
              <w:spacing w:after="0"/>
              <w:rPr>
                <w:sz w:val="21"/>
                <w:szCs w:val="21"/>
                <w:color w:val="auto"/>
              </w:rPr>
            </w:pPr>
          </w:p>
        </w:tc>
        <w:tc>
          <w:tcPr>
            <w:tcW w:w="9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21"/>
                <w:szCs w:val="21"/>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9"/>
              </w:rPr>
              <w:t>12/10/2020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December 8, 2020</w:t>
              </w:r>
            </w:hyperlink>
          </w:p>
        </w:tc>
        <w:tc>
          <w:tcPr>
            <w:tcW w:w="7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76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Amended and Restated Certificate of Incorporation of the Registrant</w:t>
              </w:r>
            </w:hyperlink>
          </w:p>
        </w:tc>
        <w:tc>
          <w:tcPr>
            <w:tcW w:w="220" w:type="dxa"/>
            <w:vAlign w:val="bottom"/>
            <w:gridSpan w:val="6"/>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50"/>
        </w:trPr>
        <w:tc>
          <w:tcPr>
            <w:tcW w:w="40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Second Amended and Restated Bylaws of the Registrant</w:t>
              </w:r>
            </w:hyperlink>
          </w:p>
        </w:tc>
        <w:tc>
          <w:tcPr>
            <w:tcW w:w="1100" w:type="dxa"/>
            <w:vAlign w:val="bottom"/>
            <w:gridSpan w:val="14"/>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06/25/2024</w:t>
            </w:r>
          </w:p>
        </w:tc>
      </w:tr>
      <w:tr>
        <w:trPr>
          <w:trHeight w:val="250"/>
        </w:trPr>
        <w:tc>
          <w:tcPr>
            <w:tcW w:w="45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Specimen Class A Common Stock Certificate of the Registrant</w:t>
              </w:r>
            </w:hyperlink>
          </w:p>
        </w:tc>
        <w:tc>
          <w:tcPr>
            <w:tcW w:w="620" w:type="dxa"/>
            <w:vAlign w:val="bottom"/>
            <w:gridSpan w:val="12"/>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333-249558</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11/20/2020</w:t>
            </w:r>
          </w:p>
        </w:tc>
      </w:tr>
      <w:tr>
        <w:trPr>
          <w:trHeight w:val="250"/>
        </w:trPr>
        <w:tc>
          <w:tcPr>
            <w:tcW w:w="45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Specimen Class B Common Stock Certificate of the Registrant</w:t>
              </w:r>
            </w:hyperlink>
          </w:p>
        </w:tc>
        <w:tc>
          <w:tcPr>
            <w:tcW w:w="640" w:type="dxa"/>
            <w:vAlign w:val="bottom"/>
            <w:gridSpan w:val="13"/>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S-4/A</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333-249558</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11/20/2020</w:t>
            </w:r>
          </w:p>
        </w:tc>
      </w:tr>
      <w:tr>
        <w:trPr>
          <w:trHeight w:val="250"/>
        </w:trPr>
        <w:tc>
          <w:tcPr>
            <w:tcW w:w="18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Description of Securities</w:t>
              </w:r>
            </w:hyperlink>
          </w:p>
        </w:tc>
        <w:tc>
          <w:tcPr>
            <w:tcW w:w="3380" w:type="dxa"/>
            <w:vAlign w:val="bottom"/>
            <w:gridSpan w:val="24"/>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02/28/2022</w:t>
            </w: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Indemnification Agreement</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0"/>
        </w:trPr>
        <w:tc>
          <w:tcPr>
            <w:tcW w:w="15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4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Amended and Restated 2014 Equity Incentive Plan, and forms of</w:t>
              </w:r>
            </w:hyperlink>
          </w:p>
        </w:tc>
        <w:tc>
          <w:tcPr>
            <w:tcW w:w="480" w:type="dxa"/>
            <w:vAlign w:val="bottom"/>
            <w:gridSpan w:val="11"/>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S-4</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333-249558</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10/20/2020</w:t>
            </w:r>
          </w:p>
        </w:tc>
      </w:tr>
      <w:tr>
        <w:trPr>
          <w:trHeight w:val="196"/>
        </w:trPr>
        <w:tc>
          <w:tcPr>
            <w:tcW w:w="5180" w:type="dxa"/>
            <w:vAlign w:val="bottom"/>
            <w:gridSpan w:val="2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agreement thereunder</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2020 Equity Incentive Plan and forms of agreement thereunder</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50"/>
        </w:trPr>
        <w:tc>
          <w:tcPr>
            <w:tcW w:w="26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2020 Employee Stock Purchase Plan</w:t>
              </w:r>
            </w:hyperlink>
          </w:p>
        </w:tc>
        <w:tc>
          <w:tcPr>
            <w:tcW w:w="1880" w:type="dxa"/>
            <w:vAlign w:val="bottom"/>
            <w:tcBorders>
              <w:top w:val="single" w:sz="8" w:color="0000FF"/>
            </w:tcBorders>
            <w:gridSpan w:val="3"/>
          </w:tcPr>
          <w:p>
            <w:pPr>
              <w:spacing w:after="0"/>
              <w:rPr>
                <w:sz w:val="21"/>
                <w:szCs w:val="21"/>
                <w:color w:val="auto"/>
              </w:rPr>
            </w:pPr>
          </w:p>
        </w:tc>
        <w:tc>
          <w:tcPr>
            <w:tcW w:w="640" w:type="dxa"/>
            <w:vAlign w:val="bottom"/>
            <w:gridSpan w:val="13"/>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Management Incentive Plan</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0"/>
        </w:trPr>
        <w:tc>
          <w:tcPr>
            <w:tcW w:w="18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Executive Incentive Bonus Plan</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01/12/2021</w:t>
            </w:r>
          </w:p>
        </w:tc>
      </w:tr>
      <w:tr>
        <w:trPr>
          <w:trHeight w:val="20"/>
        </w:trPr>
        <w:tc>
          <w:tcPr>
            <w:tcW w:w="18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Employment Agreement, effective as of December 31, 2021, between</w:t>
              </w:r>
            </w:hyperlink>
          </w:p>
        </w:tc>
        <w:tc>
          <w:tcPr>
            <w:tcW w:w="140" w:type="dxa"/>
            <w:vAlign w:val="bottom"/>
            <w:gridSpan w:val="2"/>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02/28/2022</w:t>
            </w:r>
          </w:p>
        </w:tc>
      </w:tr>
      <w:tr>
        <w:trPr>
          <w:trHeight w:val="196"/>
        </w:trPr>
        <w:tc>
          <w:tcPr>
            <w:tcW w:w="26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the Registrant and Jamie L. Reynoso</w:t>
              </w:r>
            </w:hyperlink>
          </w:p>
        </w:tc>
        <w:tc>
          <w:tcPr>
            <w:tcW w:w="252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4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Employment Agreement, effective as of April 29, 2024, between the</w:t>
              </w:r>
            </w:hyperlink>
          </w:p>
        </w:tc>
        <w:tc>
          <w:tcPr>
            <w:tcW w:w="240" w:type="dxa"/>
            <w:vAlign w:val="bottom"/>
            <w:gridSpan w:val="7"/>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11/08/2024</w:t>
            </w:r>
          </w:p>
        </w:tc>
      </w:tr>
      <w:tr>
        <w:trPr>
          <w:trHeight w:val="196"/>
        </w:trPr>
        <w:tc>
          <w:tcPr>
            <w:tcW w:w="20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Registrant and Peter Kuipers</w:t>
              </w:r>
            </w:hyperlink>
          </w:p>
        </w:tc>
        <w:tc>
          <w:tcPr>
            <w:tcW w:w="3100" w:type="dxa"/>
            <w:vAlign w:val="bottom"/>
            <w:gridSpan w:val="20"/>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48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Employment Agreement, effective as of May 9, 2022, between the</w:t>
              </w:r>
            </w:hyperlink>
          </w:p>
        </w:tc>
        <w:tc>
          <w:tcPr>
            <w:tcW w:w="380" w:type="dxa"/>
            <w:vAlign w:val="bottom"/>
            <w:gridSpan w:val="9"/>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08/08/2022</w:t>
            </w:r>
          </w:p>
        </w:tc>
      </w:tr>
      <w:tr>
        <w:trPr>
          <w:trHeight w:val="196"/>
        </w:trPr>
        <w:tc>
          <w:tcPr>
            <w:tcW w:w="18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Registrant and Aric Sharp</w:t>
              </w:r>
            </w:hyperlink>
          </w:p>
        </w:tc>
        <w:tc>
          <w:tcPr>
            <w:tcW w:w="3300" w:type="dxa"/>
            <w:vAlign w:val="bottom"/>
            <w:gridSpan w:val="23"/>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4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Employment Agreement, effective as of July 18, 2022, between the</w:t>
              </w:r>
            </w:hyperlink>
          </w:p>
        </w:tc>
        <w:tc>
          <w:tcPr>
            <w:tcW w:w="320" w:type="dxa"/>
            <w:vAlign w:val="bottom"/>
            <w:gridSpan w:val="8"/>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03/01/2023</w:t>
            </w:r>
          </w:p>
        </w:tc>
      </w:tr>
      <w:tr>
        <w:trPr>
          <w:trHeight w:val="196"/>
        </w:trPr>
        <w:tc>
          <w:tcPr>
            <w:tcW w:w="5180" w:type="dxa"/>
            <w:vAlign w:val="bottom"/>
            <w:gridSpan w:val="2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Registrant and Brady Priest</w:t>
              </w:r>
            </w:hyperlink>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4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Employment Agreement, dated as of August 8, 2022, between the</w:t>
              </w:r>
            </w:hyperlink>
          </w:p>
        </w:tc>
        <w:tc>
          <w:tcPr>
            <w:tcW w:w="420" w:type="dxa"/>
            <w:vAlign w:val="bottom"/>
            <w:gridSpan w:val="10"/>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11/07/2022</w:t>
            </w:r>
          </w:p>
        </w:tc>
      </w:tr>
      <w:tr>
        <w:trPr>
          <w:trHeight w:val="196"/>
        </w:trPr>
        <w:tc>
          <w:tcPr>
            <w:tcW w:w="20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Registrant and Andrew Toy</w:t>
              </w:r>
            </w:hyperlink>
          </w:p>
        </w:tc>
        <w:tc>
          <w:tcPr>
            <w:tcW w:w="3160" w:type="dxa"/>
            <w:vAlign w:val="bottom"/>
            <w:gridSpan w:val="21"/>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Director Compensation Policy</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05/07/2024</w:t>
            </w:r>
          </w:p>
        </w:tc>
      </w:tr>
      <w:tr>
        <w:trPr>
          <w:trHeight w:val="20"/>
        </w:trPr>
        <w:tc>
          <w:tcPr>
            <w:tcW w:w="19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Board Observer Agreement, dated as of March 16, 2023,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001-39525</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03/17/2023</w:t>
            </w:r>
          </w:p>
        </w:tc>
      </w:tr>
      <w:tr>
        <w:trPr>
          <w:trHeight w:val="196"/>
        </w:trPr>
        <w:tc>
          <w:tcPr>
            <w:tcW w:w="23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Registrant and Zach Weinberg.</w:t>
              </w:r>
            </w:hyperlink>
          </w:p>
        </w:tc>
        <w:tc>
          <w:tcPr>
            <w:tcW w:w="2700" w:type="dxa"/>
            <w:vAlign w:val="bottom"/>
            <w:tcBorders>
              <w:top w:val="single" w:sz="8" w:color="0000FF"/>
            </w:tcBorders>
            <w:gridSpan w:val="14"/>
          </w:tcPr>
          <w:p>
            <w:pPr>
              <w:spacing w:after="0"/>
              <w:rPr>
                <w:sz w:val="17"/>
                <w:szCs w:val="17"/>
                <w:color w:val="auto"/>
              </w:rPr>
            </w:pPr>
          </w:p>
        </w:tc>
        <w:tc>
          <w:tcPr>
            <w:tcW w:w="1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4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Employment Agreement, dated as of February 24, 2022, between the</w:t>
              </w:r>
            </w:hyperlink>
          </w:p>
        </w:tc>
        <w:tc>
          <w:tcPr>
            <w:tcW w:w="200" w:type="dxa"/>
            <w:vAlign w:val="bottom"/>
            <w:gridSpan w:val="5"/>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05/09/2023</w:t>
            </w:r>
          </w:p>
        </w:tc>
      </w:tr>
      <w:tr>
        <w:trPr>
          <w:trHeight w:val="196"/>
        </w:trPr>
        <w:tc>
          <w:tcPr>
            <w:tcW w:w="19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Registrant and Conrad Wai</w:t>
              </w:r>
            </w:hyperlink>
          </w:p>
        </w:tc>
        <w:tc>
          <w:tcPr>
            <w:tcW w:w="3200" w:type="dxa"/>
            <w:vAlign w:val="bottom"/>
            <w:gridSpan w:val="22"/>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5180" w:type="dxa"/>
            <w:vAlign w:val="bottom"/>
            <w:gridSpan w:val="2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Employment Agreement, dated as of March 8, 2024,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03/14/2024</w:t>
            </w:r>
          </w:p>
        </w:tc>
      </w:tr>
      <w:tr>
        <w:trPr>
          <w:trHeight w:val="196"/>
        </w:trPr>
        <w:tc>
          <w:tcPr>
            <w:tcW w:w="47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Registrant and Karen Soares.</w:t>
              </w:r>
            </w:hyperlink>
          </w:p>
        </w:tc>
        <w:tc>
          <w:tcPr>
            <w:tcW w:w="48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2100" w:type="dxa"/>
            <w:vAlign w:val="bottom"/>
            <w:gridSpan w:val="7"/>
            <w:shd w:val="clear" w:color="auto" w:fill="0000FF"/>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Agreement for the Provision of Interim Management Service, dated as</w:t>
              </w:r>
            </w:hyperlink>
          </w:p>
        </w:tc>
        <w:tc>
          <w:tcPr>
            <w:tcW w:w="10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03/14/2024</w:t>
            </w:r>
          </w:p>
        </w:tc>
      </w:tr>
      <w:tr>
        <w:trPr>
          <w:trHeight w:val="196"/>
        </w:trPr>
        <w:tc>
          <w:tcPr>
            <w:tcW w:w="5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of December 22, 2023 between the Registrant and AP Services, LLC.</w:t>
              </w:r>
            </w:hyperlink>
          </w:p>
        </w:tc>
        <w:tc>
          <w:tcPr>
            <w:tcW w:w="1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520" w:space="460"/>
            <w:col w:w="10260"/>
          </w:cols>
          <w:pgMar w:left="320" w:top="765"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5" w:name="page116"/>
    <w:bookmarkEnd w:id="115"/>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Insider Trading Policy</w:t>
              </w:r>
            </w:hyperlink>
          </w:p>
        </w:tc>
        <w:tc>
          <w:tcPr>
            <w:tcW w:w="3580" w:type="dxa"/>
            <w:vAlign w:val="bottom"/>
            <w:gridSpan w:val="8"/>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w:t>
            </w: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03/3/2025</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8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under the Securities Exchange Act of 1934, as</w:t>
            </w:r>
          </w:p>
        </w:tc>
        <w:tc>
          <w:tcPr>
            <w:tcW w:w="3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5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0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and 15d-14(a) under the Securities Exchange Act of 1934, as Adopted</w:t>
            </w:r>
          </w:p>
        </w:tc>
        <w:tc>
          <w:tcPr>
            <w:tcW w:w="14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88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5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34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4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46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2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spacing w:after="0" w:line="20" w:lineRule="exact"/>
              <w:rPr>
                <w:sz w:val="1"/>
                <w:szCs w:val="1"/>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97.1</w:t>
            </w: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vMerge w:val="continue"/>
          </w:tcPr>
          <w:p>
            <w:pPr>
              <w:spacing w:after="0"/>
              <w:rPr>
                <w:sz w:val="21"/>
                <w:szCs w:val="21"/>
                <w:color w:val="auto"/>
              </w:rPr>
            </w:pPr>
          </w:p>
        </w:tc>
        <w:tc>
          <w:tcPr>
            <w:tcW w:w="37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Clover Health Investments, Corp. Clawback Policy</w:t>
              </w:r>
            </w:hyperlink>
          </w:p>
        </w:tc>
        <w:tc>
          <w:tcPr>
            <w:tcW w:w="1500" w:type="dxa"/>
            <w:vAlign w:val="bottom"/>
            <w:gridSpan w:val="7"/>
          </w:tcPr>
          <w:p>
            <w:pPr>
              <w:spacing w:after="0"/>
              <w:rPr>
                <w:sz w:val="21"/>
                <w:szCs w:val="21"/>
                <w:color w:val="auto"/>
              </w:rPr>
            </w:pPr>
          </w:p>
        </w:tc>
        <w:tc>
          <w:tcPr>
            <w:tcW w:w="600" w:type="dxa"/>
            <w:vAlign w:val="bottom"/>
            <w:vMerge w:val="continue"/>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001-39252</w:t>
            </w:r>
          </w:p>
        </w:tc>
        <w:tc>
          <w:tcPr>
            <w:tcW w:w="900" w:type="dxa"/>
            <w:vAlign w:val="bottom"/>
            <w:vMerge w:val="continue"/>
          </w:tcPr>
          <w:p>
            <w:pPr>
              <w:spacing w:after="0"/>
              <w:rPr>
                <w:sz w:val="21"/>
                <w:szCs w:val="21"/>
                <w:color w:val="auto"/>
              </w:rPr>
            </w:pPr>
          </w:p>
        </w:tc>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03/14/2024</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52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80" w:right="5300" w:hanging="954"/>
        <w:spacing w:after="0" w:line="234"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7" w:lineRule="exact"/>
        <w:rPr>
          <w:sz w:val="20"/>
          <w:szCs w:val="20"/>
          <w:color w:val="auto"/>
        </w:rPr>
      </w:pPr>
    </w:p>
    <w:p>
      <w:pPr>
        <w:ind w:firstLine="8"/>
        <w:spacing w:after="0" w:line="260" w:lineRule="auto"/>
        <w:tabs>
          <w:tab w:leader="none" w:pos="2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in accordance with Regulation S-K Item 601(b)(2). The registrant hereby agrees to furnish supplementary a copy of any omitted schedule to the SEC upon its request.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Clover Health Investments, Corp.</w:t>
      </w:r>
    </w:p>
    <w:p>
      <w:pPr>
        <w:spacing w:after="0" w:line="31"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927" w:right="33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tcPr>
          <w:p>
            <w:pPr>
              <w:spacing w:after="0"/>
              <w:rPr>
                <w:sz w:val="17"/>
                <w:szCs w:val="17"/>
                <w:color w:val="auto"/>
              </w:rPr>
            </w:pPr>
          </w:p>
        </w:tc>
      </w:tr>
      <w:tr>
        <w:trPr>
          <w:trHeight w:val="466"/>
        </w:trPr>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Chief Executive Officer (Principal Executive</w:t>
            </w:r>
          </w:p>
        </w:tc>
      </w:tr>
      <w:tr>
        <w:trPr>
          <w:trHeight w:val="243"/>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Andrew Toy</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Officer) and 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Andrew Toy</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7"/>
        </w:trPr>
        <w:tc>
          <w:tcPr>
            <w:tcW w:w="1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r>
      <w:tr>
        <w:trPr>
          <w:trHeight w:val="243"/>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Kuipers</w:t>
            </w:r>
          </w:p>
        </w:tc>
        <w:tc>
          <w:tcPr>
            <w:tcW w:w="34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Peter Kuipers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1"/>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Vivek Garipalli</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Director and Executive Chair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Vivek Garipalli</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1"/>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Demetrios L. Kouzoukas</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Demetrios L. Kouzoukas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1"/>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William G. Robinson, Jr.</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G. Robinson, Jr.</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1"/>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Carladenise A. Edwards</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Carladenise A. Edwards</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91"/>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Anna U. Loengard, M.D.</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Anna U. Loengard, M.D.</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7"/>
        </w:trPr>
        <w:tc>
          <w:tcPr>
            <w:tcW w:w="4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Thomas L. Tran</w:t>
            </w:r>
          </w:p>
        </w:tc>
        <w:tc>
          <w:tcPr>
            <w:tcW w:w="3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2"/>
        </w:trPr>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Thomas L. Tran</w:t>
            </w: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490" w:lineRule="exact"/>
        <w:rPr>
          <w:sz w:val="20"/>
          <w:szCs w:val="20"/>
          <w:color w:val="auto"/>
        </w:rPr>
      </w:pPr>
    </w:p>
    <w:p>
      <w:pPr>
        <w:sectPr>
          <w:pgSz w:w="11900" w:h="16838" w:orient="portrait"/>
          <w:cols w:equalWidth="0" w:num="2">
            <w:col w:w="8080" w:space="720"/>
            <w:col w:w="2440"/>
          </w:cols>
          <w:pgMar w:left="320" w:top="927"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927" w:right="33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SUBSIDIARIES OF CLOVER HEALTH INVESTMENTS, CORP.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8"/>
        </w:trPr>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Clover Cares Services of NJ, LLC</w:t>
            </w:r>
          </w:p>
        </w:tc>
        <w:tc>
          <w:tcPr>
            <w:tcW w:w="16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HK Limited</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Holdings,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International, Corp.</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Labs,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CHPN MSSP 1,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 High-Performing Network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Partners,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Corp.</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Healthcare,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HMO of New Jersey,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HMO, Corp.</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HMO,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Homecare Management Services,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Insurance Company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 Health,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Juxly,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Medical Services Professionals of NJ,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Principium Health,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Acquisition Holdings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Garden State ODS,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r>
    </w:tbl>
    <w:p>
      <w:pPr>
        <w:sectPr>
          <w:pgSz w:w="11900" w:h="16838" w:orient="portrait"/>
          <w:cols w:equalWidth="0" w:num="1">
            <w:col w:w="11240"/>
          </w:cols>
          <w:pgMar w:left="320" w:top="122" w:right="339" w:bottom="1440" w:gutter="0" w:footer="0" w:header="0"/>
        </w:sectPr>
      </w:pPr>
    </w:p>
    <w:bookmarkStart w:id="118" w:name="page119"/>
    <w:bookmarkEnd w:id="118"/>
    <w:p>
      <w:pPr>
        <w:ind w:left="10280"/>
        <w:spacing w:after="0"/>
        <w:rPr>
          <w:sz w:val="20"/>
          <w:szCs w:val="20"/>
          <w:color w:val="auto"/>
        </w:rPr>
      </w:pPr>
      <w:r>
        <w:rPr>
          <w:rFonts w:ascii="Times New Roman" w:cs="Times New Roman" w:eastAsia="Times New Roman" w:hAnsi="Times New Roman"/>
          <w:sz w:val="21"/>
          <w:szCs w:val="21"/>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71"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(Registration No. 333-264801) of Clover Health Investments, Corp.;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333-254947) pertaining to the 2020 Equity Incentive Plan of Clover Health Investments, Corp., 2020 Employee Stock Purchase Plan, of Clover Health Investments, Corp. and the Amended and Restated 2014 Equity Incentive Plan of Clover Health Investments, Corp.;</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333-278316) pertaining to the registration of additional shares of Class A common stock under the 2020 Equity Incentive Plan of Clover Health Investments, Corp. and 2020 Employee Stock Purchase Plan, of Clover Health Investments, Corp.;</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333-285638) pertaining to the registration of additional shares of Class A common stock under the 2020 Equity Incentive Plan of Clover Health Investments, Corp. of Clover Health Investments, Corp.;</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333-263401) pertaining to the registration of additional shares of Class A common stock under the 2020 Equity Incentive Plan of Clover Health Investments, Corp. and 2020 Employee Stock Purchase Plan, of Clover Health Investments, Corp.;</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333-270395) pertaining to the registration of additional shares of Class A common stock under the 2020 Equity Incentive Plan of Clover Health Investments, Corp. and the 2020 Employee Stock Purchase Plan, of Clover Health Investments, Corp.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333-263403) pertaining to the 2022 Inducement Award Plan of Clover Health Investments, Corp.</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2026, with respect to the consolidated financial statements of Clover Health Investments, Corp. and the effectiveness of internal control over financial reporting of Clover Health Investments, Corp. included in this Annual Report (Form 10-K) of Clover Health Investments, Corp.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122"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Toy, certify that:</w:t>
      </w:r>
    </w:p>
    <w:p>
      <w:pPr>
        <w:spacing w:after="0" w:line="225"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Kuipers, certify that:</w:t>
      </w:r>
    </w:p>
    <w:p>
      <w:pPr>
        <w:spacing w:after="0" w:line="225"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Clover Health Investments, Corp.;</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right="20" w:hanging="451"/>
        <w:spacing w:after="0" w:line="266" w:lineRule="auto"/>
        <w:tabs>
          <w:tab w:leader="none" w:pos="89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51"/>
        <w:spacing w:after="0" w:line="266" w:lineRule="auto"/>
        <w:tabs>
          <w:tab w:leader="none" w:pos="89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8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76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Clover Health Investments, Corp. (the “Company”)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40" w:val="left"/>
        </w:tabs>
        <w:rPr>
          <w:sz w:val="20"/>
          <w:szCs w:val="20"/>
          <w:color w:val="auto"/>
        </w:rPr>
      </w:pPr>
      <w:r>
        <w:rPr>
          <w:rFonts w:ascii="Times New Roman" w:cs="Times New Roman" w:eastAsia="Times New Roman" w:hAnsi="Times New Roman"/>
          <w:sz w:val="18"/>
          <w:szCs w:val="18"/>
          <w:color w:val="auto"/>
        </w:rPr>
        <w:t>Dated: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Andrew Toy</w:t>
      </w:r>
    </w:p>
    <w:p>
      <w:pPr>
        <w:spacing w:after="0" w:line="3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Clover Health Investments, Corp. (the “Company”)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31"/>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hanging="451"/>
        <w:spacing w:after="0" w:line="282" w:lineRule="auto"/>
        <w:tabs>
          <w:tab w:leader="none" w:pos="8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4880" w:val="left"/>
          <w:tab w:leader="none" w:pos="7200" w:val="left"/>
        </w:tabs>
        <w:rPr>
          <w:sz w:val="20"/>
          <w:szCs w:val="20"/>
          <w:color w:val="auto"/>
        </w:rPr>
      </w:pPr>
      <w:r>
        <w:rPr>
          <w:rFonts w:ascii="Times New Roman" w:cs="Times New Roman" w:eastAsia="Times New Roman" w:hAnsi="Times New Roman"/>
          <w:sz w:val="18"/>
          <w:szCs w:val="18"/>
          <w:color w:val="auto"/>
        </w:rPr>
        <w:t>Dated: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17145</wp:posOffset>
            </wp:positionV>
            <wp:extent cx="3103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Peter Kuipers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w:t>
      </w: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lvl w:ilvl="1">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lvl w:ilvl="1">
      <w:lvlJc w:val="left"/>
      <w:lvlText w:val="(%2)"/>
      <w:numFmt w:val="decimal"/>
      <w:start w:val="1"/>
    </w:lvl>
  </w:abstractNum>
  <w:abstractNum w:abstractNumId="31">
    <w:nsid w:val="5577F8E1"/>
    <w:multiLevelType w:val="hybridMultilevel"/>
    <w:lvl w:ilvl="0">
      <w:lvlJc w:val="left"/>
      <w:lvlText w:val="%1"/>
      <w:numFmt w:val="decimal"/>
      <w:start w:val="104"/>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9"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176" Type="http://schemas.openxmlformats.org/officeDocument/2006/relationships/hyperlink" Target="https://www.sec.gov/Archives/edgar/data/1801170/000110465920112403/tm2032431d1_ex2-1.htm" TargetMode="External"/><Relationship Id="rId177" Type="http://schemas.openxmlformats.org/officeDocument/2006/relationships/hyperlink" Target="https://www.sec.gov/Archives/edgar/data/1801170/000119312520314423/d14732dex21.htm" TargetMode="External"/><Relationship Id="rId178" Type="http://schemas.openxmlformats.org/officeDocument/2006/relationships/hyperlink" Target="https://www.sec.gov/Archives/edgar/data/1801170/000119312521007348/d63659dex31.htm" TargetMode="External"/><Relationship Id="rId179" Type="http://schemas.openxmlformats.org/officeDocument/2006/relationships/hyperlink" Target="https://www.sec.gov/Archives/edgar/data/1801170/000180117024000135/exhibit31-secondamendedand.htm" TargetMode="External"/><Relationship Id="rId180" Type="http://schemas.openxmlformats.org/officeDocument/2006/relationships/hyperlink" Target="https://www.sec.gov/Archives/edgar/data/1801170/000119312520298445/d69158dex45.htm" TargetMode="External"/><Relationship Id="rId181" Type="http://schemas.openxmlformats.org/officeDocument/2006/relationships/hyperlink" Target="https://www.sec.gov/Archives/edgar/data/1801170/000119312520298445/d69158dex46.htm" TargetMode="External"/><Relationship Id="rId182" Type="http://schemas.openxmlformats.org/officeDocument/2006/relationships/hyperlink" Target="https://www.sec.gov/Archives/edgar/data/1801170/000180117022000015/descriptionofsecurities.htm" TargetMode="External"/><Relationship Id="rId183" Type="http://schemas.openxmlformats.org/officeDocument/2006/relationships/hyperlink" Target="https://www.sec.gov/Archives/edgar/data/1801170/000119312521007348/d63659dex102.htm" TargetMode="External"/><Relationship Id="rId184" Type="http://schemas.openxmlformats.org/officeDocument/2006/relationships/hyperlink" Target="https://www.sec.gov/Archives/edgar/data/1801170/000119312520272347/d69158dex1015.htm" TargetMode="External"/><Relationship Id="rId185" Type="http://schemas.openxmlformats.org/officeDocument/2006/relationships/hyperlink" Target="https://www.sec.gov/Archives/edgar/data/1801170/000119312521007348/d63659dex104.htm" TargetMode="External"/><Relationship Id="rId186" Type="http://schemas.openxmlformats.org/officeDocument/2006/relationships/hyperlink" Target="https://www.sec.gov/Archives/edgar/data/1801170/000119312521007348/d63659dex105.htm" TargetMode="External"/><Relationship Id="rId187" Type="http://schemas.openxmlformats.org/officeDocument/2006/relationships/hyperlink" Target="https://www.sec.gov/Archives/edgar/data/1801170/000119312521007348/d63659dex106.htm" TargetMode="External"/><Relationship Id="rId188" Type="http://schemas.openxmlformats.org/officeDocument/2006/relationships/hyperlink" Target="https://www.sec.gov/Archives/edgar/data/1801170/000119312521007348/d63659dex107.htm" TargetMode="External"/><Relationship Id="rId189" Type="http://schemas.openxmlformats.org/officeDocument/2006/relationships/hyperlink" Target="https://www.sec.gov/Archives/edgar/data/1801170/000180117022000015/exhibit1012.htm" TargetMode="External"/><Relationship Id="rId190" Type="http://schemas.openxmlformats.org/officeDocument/2006/relationships/hyperlink" Target="https://www.sec.gov/Archives/edgar/data/1801170/000180117024000234/aexx101xpeterkuipersempl.htm" TargetMode="External"/><Relationship Id="rId191" Type="http://schemas.openxmlformats.org/officeDocument/2006/relationships/hyperlink" Target="https://www.sec.gov/Archives/edgar/data/1801170/000180117022000053/a06302022-exx102.htm" TargetMode="External"/><Relationship Id="rId192" Type="http://schemas.openxmlformats.org/officeDocument/2006/relationships/hyperlink" Target="https://www.sec.gov/Archives/edgar/data/1801170/000180117023000015/a12312022-exx1014.htm" TargetMode="External"/><Relationship Id="rId193" Type="http://schemas.openxmlformats.org/officeDocument/2006/relationships/hyperlink" Target="https://www.sec.gov/Archives/edgar/data/1801170/000180117022000083/a09302022-exx101.htm" TargetMode="External"/><Relationship Id="rId194" Type="http://schemas.openxmlformats.org/officeDocument/2006/relationships/hyperlink" Target="https://www.sec.gov/Archives/edgar/data/1801170/000180117024000102/chic-amendedandrestatedd.htm" TargetMode="External"/><Relationship Id="rId195" Type="http://schemas.openxmlformats.org/officeDocument/2006/relationships/hyperlink" Target="https://www.sec.gov/Archives/edgar/data/1801170/000180117023000020/exhibit101-boardobserverag.htm" TargetMode="External"/><Relationship Id="rId196" Type="http://schemas.openxmlformats.org/officeDocument/2006/relationships/hyperlink" Target="https://www.sec.gov/Archives/edgar/data/1801170/000180117023000038/a3312023-exx102.htm" TargetMode="External"/><Relationship Id="rId197" Type="http://schemas.openxmlformats.org/officeDocument/2006/relationships/hyperlink" Target="https://www.sec.gov/Archives/edgar/data/1801170/000180117024000064/a12312023-exx1016.htm" TargetMode="External"/><Relationship Id="rId198" Type="http://schemas.openxmlformats.org/officeDocument/2006/relationships/hyperlink" Target="https://www.sec.gov/Archives/edgar/data/1801170/000180117024000064/a12312023-exx1017.htm" TargetMode="External"/><Relationship Id="rId200" Type="http://schemas.openxmlformats.org/officeDocument/2006/relationships/hyperlink" Target="https://www.sec.gov/Archives/edgar/data/1801170/000180117025000052/aexx19xinsidertraderpoli.htm" TargetMode="External"/><Relationship Id="rId201" Type="http://schemas.openxmlformats.org/officeDocument/2006/relationships/hyperlink" Target="https://www.sec.gov/Archives/edgar/data/1801170/000180117024000064/a12312023-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2026-02-27T07:14:24Z</dcterms:created>
  <dcterms:modified xsi:type="dcterms:W3CDTF">2026-02-27T07:14:24Z</dcterms:modified>
</cp:coreProperties>
</file>