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WASHINGTON, D.C. 20549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86995</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64770</wp:posOffset>
            </wp:positionV>
            <wp:extent cx="5700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CLOVER HEALTH INVESTMENTS, CORP.</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175895</wp:posOffset>
            </wp:positionV>
            <wp:extent cx="1036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240"/>
          </w:cols>
          <w:pgMar w:left="320" w:top="709" w:right="339" w:bottom="1440" w:gutter="0" w:footer="0" w:header="0"/>
        </w:sectPr>
      </w:pPr>
    </w:p>
    <w:p>
      <w:pPr>
        <w:spacing w:after="0" w:line="302"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001-39252</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98-1515192</w:t>
      </w:r>
    </w:p>
    <w:p>
      <w:pPr>
        <w:spacing w:after="0" w:line="65" w:lineRule="exact"/>
        <w:rPr>
          <w:sz w:val="24"/>
          <w:szCs w:val="24"/>
          <w:color w:val="auto"/>
        </w:rPr>
      </w:pPr>
    </w:p>
    <w:p>
      <w:pPr>
        <w:sectPr>
          <w:pgSz w:w="11900" w:h="16838" w:orient="portrait"/>
          <w:cols w:equalWidth="0" w:num="3">
            <w:col w:w="4140" w:space="720"/>
            <w:col w:w="1280" w:space="720"/>
            <w:col w:w="4380"/>
          </w:cols>
          <w:pgMar w:left="320" w:top="709" w:right="3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63" w:lineRule="exact"/>
        <w:rPr>
          <w:sz w:val="24"/>
          <w:szCs w:val="24"/>
          <w:color w:val="auto"/>
        </w:rPr>
      </w:pPr>
    </w:p>
    <w:p>
      <w:pPr>
        <w:sectPr>
          <w:pgSz w:w="11900" w:h="16838" w:orient="portrait"/>
          <w:cols w:equalWidth="0" w:num="3">
            <w:col w:w="3800" w:space="720"/>
            <w:col w:w="1640" w:space="720"/>
            <w:col w:w="4360"/>
          </w:cols>
          <w:pgMar w:left="320" w:top="709" w:right="339" w:bottom="1440" w:gutter="0" w:footer="0" w:header="0"/>
          <w:type w:val="continuous"/>
        </w:sectPr>
      </w:pPr>
    </w:p>
    <w:p>
      <w:pPr>
        <w:ind w:left="224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352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200" w:lineRule="exact"/>
        <w:rPr>
          <w:sz w:val="24"/>
          <w:szCs w:val="24"/>
          <w:color w:val="auto"/>
        </w:rPr>
      </w:pPr>
    </w:p>
    <w:p>
      <w:pPr>
        <w:sectPr>
          <w:pgSz w:w="11900" w:h="16838" w:orient="portrait"/>
          <w:cols w:equalWidth="0" w:num="2">
            <w:col w:w="6080" w:space="720"/>
            <w:col w:w="4440"/>
          </w:cols>
          <w:pgMar w:left="320" w:top="709" w:right="339" w:bottom="1440" w:gutter="0" w:footer="0" w:header="0"/>
          <w:type w:val="continuous"/>
        </w:sectPr>
      </w:pPr>
    </w:p>
    <w:p>
      <w:pPr>
        <w:spacing w:after="0" w:line="86"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b w:val="1"/>
          <w:bCs w:val="1"/>
          <w:color w:val="auto"/>
        </w:rPr>
        <w:t>3401 Mallory Lane, Suite 210</w:t>
      </w:r>
    </w:p>
    <w:p>
      <w:pPr>
        <w:sectPr>
          <w:pgSz w:w="11900" w:h="16838" w:orient="portrait"/>
          <w:cols w:equalWidth="0" w:num="1">
            <w:col w:w="11240"/>
          </w:cols>
          <w:pgMar w:left="320" w:top="709" w:right="339" w:bottom="1440" w:gutter="0" w:footer="0" w:header="0"/>
          <w:type w:val="continuous"/>
        </w:sectPr>
      </w:pPr>
    </w:p>
    <w:p>
      <w:pPr>
        <w:spacing w:after="0" w:line="86"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6"/>
          <w:szCs w:val="16"/>
          <w:b w:val="1"/>
          <w:bCs w:val="1"/>
          <w:color w:val="auto"/>
        </w:rPr>
        <w:t>Franklin, Tennessee</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37067</w:t>
      </w:r>
    </w:p>
    <w:p>
      <w:pPr>
        <w:spacing w:after="0" w:line="65" w:lineRule="exact"/>
        <w:rPr>
          <w:sz w:val="24"/>
          <w:szCs w:val="24"/>
          <w:color w:val="auto"/>
        </w:rPr>
      </w:pPr>
    </w:p>
    <w:p>
      <w:pPr>
        <w:sectPr>
          <w:pgSz w:w="11900" w:h="16838" w:orient="portrait"/>
          <w:cols w:equalWidth="0" w:num="2">
            <w:col w:w="6640" w:space="720"/>
            <w:col w:w="3880"/>
          </w:cols>
          <w:pgMar w:left="320" w:top="709" w:right="33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80" w:space="720"/>
            <w:col w:w="3940"/>
          </w:cols>
          <w:pgMar w:left="320" w:top="709" w:right="339" w:bottom="1440" w:gutter="0" w:footer="0" w:header="0"/>
          <w:type w:val="continuous"/>
        </w:sect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(201) 432-2133</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64770</wp:posOffset>
            </wp:positionV>
            <wp:extent cx="5700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right="1060"/>
        <w:spacing w:after="0" w:line="31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5000" w:type="dxa"/>
            <w:vAlign w:val="bottom"/>
          </w:tcPr>
          <w:p>
            <w:pPr>
              <w:spacing w:after="0"/>
              <w:rPr>
                <w:sz w:val="18"/>
                <w:szCs w:val="18"/>
                <w:color w:val="auto"/>
              </w:rPr>
            </w:pPr>
          </w:p>
        </w:tc>
      </w:tr>
      <w:tr>
        <w:trPr>
          <w:trHeight w:val="25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6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60" w:type="dxa"/>
            <w:vAlign w:val="bottom"/>
          </w:tcPr>
          <w:p>
            <w:pPr>
              <w:spacing w:after="0"/>
              <w:rPr>
                <w:sz w:val="22"/>
                <w:szCs w:val="22"/>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4"/>
        </w:trPr>
        <w:tc>
          <w:tcPr>
            <w:tcW w:w="44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CLOV</w:t>
            </w:r>
          </w:p>
        </w:tc>
        <w:tc>
          <w:tcPr>
            <w:tcW w:w="5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1046480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234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709"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December 22, 2023, the Board of Directors of Clover Health Investments, Corp. (the “Company”) appointed Mr. Terrence Ronan as Interim Chief Financial Officer, including as principal financial officer and principal accounting officer, effective as of January 27, 2024. In order to ensure a smooth transition of responsibilities, Mr. Ronan will join the Company as Interim Senior Vice President of Finance effective as of January 2, 2024, and will serve in that role until becoming the Interim Chief Financial Officer on January 27, 2024, following Scott J. Leffler’s previously announced departure as Chief Financial Officer.</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Mr. Ronan, age 64, has served as an independent contractor of AlixPartners, LLP since 2023. He has also served as Executive Vice President and Chief Financial Officer of Purdue Pharma L.P. from 2021 to 2023. He also served as Executive Vice President and Chief Financial Officer of Atlantic Power Corporation from 2012 to 2021, and as Managing Director of Plains All American Pipeline, L.P. from 2011 to 2012. Mr. Ronan holds a B.S. from Bates College and a M.B.A. from the University of Michigan, and he is a certified public accountant (inactive).</w:t>
      </w:r>
    </w:p>
    <w:p>
      <w:pPr>
        <w:spacing w:after="0" w:line="21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Mr. Ronan’s services as Interim Chief Financial Officer will be provided pursuant to an arrangement with Alix Partners, LLP, under which the Company will pay AP Services, LLC, a subsidiary of AlixPartners, LLP, a monthly fee of $195,000, in exchange for Mr. Ronan’s services. There are no family relationships between Mr. Ronan and any director or executive officer, or person nominated or chosen by the Company to become a director or executive officer of the Company and he has no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1177290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64" w:lineRule="exact"/>
        <w:rPr>
          <w:sz w:val="20"/>
          <w:szCs w:val="20"/>
          <w:color w:val="auto"/>
        </w:rPr>
      </w:pPr>
    </w:p>
    <w:p>
      <w:pPr>
        <w:ind w:right="140"/>
        <w:spacing w:after="0" w:line="31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360" w:type="dxa"/>
            <w:vAlign w:val="bottom"/>
            <w:gridSpan w:val="3"/>
          </w:tcPr>
          <w:p>
            <w:pPr>
              <w:ind w:left="1900"/>
              <w:spacing w:after="0"/>
              <w:rPr>
                <w:sz w:val="20"/>
                <w:szCs w:val="20"/>
                <w:color w:val="auto"/>
              </w:rPr>
            </w:pPr>
            <w:r>
              <w:rPr>
                <w:rFonts w:ascii="Times New Roman" w:cs="Times New Roman" w:eastAsia="Times New Roman" w:hAnsi="Times New Roman"/>
                <w:sz w:val="16"/>
                <w:szCs w:val="16"/>
                <w:b w:val="1"/>
                <w:bCs w:val="1"/>
                <w:color w:val="auto"/>
              </w:rPr>
              <w:t>Clover Health Investments, Corp.</w:t>
            </w:r>
          </w:p>
        </w:tc>
      </w:tr>
      <w:tr>
        <w:trPr>
          <w:trHeight w:val="478"/>
        </w:trPr>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w:t>
            </w:r>
          </w:p>
        </w:tc>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27, 2023</w:t>
            </w:r>
          </w:p>
        </w:tc>
        <w:tc>
          <w:tcPr>
            <w:tcW w:w="29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Scott J. Leffler</w:t>
            </w:r>
          </w:p>
        </w:tc>
      </w:tr>
      <w:tr>
        <w:trPr>
          <w:trHeight w:val="258"/>
        </w:trPr>
        <w:tc>
          <w:tcPr>
            <w:tcW w:w="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9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Name:</w:t>
            </w: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Scott J. Leffler</w:t>
            </w:r>
          </w:p>
        </w:tc>
        <w:tc>
          <w:tcPr>
            <w:tcW w:w="3300" w:type="dxa"/>
            <w:vAlign w:val="bottom"/>
          </w:tcPr>
          <w:p>
            <w:pPr>
              <w:spacing w:after="0"/>
              <w:rPr>
                <w:sz w:val="22"/>
                <w:szCs w:val="22"/>
                <w:color w:val="auto"/>
              </w:rPr>
            </w:pPr>
          </w:p>
        </w:tc>
      </w:tr>
      <w:tr>
        <w:trPr>
          <w:trHeight w:val="243"/>
        </w:trPr>
        <w:tc>
          <w:tcPr>
            <w:tcW w:w="5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9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Title:</w:t>
            </w:r>
          </w:p>
        </w:tc>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708"/>
        </w:trPr>
        <w:tc>
          <w:tcPr>
            <w:tcW w:w="5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20"/>
      </w:cols>
      <w:pgMar w:left="320" w:top="44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2023-12-27T07:12:37Z</dcterms:created>
  <dcterms:modified xsi:type="dcterms:W3CDTF">2023-12-27T07:12:37Z</dcterms:modified>
</cp:coreProperties>
</file>