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193675</wp:posOffset>
            </wp:positionH>
            <wp:positionV relativeFrom="page">
              <wp:posOffset>344805</wp:posOffset>
            </wp:positionV>
            <wp:extent cx="715518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5180" cy="6985"/>
                    </a:xfrm>
                    <a:prstGeom prst="rect">
                      <a:avLst/>
                    </a:prstGeom>
                    <a:noFill/>
                  </pic:spPr>
                </pic:pic>
              </a:graphicData>
            </a:graphic>
          </wp:anchor>
        </w:drawing>
        <w:drawing>
          <wp:anchor simplePos="0" relativeHeight="251657728" behindDoc="1" locked="0" layoutInCell="0" allowOverlap="1">
            <wp:simplePos x="0" y="0"/>
            <wp:positionH relativeFrom="page">
              <wp:posOffset>193675</wp:posOffset>
            </wp:positionH>
            <wp:positionV relativeFrom="page">
              <wp:posOffset>318135</wp:posOffset>
            </wp:positionV>
            <wp:extent cx="715518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5180" cy="6985"/>
                    </a:xfrm>
                    <a:prstGeom prst="rect">
                      <a:avLst/>
                    </a:prstGeom>
                    <a:noFill/>
                  </pic:spPr>
                </pic:pic>
              </a:graphicData>
            </a:graphic>
          </wp:anchor>
        </w:drawing>
        <w:t>UNITED STATES</w:t>
      </w:r>
    </w:p>
    <w:p>
      <w:pPr>
        <w:spacing w:after="0" w:line="2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WASHINGTON, D.C. 20549</w:t>
      </w:r>
    </w:p>
    <w:p>
      <w:pPr>
        <w:spacing w:after="0" w:line="1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723900</wp:posOffset>
            </wp:positionH>
            <wp:positionV relativeFrom="paragraph">
              <wp:posOffset>66675</wp:posOffset>
            </wp:positionV>
            <wp:extent cx="572008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20080" cy="6985"/>
                    </a:xfrm>
                    <a:prstGeom prst="rect">
                      <a:avLst/>
                    </a:prstGeom>
                    <a:noFill/>
                  </pic:spPr>
                </pic:pic>
              </a:graphicData>
            </a:graphic>
          </wp:anchor>
        </w:drawing>
      </w:r>
    </w:p>
    <w:p>
      <w:pPr>
        <w:spacing w:after="0" w:line="3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CURRENT REPORT</w:t>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Section 13 or 15(d) of the Securities Exchange Act of 1934</w:t>
      </w:r>
    </w:p>
    <w:p>
      <w:pPr>
        <w:spacing w:after="0" w:line="2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Date of Report (Date of earliest event reported): May 18,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723900</wp:posOffset>
            </wp:positionH>
            <wp:positionV relativeFrom="paragraph">
              <wp:posOffset>47625</wp:posOffset>
            </wp:positionV>
            <wp:extent cx="572008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20080" cy="6985"/>
                    </a:xfrm>
                    <a:prstGeom prst="rect">
                      <a:avLst/>
                    </a:prstGeom>
                    <a:noFill/>
                  </pic:spPr>
                </pic:pic>
              </a:graphicData>
            </a:graphic>
          </wp:anchor>
        </w:drawing>
      </w: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CLOVER HEALTH INVESTMENTS, CORP.</w:t>
      </w:r>
    </w:p>
    <w:p>
      <w:pPr>
        <w:spacing w:after="0" w:line="2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9"/>
          <w:szCs w:val="9"/>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3048635</wp:posOffset>
            </wp:positionH>
            <wp:positionV relativeFrom="paragraph">
              <wp:posOffset>142240</wp:posOffset>
            </wp:positionV>
            <wp:extent cx="105791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57910" cy="6985"/>
                    </a:xfrm>
                    <a:prstGeom prst="rect">
                      <a:avLst/>
                    </a:prstGeom>
                    <a:noFill/>
                  </pic:spPr>
                </pic:pic>
              </a:graphicData>
            </a:graphic>
          </wp:anchor>
        </w:drawing>
      </w:r>
    </w:p>
    <w:p>
      <w:pPr>
        <w:spacing w:after="0" w:line="223" w:lineRule="exact"/>
        <w:rPr>
          <w:sz w:val="24"/>
          <w:szCs w:val="24"/>
          <w:color w:val="auto"/>
        </w:rPr>
      </w:pPr>
    </w:p>
    <w:tbl>
      <w:tblPr>
        <w:tblLayout w:type="fixed"/>
        <w:tblInd w:w="2260" w:type="dxa"/>
        <w:tblCellMar>
          <w:top w:w="0" w:type="dxa"/>
          <w:left w:w="0" w:type="dxa"/>
          <w:bottom w:w="0" w:type="dxa"/>
          <w:right w:w="0" w:type="dxa"/>
        </w:tblCellMar>
      </w:tblPr>
      <w:tr>
        <w:trPr>
          <w:trHeight w:val="167"/>
        </w:trPr>
        <w:tc>
          <w:tcPr>
            <w:tcW w:w="1780" w:type="dxa"/>
            <w:vAlign w:val="bottom"/>
          </w:tcPr>
          <w:p>
            <w:pPr>
              <w:jc w:val="center"/>
              <w:ind w:right="566"/>
              <w:spacing w:after="0"/>
              <w:rPr>
                <w:sz w:val="20"/>
                <w:szCs w:val="20"/>
                <w:color w:val="auto"/>
              </w:rPr>
            </w:pPr>
            <w:r>
              <w:rPr>
                <w:rFonts w:ascii="Times New Roman" w:cs="Times New Roman" w:eastAsia="Times New Roman" w:hAnsi="Times New Roman"/>
                <w:sz w:val="13"/>
                <w:szCs w:val="13"/>
                <w:b w:val="1"/>
                <w:bCs w:val="1"/>
                <w:color w:val="auto"/>
                <w:w w:val="98"/>
              </w:rPr>
              <w:t>Delaware</w:t>
            </w:r>
          </w:p>
        </w:tc>
        <w:tc>
          <w:tcPr>
            <w:tcW w:w="3260" w:type="dxa"/>
            <w:vAlign w:val="bottom"/>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w w:val="95"/>
              </w:rPr>
              <w:t>001-39252</w:t>
            </w:r>
          </w:p>
        </w:tc>
        <w:tc>
          <w:tcPr>
            <w:tcW w:w="1620" w:type="dxa"/>
            <w:vAlign w:val="bottom"/>
          </w:tcPr>
          <w:p>
            <w:pPr>
              <w:jc w:val="center"/>
              <w:ind w:left="606"/>
              <w:spacing w:after="0"/>
              <w:rPr>
                <w:sz w:val="20"/>
                <w:szCs w:val="20"/>
                <w:color w:val="auto"/>
              </w:rPr>
            </w:pPr>
            <w:r>
              <w:rPr>
                <w:rFonts w:ascii="Times New Roman" w:cs="Times New Roman" w:eastAsia="Times New Roman" w:hAnsi="Times New Roman"/>
                <w:sz w:val="13"/>
                <w:szCs w:val="13"/>
                <w:b w:val="1"/>
                <w:bCs w:val="1"/>
                <w:color w:val="auto"/>
                <w:w w:val="95"/>
              </w:rPr>
              <w:t>98-1515192</w:t>
            </w:r>
          </w:p>
        </w:tc>
      </w:tr>
      <w:tr>
        <w:trPr>
          <w:trHeight w:val="149"/>
        </w:trPr>
        <w:tc>
          <w:tcPr>
            <w:tcW w:w="1780" w:type="dxa"/>
            <w:vAlign w:val="bottom"/>
          </w:tcPr>
          <w:p>
            <w:pPr>
              <w:jc w:val="center"/>
              <w:ind w:right="566"/>
              <w:spacing w:after="0"/>
              <w:rPr>
                <w:sz w:val="20"/>
                <w:szCs w:val="20"/>
                <w:color w:val="auto"/>
              </w:rPr>
            </w:pPr>
            <w:r>
              <w:rPr>
                <w:rFonts w:ascii="Times New Roman" w:cs="Times New Roman" w:eastAsia="Times New Roman" w:hAnsi="Times New Roman"/>
                <w:sz w:val="9"/>
                <w:szCs w:val="9"/>
                <w:color w:val="auto"/>
              </w:rPr>
              <w:t>(State or Other Jurisdiction</w:t>
            </w:r>
          </w:p>
        </w:tc>
        <w:tc>
          <w:tcPr>
            <w:tcW w:w="3260" w:type="dxa"/>
            <w:vAlign w:val="bottom"/>
          </w:tcPr>
          <w:p>
            <w:pPr>
              <w:jc w:val="center"/>
              <w:ind w:right="20"/>
              <w:spacing w:after="0"/>
              <w:rPr>
                <w:sz w:val="20"/>
                <w:szCs w:val="20"/>
                <w:color w:val="auto"/>
              </w:rPr>
            </w:pPr>
            <w:r>
              <w:rPr>
                <w:rFonts w:ascii="Times New Roman" w:cs="Times New Roman" w:eastAsia="Times New Roman" w:hAnsi="Times New Roman"/>
                <w:sz w:val="9"/>
                <w:szCs w:val="9"/>
                <w:color w:val="auto"/>
              </w:rPr>
              <w:t>(Commission File Number)</w:t>
            </w:r>
          </w:p>
        </w:tc>
        <w:tc>
          <w:tcPr>
            <w:tcW w:w="1620" w:type="dxa"/>
            <w:vAlign w:val="bottom"/>
          </w:tcPr>
          <w:p>
            <w:pPr>
              <w:jc w:val="center"/>
              <w:ind w:left="606"/>
              <w:spacing w:after="0"/>
              <w:rPr>
                <w:sz w:val="20"/>
                <w:szCs w:val="20"/>
                <w:color w:val="auto"/>
              </w:rPr>
            </w:pPr>
            <w:r>
              <w:rPr>
                <w:rFonts w:ascii="Times New Roman" w:cs="Times New Roman" w:eastAsia="Times New Roman" w:hAnsi="Times New Roman"/>
                <w:sz w:val="9"/>
                <w:szCs w:val="9"/>
                <w:color w:val="auto"/>
              </w:rPr>
              <w:t>(IRS Employer</w:t>
            </w:r>
          </w:p>
        </w:tc>
      </w:tr>
      <w:tr>
        <w:trPr>
          <w:trHeight w:val="149"/>
        </w:trPr>
        <w:tc>
          <w:tcPr>
            <w:tcW w:w="1780" w:type="dxa"/>
            <w:vAlign w:val="bottom"/>
          </w:tcPr>
          <w:p>
            <w:pPr>
              <w:jc w:val="center"/>
              <w:ind w:right="566"/>
              <w:spacing w:after="0"/>
              <w:rPr>
                <w:sz w:val="20"/>
                <w:szCs w:val="20"/>
                <w:color w:val="auto"/>
              </w:rPr>
            </w:pPr>
            <w:r>
              <w:rPr>
                <w:rFonts w:ascii="Times New Roman" w:cs="Times New Roman" w:eastAsia="Times New Roman" w:hAnsi="Times New Roman"/>
                <w:sz w:val="9"/>
                <w:szCs w:val="9"/>
                <w:color w:val="auto"/>
              </w:rPr>
              <w:t>of Incorporation)</w:t>
            </w:r>
          </w:p>
        </w:tc>
        <w:tc>
          <w:tcPr>
            <w:tcW w:w="3260" w:type="dxa"/>
            <w:vAlign w:val="bottom"/>
          </w:tcPr>
          <w:p>
            <w:pPr>
              <w:spacing w:after="0"/>
              <w:rPr>
                <w:sz w:val="12"/>
                <w:szCs w:val="12"/>
                <w:color w:val="auto"/>
              </w:rPr>
            </w:pPr>
          </w:p>
        </w:tc>
        <w:tc>
          <w:tcPr>
            <w:tcW w:w="1620" w:type="dxa"/>
            <w:vAlign w:val="bottom"/>
          </w:tcPr>
          <w:p>
            <w:pPr>
              <w:jc w:val="center"/>
              <w:ind w:left="606"/>
              <w:spacing w:after="0"/>
              <w:rPr>
                <w:sz w:val="20"/>
                <w:szCs w:val="20"/>
                <w:color w:val="auto"/>
              </w:rPr>
            </w:pPr>
            <w:r>
              <w:rPr>
                <w:rFonts w:ascii="Times New Roman" w:cs="Times New Roman" w:eastAsia="Times New Roman" w:hAnsi="Times New Roman"/>
                <w:sz w:val="9"/>
                <w:szCs w:val="9"/>
                <w:color w:val="auto"/>
              </w:rPr>
              <w:t>Identification No.)</w:t>
            </w:r>
          </w:p>
        </w:tc>
      </w:tr>
      <w:tr>
        <w:trPr>
          <w:trHeight w:val="394"/>
        </w:trPr>
        <w:tc>
          <w:tcPr>
            <w:tcW w:w="1780" w:type="dxa"/>
            <w:vAlign w:val="bottom"/>
          </w:tcPr>
          <w:p>
            <w:pPr>
              <w:jc w:val="center"/>
              <w:ind w:right="126"/>
              <w:spacing w:after="0"/>
              <w:rPr>
                <w:sz w:val="20"/>
                <w:szCs w:val="20"/>
                <w:color w:val="auto"/>
              </w:rPr>
            </w:pPr>
            <w:r>
              <w:rPr>
                <w:rFonts w:ascii="Times New Roman" w:cs="Times New Roman" w:eastAsia="Times New Roman" w:hAnsi="Times New Roman"/>
                <w:sz w:val="13"/>
                <w:szCs w:val="13"/>
                <w:b w:val="1"/>
                <w:bCs w:val="1"/>
                <w:color w:val="auto"/>
                <w:w w:val="96"/>
              </w:rPr>
              <w:t>Address Not Applicable</w:t>
            </w:r>
            <w:r>
              <w:rPr>
                <w:rFonts w:ascii="Times New Roman" w:cs="Times New Roman" w:eastAsia="Times New Roman" w:hAnsi="Times New Roman"/>
                <w:sz w:val="16"/>
                <w:szCs w:val="16"/>
                <w:color w:val="auto"/>
                <w:w w:val="96"/>
                <w:vertAlign w:val="superscript"/>
              </w:rPr>
              <w:t>(1)</w:t>
            </w:r>
          </w:p>
        </w:tc>
        <w:tc>
          <w:tcPr>
            <w:tcW w:w="3260" w:type="dxa"/>
            <w:vAlign w:val="bottom"/>
          </w:tcPr>
          <w:p>
            <w:pPr>
              <w:spacing w:after="0"/>
              <w:rPr>
                <w:sz w:val="24"/>
                <w:szCs w:val="24"/>
                <w:color w:val="auto"/>
              </w:rPr>
            </w:pPr>
          </w:p>
        </w:tc>
        <w:tc>
          <w:tcPr>
            <w:tcW w:w="1620" w:type="dxa"/>
            <w:vAlign w:val="bottom"/>
          </w:tcPr>
          <w:p>
            <w:pPr>
              <w:jc w:val="center"/>
              <w:ind w:left="186"/>
              <w:spacing w:after="0"/>
              <w:rPr>
                <w:sz w:val="20"/>
                <w:szCs w:val="20"/>
                <w:color w:val="auto"/>
              </w:rPr>
            </w:pPr>
            <w:r>
              <w:rPr>
                <w:rFonts w:ascii="Times New Roman" w:cs="Times New Roman" w:eastAsia="Times New Roman" w:hAnsi="Times New Roman"/>
                <w:sz w:val="13"/>
                <w:szCs w:val="13"/>
                <w:b w:val="1"/>
                <w:bCs w:val="1"/>
                <w:color w:val="auto"/>
                <w:w w:val="95"/>
              </w:rPr>
              <w:t>Address Not Applicable</w:t>
            </w:r>
            <w:r>
              <w:rPr>
                <w:rFonts w:ascii="Times New Roman" w:cs="Times New Roman" w:eastAsia="Times New Roman" w:hAnsi="Times New Roman"/>
                <w:sz w:val="16"/>
                <w:szCs w:val="16"/>
                <w:color w:val="auto"/>
                <w:w w:val="95"/>
                <w:vertAlign w:val="superscript"/>
              </w:rPr>
              <w:t>(1)</w:t>
            </w:r>
          </w:p>
        </w:tc>
      </w:tr>
      <w:tr>
        <w:trPr>
          <w:trHeight w:val="128"/>
        </w:trPr>
        <w:tc>
          <w:tcPr>
            <w:tcW w:w="1780" w:type="dxa"/>
            <w:vAlign w:val="bottom"/>
          </w:tcPr>
          <w:p>
            <w:pPr>
              <w:jc w:val="center"/>
              <w:ind w:right="126"/>
              <w:spacing w:after="0"/>
              <w:rPr>
                <w:sz w:val="20"/>
                <w:szCs w:val="20"/>
                <w:color w:val="auto"/>
              </w:rPr>
            </w:pPr>
            <w:r>
              <w:rPr>
                <w:rFonts w:ascii="Times New Roman" w:cs="Times New Roman" w:eastAsia="Times New Roman" w:hAnsi="Times New Roman"/>
                <w:sz w:val="10"/>
                <w:szCs w:val="10"/>
                <w:color w:val="auto"/>
                <w:w w:val="97"/>
              </w:rPr>
              <w:t>(Address of Principal Executive Offices)</w:t>
            </w:r>
          </w:p>
        </w:tc>
        <w:tc>
          <w:tcPr>
            <w:tcW w:w="3260" w:type="dxa"/>
            <w:vAlign w:val="bottom"/>
          </w:tcPr>
          <w:p>
            <w:pPr>
              <w:spacing w:after="0"/>
              <w:rPr>
                <w:sz w:val="11"/>
                <w:szCs w:val="11"/>
                <w:color w:val="auto"/>
              </w:rPr>
            </w:pPr>
          </w:p>
        </w:tc>
        <w:tc>
          <w:tcPr>
            <w:tcW w:w="1620" w:type="dxa"/>
            <w:vAlign w:val="bottom"/>
          </w:tcPr>
          <w:p>
            <w:pPr>
              <w:jc w:val="center"/>
              <w:ind w:left="166"/>
              <w:spacing w:after="0"/>
              <w:rPr>
                <w:sz w:val="20"/>
                <w:szCs w:val="20"/>
                <w:color w:val="auto"/>
              </w:rPr>
            </w:pPr>
            <w:r>
              <w:rPr>
                <w:rFonts w:ascii="Times New Roman" w:cs="Times New Roman" w:eastAsia="Times New Roman" w:hAnsi="Times New Roman"/>
                <w:sz w:val="10"/>
                <w:szCs w:val="10"/>
                <w:color w:val="auto"/>
                <w:w w:val="99"/>
              </w:rPr>
              <w:t>(Zip Code)</w:t>
            </w:r>
          </w:p>
        </w:tc>
      </w:tr>
      <w:tr>
        <w:trPr>
          <w:trHeight w:val="359"/>
        </w:trPr>
        <w:tc>
          <w:tcPr>
            <w:tcW w:w="1780" w:type="dxa"/>
            <w:vAlign w:val="bottom"/>
          </w:tcPr>
          <w:p>
            <w:pPr>
              <w:spacing w:after="0"/>
              <w:rPr>
                <w:sz w:val="24"/>
                <w:szCs w:val="24"/>
                <w:color w:val="auto"/>
              </w:rPr>
            </w:pPr>
          </w:p>
        </w:tc>
        <w:tc>
          <w:tcPr>
            <w:tcW w:w="32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Not Applicable</w:t>
            </w:r>
            <w:r>
              <w:rPr>
                <w:rFonts w:ascii="Times New Roman" w:cs="Times New Roman" w:eastAsia="Times New Roman" w:hAnsi="Times New Roman"/>
                <w:sz w:val="16"/>
                <w:szCs w:val="16"/>
                <w:color w:val="auto"/>
                <w:w w:val="95"/>
                <w:vertAlign w:val="superscript"/>
              </w:rPr>
              <w:t>(1)</w:t>
            </w:r>
          </w:p>
        </w:tc>
        <w:tc>
          <w:tcPr>
            <w:tcW w:w="1620" w:type="dxa"/>
            <w:vAlign w:val="bottom"/>
          </w:tcPr>
          <w:p>
            <w:pPr>
              <w:spacing w:after="0"/>
              <w:rPr>
                <w:sz w:val="24"/>
                <w:szCs w:val="24"/>
                <w:color w:val="auto"/>
              </w:rPr>
            </w:pPr>
          </w:p>
        </w:tc>
      </w:tr>
      <w:tr>
        <w:trPr>
          <w:trHeight w:val="179"/>
        </w:trPr>
        <w:tc>
          <w:tcPr>
            <w:tcW w:w="1780" w:type="dxa"/>
            <w:vAlign w:val="bottom"/>
          </w:tcPr>
          <w:p>
            <w:pPr>
              <w:spacing w:after="0"/>
              <w:rPr>
                <w:sz w:val="15"/>
                <w:szCs w:val="15"/>
                <w:color w:val="auto"/>
              </w:rPr>
            </w:pPr>
          </w:p>
        </w:tc>
        <w:tc>
          <w:tcPr>
            <w:tcW w:w="32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(Registrant’s Telephone Number, Including Area Code)</w:t>
            </w:r>
          </w:p>
        </w:tc>
        <w:tc>
          <w:tcPr>
            <w:tcW w:w="1620" w:type="dxa"/>
            <w:vAlign w:val="bottom"/>
          </w:tcPr>
          <w:p>
            <w:pPr>
              <w:spacing w:after="0"/>
              <w:rPr>
                <w:sz w:val="15"/>
                <w:szCs w:val="15"/>
                <w:color w:val="auto"/>
              </w:rPr>
            </w:pPr>
          </w:p>
        </w:tc>
      </w:tr>
      <w:tr>
        <w:trPr>
          <w:trHeight w:val="340"/>
        </w:trPr>
        <w:tc>
          <w:tcPr>
            <w:tcW w:w="1780" w:type="dxa"/>
            <w:vAlign w:val="bottom"/>
          </w:tcPr>
          <w:p>
            <w:pPr>
              <w:spacing w:after="0"/>
              <w:rPr>
                <w:sz w:val="24"/>
                <w:szCs w:val="24"/>
                <w:color w:val="auto"/>
              </w:rPr>
            </w:pPr>
          </w:p>
        </w:tc>
        <w:tc>
          <w:tcPr>
            <w:tcW w:w="32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Not Applicable</w:t>
            </w:r>
          </w:p>
        </w:tc>
        <w:tc>
          <w:tcPr>
            <w:tcW w:w="1620" w:type="dxa"/>
            <w:vAlign w:val="bottom"/>
          </w:tcPr>
          <w:p>
            <w:pPr>
              <w:spacing w:after="0"/>
              <w:rPr>
                <w:sz w:val="24"/>
                <w:szCs w:val="24"/>
                <w:color w:val="auto"/>
              </w:rPr>
            </w:pPr>
          </w:p>
        </w:tc>
      </w:tr>
    </w:tbl>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723900</wp:posOffset>
            </wp:positionH>
            <wp:positionV relativeFrom="paragraph">
              <wp:posOffset>46355</wp:posOffset>
            </wp:positionV>
            <wp:extent cx="572008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20080" cy="698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Check the appropriate box below if the Form 8-K filing is intended to simultaneously satisfy the filing obligation of the registrant under any of the following provisions:</w:t>
      </w:r>
    </w:p>
    <w:p>
      <w:pPr>
        <w:spacing w:after="0" w:line="201" w:lineRule="exact"/>
        <w:rPr>
          <w:sz w:val="24"/>
          <w:szCs w:val="24"/>
          <w:color w:val="auto"/>
        </w:rPr>
      </w:pPr>
    </w:p>
    <w:p>
      <w:pPr>
        <w:ind w:left="160" w:hanging="155"/>
        <w:spacing w:after="0"/>
        <w:tabs>
          <w:tab w:leader="none" w:pos="16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Written communications pursuant to Rule 425 under the Securities Act (17 CFR 230.425)</w:t>
      </w:r>
    </w:p>
    <w:p>
      <w:pPr>
        <w:spacing w:after="0" w:line="190" w:lineRule="exact"/>
        <w:rPr>
          <w:rFonts w:ascii="MS PGothic" w:cs="MS PGothic" w:eastAsia="MS PGothic" w:hAnsi="MS PGothic"/>
          <w:sz w:val="13"/>
          <w:szCs w:val="13"/>
          <w:color w:val="auto"/>
        </w:rPr>
      </w:pPr>
    </w:p>
    <w:p>
      <w:pPr>
        <w:ind w:left="160" w:hanging="155"/>
        <w:spacing w:after="0"/>
        <w:tabs>
          <w:tab w:leader="none" w:pos="16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Soliciting material pursuant to Rule 14a-12 under the Exchange Act (17 CFR 240.14a-12)</w:t>
      </w:r>
    </w:p>
    <w:p>
      <w:pPr>
        <w:spacing w:after="0" w:line="200" w:lineRule="exact"/>
        <w:rPr>
          <w:rFonts w:ascii="MS PGothic" w:cs="MS PGothic" w:eastAsia="MS PGothic" w:hAnsi="MS PGothic"/>
          <w:sz w:val="13"/>
          <w:szCs w:val="13"/>
          <w:color w:val="auto"/>
        </w:rPr>
      </w:pPr>
    </w:p>
    <w:p>
      <w:pPr>
        <w:ind w:left="160" w:hanging="155"/>
        <w:spacing w:after="0"/>
        <w:tabs>
          <w:tab w:leader="none" w:pos="16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14d-2(b) under the Exchange Act (17 CFR 240.14d-2(b))</w:t>
      </w:r>
    </w:p>
    <w:p>
      <w:pPr>
        <w:spacing w:after="0" w:line="190" w:lineRule="exact"/>
        <w:rPr>
          <w:rFonts w:ascii="MS PGothic" w:cs="MS PGothic" w:eastAsia="MS PGothic" w:hAnsi="MS PGothic"/>
          <w:sz w:val="13"/>
          <w:szCs w:val="13"/>
          <w:color w:val="auto"/>
        </w:rPr>
      </w:pPr>
    </w:p>
    <w:p>
      <w:pPr>
        <w:ind w:left="160" w:hanging="155"/>
        <w:spacing w:after="0"/>
        <w:tabs>
          <w:tab w:leader="none" w:pos="16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13e-4(c) under the Exchange Act (17 CFR 240.13e-4(c))</w:t>
      </w:r>
    </w:p>
    <w:p>
      <w:pPr>
        <w:spacing w:after="0" w:line="390" w:lineRule="exact"/>
        <w:rPr>
          <w:sz w:val="24"/>
          <w:szCs w:val="24"/>
          <w:color w:val="auto"/>
        </w:rPr>
      </w:pPr>
    </w:p>
    <w:tbl>
      <w:tblPr>
        <w:tblLayout w:type="fixed"/>
        <w:tblInd w:w="480" w:type="dxa"/>
        <w:tblCellMar>
          <w:top w:w="0" w:type="dxa"/>
          <w:left w:w="0" w:type="dxa"/>
          <w:bottom w:w="0" w:type="dxa"/>
          <w:right w:w="0" w:type="dxa"/>
        </w:tblCellMar>
      </w:tblPr>
      <w:tr>
        <w:trPr>
          <w:trHeight w:val="167"/>
        </w:trPr>
        <w:tc>
          <w:tcPr>
            <w:tcW w:w="3560" w:type="dxa"/>
            <w:vAlign w:val="bottom"/>
          </w:tcPr>
          <w:p>
            <w:pPr>
              <w:spacing w:after="0"/>
              <w:rPr>
                <w:sz w:val="14"/>
                <w:szCs w:val="14"/>
                <w:color w:val="auto"/>
              </w:rPr>
            </w:pPr>
          </w:p>
        </w:tc>
        <w:tc>
          <w:tcPr>
            <w:tcW w:w="3320" w:type="dxa"/>
            <w:vAlign w:val="bottom"/>
            <w:gridSpan w:val="5"/>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Securities registered pursuant to Section 12(b) of the Act:</w:t>
            </w:r>
          </w:p>
        </w:tc>
        <w:tc>
          <w:tcPr>
            <w:tcW w:w="3460" w:type="dxa"/>
            <w:vAlign w:val="bottom"/>
          </w:tcPr>
          <w:p>
            <w:pPr>
              <w:spacing w:after="0"/>
              <w:rPr>
                <w:sz w:val="14"/>
                <w:szCs w:val="14"/>
                <w:color w:val="auto"/>
              </w:rPr>
            </w:pPr>
          </w:p>
        </w:tc>
      </w:tr>
      <w:tr>
        <w:trPr>
          <w:trHeight w:val="382"/>
        </w:trPr>
        <w:tc>
          <w:tcPr>
            <w:tcW w:w="3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60" w:type="dxa"/>
            <w:vAlign w:val="bottom"/>
            <w:gridSpan w:val="3"/>
          </w:tcPr>
          <w:p>
            <w:pPr>
              <w:jc w:val="center"/>
              <w:ind w:right="880"/>
              <w:spacing w:after="0"/>
              <w:rPr>
                <w:sz w:val="20"/>
                <w:szCs w:val="20"/>
                <w:color w:val="auto"/>
              </w:rPr>
            </w:pPr>
            <w:r>
              <w:rPr>
                <w:rFonts w:ascii="Times New Roman" w:cs="Times New Roman" w:eastAsia="Times New Roman" w:hAnsi="Times New Roman"/>
                <w:sz w:val="13"/>
                <w:szCs w:val="13"/>
                <w:b w:val="1"/>
                <w:bCs w:val="1"/>
                <w:color w:val="auto"/>
                <w:w w:val="96"/>
              </w:rPr>
              <w:t>Trading</w:t>
            </w:r>
          </w:p>
        </w:tc>
        <w:tc>
          <w:tcPr>
            <w:tcW w:w="3460" w:type="dxa"/>
            <w:vAlign w:val="bottom"/>
          </w:tcPr>
          <w:p>
            <w:pPr>
              <w:spacing w:after="0"/>
              <w:rPr>
                <w:sz w:val="24"/>
                <w:szCs w:val="24"/>
                <w:color w:val="auto"/>
              </w:rPr>
            </w:pPr>
          </w:p>
        </w:tc>
      </w:tr>
      <w:tr>
        <w:trPr>
          <w:trHeight w:val="199"/>
        </w:trPr>
        <w:tc>
          <w:tcPr>
            <w:tcW w:w="3560" w:type="dxa"/>
            <w:vAlign w:val="bottom"/>
            <w:tcBorders>
              <w:bottom w:val="single" w:sz="8" w:color="auto"/>
            </w:tcBorders>
          </w:tcPr>
          <w:p>
            <w:pPr>
              <w:jc w:val="center"/>
              <w:ind w:left="536"/>
              <w:spacing w:after="0"/>
              <w:rPr>
                <w:sz w:val="20"/>
                <w:szCs w:val="20"/>
                <w:color w:val="auto"/>
              </w:rPr>
            </w:pPr>
            <w:r>
              <w:rPr>
                <w:rFonts w:ascii="Times New Roman" w:cs="Times New Roman" w:eastAsia="Times New Roman" w:hAnsi="Times New Roman"/>
                <w:sz w:val="13"/>
                <w:szCs w:val="13"/>
                <w:b w:val="1"/>
                <w:bCs w:val="1"/>
                <w:color w:val="auto"/>
                <w:w w:val="98"/>
              </w:rPr>
              <w:t>Title of each class</w:t>
            </w:r>
          </w:p>
        </w:tc>
        <w:tc>
          <w:tcPr>
            <w:tcW w:w="6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Symbol(s)</w:t>
            </w:r>
          </w:p>
        </w:tc>
        <w:tc>
          <w:tcPr>
            <w:tcW w:w="14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3460" w:type="dxa"/>
            <w:vAlign w:val="bottom"/>
            <w:tcBorders>
              <w:bottom w:val="single" w:sz="8" w:color="auto"/>
            </w:tcBorders>
          </w:tcPr>
          <w:p>
            <w:pPr>
              <w:jc w:val="center"/>
              <w:ind w:right="676"/>
              <w:spacing w:after="0"/>
              <w:rPr>
                <w:sz w:val="20"/>
                <w:szCs w:val="20"/>
                <w:color w:val="auto"/>
              </w:rPr>
            </w:pPr>
            <w:r>
              <w:rPr>
                <w:rFonts w:ascii="Times New Roman" w:cs="Times New Roman" w:eastAsia="Times New Roman" w:hAnsi="Times New Roman"/>
                <w:sz w:val="13"/>
                <w:szCs w:val="13"/>
                <w:b w:val="1"/>
                <w:bCs w:val="1"/>
                <w:color w:val="auto"/>
                <w:w w:val="97"/>
              </w:rPr>
              <w:t>Name of each exchange on which registered</w:t>
            </w:r>
          </w:p>
        </w:tc>
      </w:tr>
      <w:tr>
        <w:trPr>
          <w:trHeight w:val="174"/>
        </w:trPr>
        <w:tc>
          <w:tcPr>
            <w:tcW w:w="3560" w:type="dxa"/>
            <w:vAlign w:val="bottom"/>
          </w:tcPr>
          <w:p>
            <w:pPr>
              <w:jc w:val="center"/>
              <w:ind w:left="556"/>
              <w:spacing w:after="0"/>
              <w:rPr>
                <w:sz w:val="20"/>
                <w:szCs w:val="20"/>
                <w:color w:val="auto"/>
              </w:rPr>
            </w:pPr>
            <w:r>
              <w:rPr>
                <w:rFonts w:ascii="Times New Roman" w:cs="Times New Roman" w:eastAsia="Times New Roman" w:hAnsi="Times New Roman"/>
                <w:sz w:val="13"/>
                <w:szCs w:val="13"/>
                <w:b w:val="1"/>
                <w:bCs w:val="1"/>
                <w:color w:val="auto"/>
                <w:w w:val="98"/>
              </w:rPr>
              <w:t>Class A Common Stock, par value $0.0001 per share</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60" w:type="dxa"/>
            <w:vAlign w:val="bottom"/>
            <w:gridSpan w:val="3"/>
          </w:tcPr>
          <w:p>
            <w:pPr>
              <w:jc w:val="center"/>
              <w:ind w:right="880"/>
              <w:spacing w:after="0"/>
              <w:rPr>
                <w:sz w:val="20"/>
                <w:szCs w:val="20"/>
                <w:color w:val="auto"/>
              </w:rPr>
            </w:pPr>
            <w:r>
              <w:rPr>
                <w:rFonts w:ascii="Times New Roman" w:cs="Times New Roman" w:eastAsia="Times New Roman" w:hAnsi="Times New Roman"/>
                <w:sz w:val="13"/>
                <w:szCs w:val="13"/>
                <w:b w:val="1"/>
                <w:bCs w:val="1"/>
                <w:color w:val="auto"/>
                <w:w w:val="95"/>
              </w:rPr>
              <w:t>CLOV</w:t>
            </w:r>
          </w:p>
        </w:tc>
        <w:tc>
          <w:tcPr>
            <w:tcW w:w="3460" w:type="dxa"/>
            <w:vAlign w:val="bottom"/>
          </w:tcPr>
          <w:p>
            <w:pPr>
              <w:jc w:val="center"/>
              <w:ind w:right="696"/>
              <w:spacing w:after="0"/>
              <w:rPr>
                <w:sz w:val="20"/>
                <w:szCs w:val="20"/>
                <w:color w:val="auto"/>
              </w:rPr>
            </w:pPr>
            <w:r>
              <w:rPr>
                <w:rFonts w:ascii="Times New Roman" w:cs="Times New Roman" w:eastAsia="Times New Roman" w:hAnsi="Times New Roman"/>
                <w:sz w:val="13"/>
                <w:szCs w:val="13"/>
                <w:b w:val="1"/>
                <w:bCs w:val="1"/>
                <w:color w:val="auto"/>
                <w:w w:val="98"/>
              </w:rPr>
              <w:t>The NASDAQ Stock Market LLC</w:t>
            </w:r>
          </w:p>
        </w:tc>
      </w:tr>
    </w:tbl>
    <w:p>
      <w:pPr>
        <w:spacing w:after="0" w:line="163" w:lineRule="exact"/>
        <w:rPr>
          <w:sz w:val="24"/>
          <w:szCs w:val="24"/>
          <w:color w:val="auto"/>
        </w:rPr>
      </w:pPr>
    </w:p>
    <w:p>
      <w:pPr>
        <w:jc w:val="both"/>
        <w:ind w:right="440"/>
        <w:spacing w:after="0" w:line="264" w:lineRule="auto"/>
        <w:rPr>
          <w:sz w:val="20"/>
          <w:szCs w:val="20"/>
          <w:color w:val="auto"/>
        </w:rPr>
      </w:pPr>
      <w:r>
        <w:rPr>
          <w:rFonts w:ascii="Times New Roman" w:cs="Times New Roman" w:eastAsia="Times New Roman" w:hAnsi="Times New Roman"/>
          <w:sz w:val="13"/>
          <w:szCs w:val="13"/>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24" w:lineRule="exact"/>
        <w:rPr>
          <w:sz w:val="24"/>
          <w:szCs w:val="24"/>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Emerging growth company </w:t>
      </w:r>
      <w:r>
        <w:rPr>
          <w:rFonts w:ascii="MS PGothic" w:cs="MS PGothic" w:eastAsia="MS PGothic" w:hAnsi="MS PGothic"/>
          <w:sz w:val="13"/>
          <w:szCs w:val="13"/>
          <w:color w:val="auto"/>
        </w:rPr>
        <w:t>☐</w:t>
      </w:r>
    </w:p>
    <w:p>
      <w:pPr>
        <w:spacing w:after="0" w:line="123" w:lineRule="exact"/>
        <w:rPr>
          <w:sz w:val="24"/>
          <w:szCs w:val="24"/>
          <w:color w:val="auto"/>
        </w:rPr>
      </w:pPr>
    </w:p>
    <w:p>
      <w:pPr>
        <w:ind w:right="240"/>
        <w:spacing w:after="0" w:line="167"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57785</wp:posOffset>
            </wp:positionV>
            <wp:extent cx="189992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99920" cy="6985"/>
                    </a:xfrm>
                    <a:prstGeom prst="rect">
                      <a:avLst/>
                    </a:prstGeom>
                    <a:noFill/>
                  </pic:spPr>
                </pic:pic>
              </a:graphicData>
            </a:graphic>
          </wp:anchor>
        </w:drawing>
      </w:r>
    </w:p>
    <w:p>
      <w:pPr>
        <w:spacing w:after="0" w:line="159" w:lineRule="exact"/>
        <w:rPr>
          <w:sz w:val="24"/>
          <w:szCs w:val="24"/>
          <w:color w:val="auto"/>
        </w:rPr>
      </w:pPr>
    </w:p>
    <w:p>
      <w:pPr>
        <w:jc w:val="both"/>
        <w:ind w:firstLine="5"/>
        <w:spacing w:after="0" w:line="247" w:lineRule="auto"/>
        <w:tabs>
          <w:tab w:leader="none" w:pos="115" w:val="left"/>
        </w:tabs>
        <w:numPr>
          <w:ilvl w:val="0"/>
          <w:numId w:val="2"/>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We are a remote-first company. Accordingly, we do not maintain a headquarters. For purposes of compliance with applicable requirements of the Securities Act of 1933, as amended, and the Securities Exchange Act of 1934, as amended, stockholder communications required to be sent to our principal executive offices may be directed to the email address: secretary@cloverhealth.com, or to our agent for service of process at The Corporation Trust Company, 1209 Orange Street, Wilmington, Delaware 19801.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899795</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165100</wp:posOffset>
            </wp:positionV>
            <wp:extent cx="715518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518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137795</wp:posOffset>
            </wp:positionV>
            <wp:extent cx="7155180"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5180" cy="6985"/>
                    </a:xfrm>
                    <a:prstGeom prst="rect">
                      <a:avLst/>
                    </a:prstGeom>
                    <a:noFill/>
                  </pic:spPr>
                </pic:pic>
              </a:graphicData>
            </a:graphic>
          </wp:anchor>
        </w:drawing>
      </w:r>
    </w:p>
    <w:p>
      <w:pPr>
        <w:sectPr>
          <w:pgSz w:w="11900" w:h="16838" w:orient="portrait"/>
          <w:cols w:equalWidth="0" w:num="1">
            <w:col w:w="11280"/>
          </w:cols>
          <w:pgMar w:left="300" w:top="587"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color w:val="auto"/>
        </w:rPr>
        <w:t>Item 7.01. Regulation FD Disclosure.</w:t>
      </w:r>
    </w:p>
    <w:p>
      <w:pPr>
        <w:spacing w:after="0" w:line="13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May 18, 2026, Clover Health Investments, Corp. (the “Company”) published a list of responses to a selection of frequently asked supplemental questions submitted in connection with the Company's first quarter 2026 earnings announcement in order to further engagement with the Company's shareholder base. The supplemental questions and the Company's accompanying written responses are furnished as Exhibit 99.1 to this Current Report on Form 8-K, and are also available on the investor relations section of the Company's website.</w:t>
      </w:r>
    </w:p>
    <w:p>
      <w:pPr>
        <w:spacing w:after="0" w:line="9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information set forth in this Item 7.01 (including Exhibit 99.1) shall not be deemed “filed” for purposes of Section 18 of the Securities Exchange Act of 1934, as amended (the "Exchange Act"), nor shall it be deemed to be incorporated by reference into any filing made under the Securities Act of 1933, as amended, or the Exchange Act, except as expressly set forth by specific reference in such a filing.</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9.01. Financial Statements and Exhibits.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320" w:type="dxa"/>
            <w:vAlign w:val="bottom"/>
          </w:tcPr>
          <w:p>
            <w:pPr>
              <w:spacing w:after="0"/>
              <w:rPr>
                <w:sz w:val="20"/>
                <w:szCs w:val="20"/>
                <w:color w:val="auto"/>
              </w:rPr>
            </w:pPr>
            <w:r>
              <w:rPr>
                <w:rFonts w:ascii="Times New Roman" w:cs="Times New Roman" w:eastAsia="Times New Roman" w:hAnsi="Times New Roman"/>
                <w:sz w:val="14"/>
                <w:szCs w:val="14"/>
                <w:color w:val="auto"/>
              </w:rPr>
              <w:t>(d) List of Exhibits</w:t>
            </w:r>
          </w:p>
        </w:tc>
        <w:tc>
          <w:tcPr>
            <w:tcW w:w="2920" w:type="dxa"/>
            <w:vAlign w:val="bottom"/>
          </w:tcPr>
          <w:p>
            <w:pPr>
              <w:spacing w:after="0"/>
              <w:rPr>
                <w:sz w:val="16"/>
                <w:szCs w:val="16"/>
                <w:color w:val="auto"/>
              </w:rPr>
            </w:pPr>
          </w:p>
        </w:tc>
        <w:tc>
          <w:tcPr>
            <w:tcW w:w="6040" w:type="dxa"/>
            <w:vAlign w:val="bottom"/>
          </w:tcPr>
          <w:p>
            <w:pPr>
              <w:spacing w:after="0"/>
              <w:rPr>
                <w:sz w:val="16"/>
                <w:szCs w:val="16"/>
                <w:color w:val="auto"/>
              </w:rPr>
            </w:pPr>
          </w:p>
        </w:tc>
      </w:tr>
      <w:tr>
        <w:trPr>
          <w:trHeight w:val="393"/>
        </w:trPr>
        <w:tc>
          <w:tcPr>
            <w:tcW w:w="2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89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23"/>
        </w:trPr>
        <w:tc>
          <w:tcPr>
            <w:tcW w:w="2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99.1</w:t>
            </w:r>
          </w:p>
        </w:tc>
        <w:tc>
          <w:tcPr>
            <w:tcW w:w="29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rPr>
              <w:t>Press Release of the Company, dated May 18, 2026</w:t>
            </w:r>
          </w:p>
        </w:tc>
        <w:tc>
          <w:tcPr>
            <w:tcW w:w="6040" w:type="dxa"/>
            <w:vAlign w:val="bottom"/>
          </w:tcPr>
          <w:p>
            <w:pPr>
              <w:spacing w:after="0"/>
              <w:rPr>
                <w:sz w:val="19"/>
                <w:szCs w:val="19"/>
                <w:color w:val="auto"/>
              </w:rPr>
            </w:pPr>
          </w:p>
        </w:tc>
      </w:tr>
      <w:tr>
        <w:trPr>
          <w:trHeight w:val="224"/>
        </w:trPr>
        <w:tc>
          <w:tcPr>
            <w:tcW w:w="2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104</w:t>
            </w:r>
          </w:p>
        </w:tc>
        <w:tc>
          <w:tcPr>
            <w:tcW w:w="8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Cover Page Interactive Data File (embedded within the Inline XBRL document)</w:t>
            </w:r>
          </w:p>
        </w:tc>
      </w:tr>
      <w:tr>
        <w:trPr>
          <w:trHeight w:val="191"/>
        </w:trPr>
        <w:tc>
          <w:tcPr>
            <w:tcW w:w="2320" w:type="dxa"/>
            <w:vAlign w:val="bottom"/>
            <w:tcBorders>
              <w:bottom w:val="single" w:sz="8" w:color="B6B6B6"/>
            </w:tcBorders>
          </w:tcPr>
          <w:p>
            <w:pPr>
              <w:spacing w:after="0"/>
              <w:rPr>
                <w:sz w:val="16"/>
                <w:szCs w:val="16"/>
                <w:color w:val="auto"/>
              </w:rPr>
            </w:pPr>
          </w:p>
        </w:tc>
        <w:tc>
          <w:tcPr>
            <w:tcW w:w="2920" w:type="dxa"/>
            <w:vAlign w:val="bottom"/>
            <w:tcBorders>
              <w:bottom w:val="single" w:sz="8" w:color="B6B6B6"/>
            </w:tcBorders>
          </w:tcPr>
          <w:p>
            <w:pPr>
              <w:spacing w:after="0"/>
              <w:rPr>
                <w:sz w:val="16"/>
                <w:szCs w:val="16"/>
                <w:color w:val="auto"/>
              </w:rPr>
            </w:pPr>
          </w:p>
        </w:tc>
        <w:tc>
          <w:tcPr>
            <w:tcW w:w="6040" w:type="dxa"/>
            <w:vAlign w:val="bottom"/>
            <w:tcBorders>
              <w:bottom w:val="single" w:sz="8" w:color="B6B6B6"/>
            </w:tcBorders>
          </w:tcPr>
          <w:p>
            <w:pPr>
              <w:spacing w:after="0"/>
              <w:rPr>
                <w:sz w:val="16"/>
                <w:szCs w:val="16"/>
                <w:color w:val="auto"/>
              </w:rPr>
            </w:pPr>
          </w:p>
        </w:tc>
      </w:tr>
      <w:tr>
        <w:trPr>
          <w:trHeight w:val="1541"/>
        </w:trPr>
        <w:tc>
          <w:tcPr>
            <w:tcW w:w="2320" w:type="dxa"/>
            <w:vAlign w:val="bottom"/>
            <w:tcBorders>
              <w:bottom w:val="single" w:sz="8" w:color="9A9A9A"/>
            </w:tcBorders>
          </w:tcPr>
          <w:p>
            <w:pPr>
              <w:spacing w:after="0"/>
              <w:rPr>
                <w:sz w:val="24"/>
                <w:szCs w:val="24"/>
                <w:color w:val="auto"/>
              </w:rPr>
            </w:pPr>
          </w:p>
        </w:tc>
        <w:tc>
          <w:tcPr>
            <w:tcW w:w="2920" w:type="dxa"/>
            <w:vAlign w:val="bottom"/>
            <w:tcBorders>
              <w:bottom w:val="single" w:sz="8" w:color="9A9A9A"/>
            </w:tcBorders>
          </w:tcPr>
          <w:p>
            <w:pPr>
              <w:spacing w:after="0"/>
              <w:rPr>
                <w:sz w:val="24"/>
                <w:szCs w:val="24"/>
                <w:color w:val="auto"/>
              </w:rPr>
            </w:pPr>
          </w:p>
        </w:tc>
        <w:tc>
          <w:tcPr>
            <w:tcW w:w="6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696" w:right="3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thereunto duly authorized.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7640" w:type="dxa"/>
            <w:vAlign w:val="bottom"/>
            <w:gridSpan w:val="3"/>
          </w:tcPr>
          <w:p>
            <w:pPr>
              <w:ind w:left="2140"/>
              <w:spacing w:after="0"/>
              <w:rPr>
                <w:sz w:val="20"/>
                <w:szCs w:val="20"/>
                <w:color w:val="auto"/>
              </w:rPr>
            </w:pPr>
            <w:r>
              <w:rPr>
                <w:rFonts w:ascii="Times New Roman" w:cs="Times New Roman" w:eastAsia="Times New Roman" w:hAnsi="Times New Roman"/>
                <w:sz w:val="14"/>
                <w:szCs w:val="14"/>
                <w:b w:val="1"/>
                <w:bCs w:val="1"/>
                <w:color w:val="auto"/>
              </w:rPr>
              <w:t>Clover Health Investments, Corp.</w:t>
            </w:r>
          </w:p>
        </w:tc>
      </w:tr>
      <w:tr>
        <w:trPr>
          <w:trHeight w:val="351"/>
        </w:trPr>
        <w:tc>
          <w:tcPr>
            <w:tcW w:w="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Date:</w:t>
            </w:r>
          </w:p>
        </w:tc>
        <w:tc>
          <w:tcPr>
            <w:tcW w:w="31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May 18, 2026</w:t>
            </w:r>
          </w:p>
        </w:tc>
        <w:tc>
          <w:tcPr>
            <w:tcW w:w="3140" w:type="dxa"/>
            <w:vAlign w:val="bottom"/>
          </w:tcPr>
          <w:p>
            <w:pPr>
              <w:ind w:left="2140"/>
              <w:spacing w:after="0"/>
              <w:rPr>
                <w:sz w:val="20"/>
                <w:szCs w:val="20"/>
                <w:color w:val="auto"/>
              </w:rPr>
            </w:pPr>
            <w:r>
              <w:rPr>
                <w:rFonts w:ascii="Times New Roman" w:cs="Times New Roman" w:eastAsia="Times New Roman" w:hAnsi="Times New Roman"/>
                <w:sz w:val="14"/>
                <w:szCs w:val="14"/>
                <w:color w:val="auto"/>
              </w:rPr>
              <w:t>By:</w:t>
            </w:r>
          </w:p>
        </w:tc>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 Clay Thornton</w:t>
            </w:r>
          </w:p>
        </w:tc>
      </w:tr>
      <w:tr>
        <w:trPr>
          <w:trHeight w:val="224"/>
        </w:trPr>
        <w:tc>
          <w:tcPr>
            <w:tcW w:w="52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3140" w:type="dxa"/>
            <w:vAlign w:val="bottom"/>
          </w:tcPr>
          <w:p>
            <w:pPr>
              <w:ind w:left="2140"/>
              <w:spacing w:after="0"/>
              <w:rPr>
                <w:sz w:val="20"/>
                <w:szCs w:val="20"/>
                <w:color w:val="auto"/>
              </w:rPr>
            </w:pPr>
            <w:r>
              <w:rPr>
                <w:rFonts w:ascii="Times New Roman" w:cs="Times New Roman" w:eastAsia="Times New Roman" w:hAnsi="Times New Roman"/>
                <w:sz w:val="14"/>
                <w:szCs w:val="14"/>
                <w:color w:val="auto"/>
              </w:rPr>
              <w:t>Name:</w:t>
            </w:r>
          </w:p>
        </w:tc>
        <w:tc>
          <w:tcPr>
            <w:tcW w:w="10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Clay Thornton</w:t>
            </w:r>
          </w:p>
        </w:tc>
        <w:tc>
          <w:tcPr>
            <w:tcW w:w="3500" w:type="dxa"/>
            <w:vAlign w:val="bottom"/>
          </w:tcPr>
          <w:p>
            <w:pPr>
              <w:spacing w:after="0"/>
              <w:rPr>
                <w:sz w:val="19"/>
                <w:szCs w:val="19"/>
                <w:color w:val="auto"/>
              </w:rPr>
            </w:pPr>
          </w:p>
        </w:tc>
      </w:tr>
      <w:tr>
        <w:trPr>
          <w:trHeight w:val="212"/>
        </w:trPr>
        <w:tc>
          <w:tcPr>
            <w:tcW w:w="5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3140" w:type="dxa"/>
            <w:vAlign w:val="bottom"/>
          </w:tcPr>
          <w:p>
            <w:pPr>
              <w:ind w:left="2140"/>
              <w:spacing w:after="0"/>
              <w:rPr>
                <w:sz w:val="20"/>
                <w:szCs w:val="20"/>
                <w:color w:val="auto"/>
              </w:rPr>
            </w:pPr>
            <w:r>
              <w:rPr>
                <w:rFonts w:ascii="Times New Roman" w:cs="Times New Roman" w:eastAsia="Times New Roman" w:hAnsi="Times New Roman"/>
                <w:sz w:val="14"/>
                <w:szCs w:val="14"/>
                <w:color w:val="auto"/>
              </w:rPr>
              <w:t>Title:</w:t>
            </w:r>
          </w:p>
        </w:tc>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Interim Chief Financial Officer (Principal Financial Officer)</w:t>
            </w:r>
          </w:p>
        </w:tc>
      </w:tr>
      <w:tr>
        <w:trPr>
          <w:trHeight w:val="319"/>
        </w:trPr>
        <w:tc>
          <w:tcPr>
            <w:tcW w:w="52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377" w:right="31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275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2026-05-18T07:33:41Z</dcterms:created>
  <dcterms:modified xsi:type="dcterms:W3CDTF">2026-05-18T07:33:41Z</dcterms:modified>
</cp:coreProperties>
</file>